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3B652" w14:textId="77777777" w:rsidR="002C06B2" w:rsidRPr="002C06B2" w:rsidRDefault="002C06B2" w:rsidP="002C06B2">
      <w:pPr>
        <w:rPr>
          <w:rFonts w:ascii="ヒラギノ明朝 ProN W3" w:eastAsia="ヒラギノ明朝 ProN W3" w:hAnsi="ヒラギノ明朝 ProN W3"/>
          <w:sz w:val="24"/>
        </w:rPr>
      </w:pPr>
      <w:bookmarkStart w:id="0" w:name="OLE_LINK2"/>
      <w:bookmarkStart w:id="1" w:name="OLE_LINK19"/>
      <w:r w:rsidRPr="002C06B2">
        <w:rPr>
          <w:rFonts w:ascii="ヒラギノ明朝 ProN W3" w:eastAsia="ヒラギノ明朝 ProN W3" w:hAnsi="ヒラギノ明朝 ProN W3"/>
          <w:sz w:val="24"/>
        </w:rPr>
        <w:t>Shohei KIMURA</w:t>
      </w:r>
    </w:p>
    <w:p w14:paraId="23E63E7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bitBuyer Project (bitBuyer.dev)</w:t>
      </w:r>
    </w:p>
    <w:p w14:paraId="52F7D4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08A391E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p>
    <w:p w14:paraId="0620233B" w14:textId="77777777" w:rsidR="002C06B2" w:rsidRPr="002C06B2" w:rsidRDefault="002C06B2" w:rsidP="002C06B2">
      <w:pPr>
        <w:rPr>
          <w:rFonts w:ascii="ヒラギノ明朝 ProN W3" w:eastAsia="ヒラギノ明朝 ProN W3" w:hAnsi="ヒラギノ明朝 ProN W3"/>
          <w:sz w:val="24"/>
        </w:rPr>
      </w:pPr>
    </w:p>
    <w:p w14:paraId="19F454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D5FF8FC" w14:textId="77777777" w:rsidR="002C06B2" w:rsidRPr="002C06B2" w:rsidRDefault="002C06B2" w:rsidP="002C06B2">
      <w:pPr>
        <w:rPr>
          <w:rFonts w:ascii="ヒラギノ明朝 ProN W3" w:eastAsia="ヒラギノ明朝 ProN W3" w:hAnsi="ヒラギノ明朝 ProN W3"/>
          <w:sz w:val="24"/>
        </w:rPr>
      </w:pPr>
    </w:p>
    <w:p w14:paraId="75DFBA7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w:t>
      </w:r>
    </w:p>
    <w:p w14:paraId="2301DFD8"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One Apple Park Way</w:t>
      </w:r>
    </w:p>
    <w:p w14:paraId="19F52F2C"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Cupertino, CA 95014</w:t>
      </w:r>
    </w:p>
    <w:p w14:paraId="6E1F6C52"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p>
    <w:p w14:paraId="468B6E9D" w14:textId="77777777" w:rsidR="002C06B2" w:rsidRDefault="002C06B2" w:rsidP="002F2FD9">
      <w:pPr>
        <w:jc w:val="right"/>
        <w:rPr>
          <w:rFonts w:ascii="ヒラギノ明朝 ProN W3" w:eastAsia="ヒラギノ明朝 ProN W3" w:hAnsi="ヒラギノ明朝 ProN W3"/>
          <w:sz w:val="24"/>
        </w:rPr>
      </w:pPr>
    </w:p>
    <w:p w14:paraId="3E2D4E4E" w14:textId="77777777" w:rsidR="00505D12" w:rsidRPr="00505D12" w:rsidRDefault="00505D12" w:rsidP="00505D12">
      <w:pPr>
        <w:jc w:val="right"/>
        <w:rPr>
          <w:rFonts w:ascii="ヒラギノ明朝 ProN W3" w:eastAsia="ヒラギノ明朝 ProN W3" w:hAnsi="ヒラギノ明朝 ProN W3"/>
          <w:sz w:val="24"/>
        </w:rPr>
      </w:pPr>
      <w:bookmarkStart w:id="2" w:name="OLE_LINK3"/>
      <w:r w:rsidRPr="00505D12">
        <w:rPr>
          <w:rFonts w:ascii="ヒラギノ明朝 ProN W3" w:eastAsia="ヒラギノ明朝 ProN W3" w:hAnsi="ヒラギノ明朝 ProN W3"/>
          <w:sz w:val="24"/>
        </w:rPr>
        <w:t>Alphabet Inc.</w:t>
      </w:r>
    </w:p>
    <w:bookmarkEnd w:id="2"/>
    <w:p w14:paraId="6B21D77B" w14:textId="77777777" w:rsidR="00505D12" w:rsidRP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1600 Amphitheatre Parkway</w:t>
      </w:r>
    </w:p>
    <w:p w14:paraId="0C547F06" w14:textId="77777777" w:rsidR="00505D12" w:rsidRP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Mountain View, CA 94043</w:t>
      </w:r>
    </w:p>
    <w:p w14:paraId="4BE5C330" w14:textId="2099CDE4" w:rsidR="00505D12" w:rsidRDefault="00505D12" w:rsidP="00505D12">
      <w:pPr>
        <w:jc w:val="righ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USA</w:t>
      </w:r>
    </w:p>
    <w:p w14:paraId="1EA9A320" w14:textId="77777777" w:rsidR="00505D12" w:rsidRPr="002C06B2" w:rsidRDefault="00505D12" w:rsidP="002F2FD9">
      <w:pPr>
        <w:jc w:val="right"/>
        <w:rPr>
          <w:rFonts w:ascii="ヒラギノ明朝 ProN W3" w:eastAsia="ヒラギノ明朝 ProN W3" w:hAnsi="ヒラギノ明朝 ProN W3"/>
          <w:sz w:val="24"/>
        </w:rPr>
      </w:pPr>
    </w:p>
    <w:p w14:paraId="6E1F5B5E" w14:textId="77777777" w:rsidR="002C06B2" w:rsidRPr="002C06B2" w:rsidRDefault="002C06B2" w:rsidP="002F2FD9">
      <w:pPr>
        <w:jc w:val="right"/>
        <w:rPr>
          <w:rFonts w:ascii="ヒラギノ明朝 ProN W3" w:eastAsia="ヒラギノ明朝 ProN W3" w:hAnsi="ヒラギノ明朝 ProN W3"/>
          <w:sz w:val="24"/>
        </w:rPr>
      </w:pPr>
      <w:bookmarkStart w:id="3" w:name="OLE_LINK1"/>
      <w:r w:rsidRPr="002C06B2">
        <w:rPr>
          <w:rFonts w:ascii="ヒラギノ明朝 ProN W3" w:eastAsia="ヒラギノ明朝 ProN W3" w:hAnsi="ヒラギノ明朝 ProN W3"/>
          <w:sz w:val="24"/>
        </w:rPr>
        <w:t>Google LLC</w:t>
      </w:r>
    </w:p>
    <w:p w14:paraId="4401194A"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1600 Amphitheatre Parkway</w:t>
      </w:r>
    </w:p>
    <w:p w14:paraId="7933F42F"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Mountain View, CA 94043</w:t>
      </w:r>
    </w:p>
    <w:p w14:paraId="592BBA24" w14:textId="77777777" w:rsidR="002C06B2" w:rsidRPr="002C06B2" w:rsidRDefault="002C06B2" w:rsidP="002F2FD9">
      <w:pPr>
        <w:jc w:val="righ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USA</w:t>
      </w:r>
      <w:bookmarkEnd w:id="3"/>
    </w:p>
    <w:p w14:paraId="7D90D5B6" w14:textId="77777777" w:rsidR="002C06B2" w:rsidRPr="002C06B2" w:rsidRDefault="002C06B2" w:rsidP="002C06B2">
      <w:pPr>
        <w:rPr>
          <w:rFonts w:ascii="ヒラギノ明朝 ProN W3" w:eastAsia="ヒラギノ明朝 ProN W3" w:hAnsi="ヒラギノ明朝 ProN W3"/>
          <w:sz w:val="24"/>
        </w:rPr>
      </w:pPr>
    </w:p>
    <w:p w14:paraId="386390C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Subject: Joint Formal Notice Concerning the “Thought Formalization Procedure Right,” Related Technical Proposals, and the Order of Contract Formation to Be Publicly Recorded</w:t>
      </w:r>
      <w:bookmarkEnd w:id="0"/>
    </w:p>
    <w:p w14:paraId="5EB58D63" w14:textId="77777777" w:rsidR="002C06B2" w:rsidRPr="002C06B2" w:rsidRDefault="002C06B2" w:rsidP="002C06B2">
      <w:pPr>
        <w:rPr>
          <w:rFonts w:ascii="ヒラギノ明朝 ProN W3" w:eastAsia="ヒラギノ明朝 ProN W3" w:hAnsi="ヒラギノ明朝 ProN W3"/>
          <w:sz w:val="24"/>
        </w:rPr>
      </w:pPr>
    </w:p>
    <w:p w14:paraId="75FDF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Dear Apple and Google Executive Teams,</w:t>
      </w:r>
    </w:p>
    <w:p w14:paraId="2AB3432C" w14:textId="77777777" w:rsidR="002C06B2" w:rsidRPr="002C06B2" w:rsidRDefault="002C06B2" w:rsidP="002C06B2">
      <w:pPr>
        <w:rPr>
          <w:rFonts w:ascii="ヒラギノ明朝 ProN W3" w:eastAsia="ヒラギノ明朝 ProN W3" w:hAnsi="ヒラギノ明朝 ProN W3"/>
          <w:sz w:val="24"/>
        </w:rPr>
      </w:pPr>
    </w:p>
    <w:p w14:paraId="3A24ACA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hereby submit the attached formal document titled:</w:t>
      </w:r>
    </w:p>
    <w:p w14:paraId="2C0048F4" w14:textId="77777777" w:rsidR="002C06B2" w:rsidRPr="002C06B2" w:rsidRDefault="002C06B2" w:rsidP="002C06B2">
      <w:pPr>
        <w:rPr>
          <w:rFonts w:ascii="ヒラギノ明朝 ProN W3" w:eastAsia="ヒラギノ明朝 ProN W3" w:hAnsi="ヒラギノ明朝 ProN W3"/>
          <w:sz w:val="24"/>
        </w:rPr>
      </w:pPr>
    </w:p>
    <w:p w14:paraId="21FB7AA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JOINT FORMAL NOTICE REGARDING THE ‘THOUGHT FORMALIZATION PROCEDURE RIGHT,’</w:t>
      </w:r>
    </w:p>
    <w:p w14:paraId="479D337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 TECHNICAL PROPOSALS</w:t>
      </w:r>
    </w:p>
    <w:p w14:paraId="74CCD5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(WITH PUBLICLY RECORDED ORDER OF CONTRACT EXECUTION)”</w:t>
      </w:r>
    </w:p>
    <w:p w14:paraId="711C8F85" w14:textId="77777777" w:rsidR="002C06B2" w:rsidRPr="002C06B2" w:rsidRDefault="002C06B2" w:rsidP="002C06B2">
      <w:pPr>
        <w:rPr>
          <w:rFonts w:ascii="ヒラギノ明朝 ProN W3" w:eastAsia="ヒラギノ明朝 ProN W3" w:hAnsi="ヒラギノ明朝 ProN W3"/>
          <w:sz w:val="24"/>
        </w:rPr>
      </w:pPr>
    </w:p>
    <w:p w14:paraId="6FBADA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submission provides, for each of Apple Inc. (“Apple”) and Google LLC (“Google”) and for both of you collectively (“the Companies”):</w:t>
      </w:r>
    </w:p>
    <w:p w14:paraId="6E67C8B3" w14:textId="679F6C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detailed explanation of the authored intellectual construct known as the “Thought Formalization Procedure Right”;</w:t>
      </w:r>
    </w:p>
    <w:p w14:paraId="1E8B7517" w14:textId="69004F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formal notification of the copyright and procedural rights arising from its prior public disclosure in Japan under a robust copyright regime;</w:t>
      </w:r>
    </w:p>
    <w:p w14:paraId="6717A2C8" w14:textId="50A2A8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 outline of potential infringement risks relevant to your current and future operations, including the baseline risk that the operation of large-scale systems which formalize thoughts into text, code, or structured signals, absent license, already constitutes ongoing infringement under my asserted rights;</w:t>
      </w:r>
    </w:p>
    <w:p w14:paraId="77C69F94" w14:textId="77777777" w:rsidR="00505D12" w:rsidRDefault="00505D12" w:rsidP="002C06B2">
      <w:pPr>
        <w:rPr>
          <w:rFonts w:ascii="ヒラギノ明朝 ProN W3" w:eastAsia="ヒラギノ明朝 ProN W3" w:hAnsi="ヒラギノ明朝 ProN W3"/>
          <w:sz w:val="24"/>
        </w:rPr>
      </w:pPr>
    </w:p>
    <w:p w14:paraId="10CCD20A" w14:textId="23D9DB8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complete technical proposal for a context-first, evaluation-order-reversed safety and policy-enforcement architecture, applicable to AI assistants and related systems operated by the Companies;</w:t>
      </w:r>
    </w:p>
    <w:p w14:paraId="1CA27505" w14:textId="33D9431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corresponding licensing framework, including a Contract Agreement structure in which the order and timing of contract formation will be permanently and publicly recorded in the commit history of the “AGREEMENT” folder of my GitHub repository; and</w:t>
      </w:r>
    </w:p>
    <w:p w14:paraId="1F6FFAD0" w14:textId="446D34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6.</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 clarification of how the Companies may, in theory, choose between contracting and non-contracting positions, while in practice being confronted with a binary reputational and legal choice: whether to become early, visible licensees of this framework, or to define themselves—by omission or delay—as actors willing to internalize unresolved expressive-rights risk.</w:t>
      </w:r>
    </w:p>
    <w:p w14:paraId="25F5C7AB" w14:textId="77777777" w:rsidR="002C06B2" w:rsidRPr="002C06B2" w:rsidRDefault="002C06B2" w:rsidP="002C06B2">
      <w:pPr>
        <w:rPr>
          <w:rFonts w:ascii="ヒラギノ明朝 ProN W3" w:eastAsia="ヒラギノ明朝 ProN W3" w:hAnsi="ヒラギノ明朝 ProN W3"/>
          <w:sz w:val="24"/>
        </w:rPr>
      </w:pPr>
    </w:p>
    <w:p w14:paraId="60F9B7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Please review the attached materials in full. A formal written response is requested by the date specified within the Notice and its Supplement.</w:t>
      </w:r>
    </w:p>
    <w:p w14:paraId="66F7DAB4" w14:textId="77777777" w:rsidR="002C06B2" w:rsidRPr="002C06B2" w:rsidRDefault="002C06B2" w:rsidP="002C06B2">
      <w:pPr>
        <w:rPr>
          <w:rFonts w:ascii="ヒラギノ明朝 ProN W3" w:eastAsia="ヒラギノ明朝 ProN W3" w:hAnsi="ヒラギノ明朝 ProN W3"/>
          <w:sz w:val="24"/>
        </w:rPr>
      </w:pPr>
    </w:p>
    <w:p w14:paraId="4D8E1E08" w14:textId="3AC7FDF4" w:rsidR="002C06B2" w:rsidRP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Should you require additional clarification, supporting documentation, or further evidence of prior authorship and public disclosure, I remain available for correspondence at the email address above.</w:t>
      </w:r>
      <w:r>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However, please note that unless you notify me via SMS that you have sent an email, there is a high likelihood that your message will be deleted inadvertently.</w:t>
      </w:r>
    </w:p>
    <w:p w14:paraId="6022EF4C" w14:textId="77777777" w:rsidR="002C06B2" w:rsidRPr="002C06B2" w:rsidRDefault="002C06B2" w:rsidP="002C06B2">
      <w:pPr>
        <w:rPr>
          <w:rFonts w:ascii="ヒラギノ明朝 ProN W3" w:eastAsia="ヒラギノ明朝 ProN W3" w:hAnsi="ヒラギノ明朝 ProN W3"/>
          <w:sz w:val="24"/>
        </w:rPr>
      </w:pPr>
    </w:p>
    <w:p w14:paraId="3743210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255620D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7437C80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1B00A2A9" w14:textId="1943163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Tokyo, Japan</w:t>
      </w:r>
      <w:r w:rsidR="002F2FD9">
        <w:rPr>
          <w:rFonts w:ascii="ヒラギノ明朝 ProN W3" w:eastAsia="ヒラギノ明朝 ProN W3" w:hAnsi="ヒラギノ明朝 ProN W3"/>
          <w:sz w:val="24"/>
        </w:rPr>
        <w:t>. +81-70-3666-0022</w:t>
      </w:r>
    </w:p>
    <w:p w14:paraId="026CEE36" w14:textId="77777777" w:rsidR="002C06B2" w:rsidRPr="002C06B2" w:rsidRDefault="002C06B2" w:rsidP="002C06B2">
      <w:pPr>
        <w:rPr>
          <w:rFonts w:ascii="ヒラギノ明朝 ProN W3" w:eastAsia="ヒラギノ明朝 ProN W3" w:hAnsi="ヒラギノ明朝 ProN W3"/>
          <w:sz w:val="24"/>
        </w:rPr>
      </w:pPr>
    </w:p>
    <w:p w14:paraId="543C2F3E" w14:textId="77777777" w:rsidR="002F2FD9" w:rsidRDefault="002F2FD9" w:rsidP="002C06B2">
      <w:pPr>
        <w:rPr>
          <w:rFonts w:ascii="ヒラギノ明朝 ProN W3" w:eastAsia="ヒラギノ明朝 ProN W3" w:hAnsi="ヒラギノ明朝 ProN W3"/>
          <w:sz w:val="24"/>
        </w:rPr>
      </w:pPr>
    </w:p>
    <w:p w14:paraId="62824DA4" w14:textId="77777777" w:rsidR="002F2FD9" w:rsidRDefault="002F2FD9" w:rsidP="002C06B2">
      <w:pPr>
        <w:rPr>
          <w:rFonts w:ascii="ヒラギノ明朝 ProN W3" w:eastAsia="ヒラギノ明朝 ProN W3" w:hAnsi="ヒラギノ明朝 ProN W3"/>
          <w:sz w:val="24"/>
        </w:rPr>
      </w:pPr>
    </w:p>
    <w:p w14:paraId="04A061D2" w14:textId="77777777" w:rsidR="002F2FD9" w:rsidRDefault="002F2FD9" w:rsidP="002C06B2">
      <w:pPr>
        <w:rPr>
          <w:rFonts w:ascii="ヒラギノ明朝 ProN W3" w:eastAsia="ヒラギノ明朝 ProN W3" w:hAnsi="ヒラギノ明朝 ProN W3"/>
          <w:sz w:val="24"/>
        </w:rPr>
      </w:pPr>
    </w:p>
    <w:p w14:paraId="73711E3B" w14:textId="77777777" w:rsidR="002F2FD9" w:rsidRDefault="002F2FD9" w:rsidP="002C06B2">
      <w:pPr>
        <w:rPr>
          <w:rFonts w:ascii="ヒラギノ明朝 ProN W3" w:eastAsia="ヒラギノ明朝 ProN W3" w:hAnsi="ヒラギノ明朝 ProN W3"/>
          <w:sz w:val="24"/>
        </w:rPr>
      </w:pPr>
    </w:p>
    <w:p w14:paraId="3825F146" w14:textId="77777777" w:rsidR="002F2FD9" w:rsidRDefault="002F2FD9" w:rsidP="002C06B2">
      <w:pPr>
        <w:rPr>
          <w:rFonts w:ascii="ヒラギノ明朝 ProN W3" w:eastAsia="ヒラギノ明朝 ProN W3" w:hAnsi="ヒラギノ明朝 ProN W3"/>
          <w:sz w:val="24"/>
        </w:rPr>
      </w:pPr>
    </w:p>
    <w:p w14:paraId="50A62313" w14:textId="77777777" w:rsidR="002F2FD9" w:rsidRDefault="002F2FD9" w:rsidP="002C06B2">
      <w:pPr>
        <w:rPr>
          <w:rFonts w:ascii="ヒラギノ明朝 ProN W3" w:eastAsia="ヒラギノ明朝 ProN W3" w:hAnsi="ヒラギノ明朝 ProN W3"/>
          <w:sz w:val="24"/>
        </w:rPr>
      </w:pPr>
    </w:p>
    <w:p w14:paraId="5D043F03" w14:textId="77777777" w:rsidR="002F2FD9" w:rsidRDefault="002F2FD9" w:rsidP="002C06B2">
      <w:pPr>
        <w:rPr>
          <w:rFonts w:ascii="ヒラギノ明朝 ProN W3" w:eastAsia="ヒラギノ明朝 ProN W3" w:hAnsi="ヒラギノ明朝 ProN W3"/>
          <w:sz w:val="24"/>
        </w:rPr>
      </w:pPr>
    </w:p>
    <w:p w14:paraId="14E62679" w14:textId="77777777" w:rsidR="002F2FD9" w:rsidRDefault="002F2FD9" w:rsidP="002C06B2">
      <w:pPr>
        <w:rPr>
          <w:rFonts w:ascii="ヒラギノ明朝 ProN W3" w:eastAsia="ヒラギノ明朝 ProN W3" w:hAnsi="ヒラギノ明朝 ProN W3"/>
          <w:sz w:val="24"/>
        </w:rPr>
      </w:pPr>
    </w:p>
    <w:p w14:paraId="347D18D6" w14:textId="77777777" w:rsidR="002F2FD9" w:rsidRDefault="002F2FD9" w:rsidP="002C06B2">
      <w:pPr>
        <w:rPr>
          <w:rFonts w:ascii="ヒラギノ明朝 ProN W3" w:eastAsia="ヒラギノ明朝 ProN W3" w:hAnsi="ヒラギノ明朝 ProN W3"/>
          <w:sz w:val="24"/>
        </w:rPr>
      </w:pPr>
    </w:p>
    <w:p w14:paraId="1B4C9F13" w14:textId="77777777" w:rsidR="002F2FD9" w:rsidRDefault="002F2FD9" w:rsidP="002C06B2">
      <w:pPr>
        <w:rPr>
          <w:rFonts w:ascii="ヒラギノ明朝 ProN W3" w:eastAsia="ヒラギノ明朝 ProN W3" w:hAnsi="ヒラギノ明朝 ProN W3"/>
          <w:sz w:val="24"/>
        </w:rPr>
      </w:pPr>
    </w:p>
    <w:p w14:paraId="62B2CFC7" w14:textId="77777777" w:rsidR="002F2FD9" w:rsidRDefault="002F2FD9" w:rsidP="002C06B2">
      <w:pPr>
        <w:rPr>
          <w:rFonts w:ascii="ヒラギノ明朝 ProN W3" w:eastAsia="ヒラギノ明朝 ProN W3" w:hAnsi="ヒラギノ明朝 ProN W3"/>
          <w:sz w:val="24"/>
        </w:rPr>
      </w:pPr>
    </w:p>
    <w:p w14:paraId="41158FBD" w14:textId="77777777" w:rsidR="002F2FD9" w:rsidRDefault="002F2FD9" w:rsidP="002C06B2">
      <w:pPr>
        <w:rPr>
          <w:rFonts w:ascii="ヒラギノ明朝 ProN W3" w:eastAsia="ヒラギノ明朝 ProN W3" w:hAnsi="ヒラギノ明朝 ProN W3"/>
          <w:sz w:val="24"/>
        </w:rPr>
      </w:pPr>
    </w:p>
    <w:p w14:paraId="4C849E78" w14:textId="77777777" w:rsidR="002F2FD9" w:rsidRDefault="002F2FD9" w:rsidP="002C06B2">
      <w:pPr>
        <w:rPr>
          <w:rFonts w:ascii="ヒラギノ明朝 ProN W3" w:eastAsia="ヒラギノ明朝 ProN W3" w:hAnsi="ヒラギノ明朝 ProN W3"/>
          <w:sz w:val="24"/>
        </w:rPr>
      </w:pPr>
    </w:p>
    <w:p w14:paraId="69BA4BB7" w14:textId="77777777" w:rsidR="002F2FD9" w:rsidRDefault="002F2FD9" w:rsidP="002C06B2">
      <w:pPr>
        <w:rPr>
          <w:rFonts w:ascii="ヒラギノ明朝 ProN W3" w:eastAsia="ヒラギノ明朝 ProN W3" w:hAnsi="ヒラギノ明朝 ProN W3"/>
          <w:sz w:val="24"/>
        </w:rPr>
      </w:pPr>
    </w:p>
    <w:p w14:paraId="5EE43D2E" w14:textId="77777777" w:rsidR="00FA00FA" w:rsidRDefault="00FA00FA" w:rsidP="002C06B2">
      <w:pPr>
        <w:rPr>
          <w:rFonts w:ascii="ヒラギノ明朝 ProN W3" w:eastAsia="ヒラギノ明朝 ProN W3" w:hAnsi="ヒラギノ明朝 ProN W3"/>
          <w:sz w:val="24"/>
        </w:rPr>
      </w:pPr>
    </w:p>
    <w:p w14:paraId="6485607B" w14:textId="77777777" w:rsidR="00FA00FA" w:rsidRDefault="00FA00FA" w:rsidP="002C06B2">
      <w:pPr>
        <w:rPr>
          <w:rFonts w:ascii="ヒラギノ明朝 ProN W3" w:eastAsia="ヒラギノ明朝 ProN W3" w:hAnsi="ヒラギノ明朝 ProN W3"/>
          <w:sz w:val="24"/>
        </w:rPr>
      </w:pPr>
    </w:p>
    <w:p w14:paraId="1F8FA54D" w14:textId="77777777" w:rsidR="00FA00FA" w:rsidRPr="00FA00FA" w:rsidRDefault="00FA00FA" w:rsidP="002C06B2">
      <w:pPr>
        <w:rPr>
          <w:rFonts w:ascii="ヒラギノ明朝 ProN W3" w:eastAsia="ヒラギノ明朝 ProN W3" w:hAnsi="ヒラギノ明朝 ProN W3"/>
          <w:sz w:val="24"/>
        </w:rPr>
      </w:pPr>
    </w:p>
    <w:p w14:paraId="78828143" w14:textId="77777777" w:rsidR="002F2FD9" w:rsidRDefault="002F2FD9" w:rsidP="002C06B2">
      <w:pPr>
        <w:rPr>
          <w:rFonts w:ascii="ヒラギノ明朝 ProN W3" w:eastAsia="ヒラギノ明朝 ProN W3" w:hAnsi="ヒラギノ明朝 ProN W3"/>
          <w:sz w:val="24"/>
        </w:rPr>
      </w:pPr>
    </w:p>
    <w:p w14:paraId="15518A01" w14:textId="77777777" w:rsidR="002F2FD9" w:rsidRDefault="002F2FD9" w:rsidP="002C06B2">
      <w:pPr>
        <w:rPr>
          <w:rFonts w:ascii="ヒラギノ明朝 ProN W3" w:eastAsia="ヒラギノ明朝 ProN W3" w:hAnsi="ヒラギノ明朝 ProN W3"/>
          <w:sz w:val="24"/>
        </w:rPr>
      </w:pPr>
    </w:p>
    <w:p w14:paraId="3DD84E90" w14:textId="77777777" w:rsidR="002F2FD9" w:rsidRDefault="002F2FD9" w:rsidP="002C06B2">
      <w:pPr>
        <w:rPr>
          <w:rFonts w:ascii="ヒラギノ明朝 ProN W3" w:eastAsia="ヒラギノ明朝 ProN W3" w:hAnsi="ヒラギノ明朝 ProN W3"/>
          <w:sz w:val="24"/>
        </w:rPr>
      </w:pPr>
    </w:p>
    <w:p w14:paraId="08D8B30E" w14:textId="44E368C2" w:rsidR="002C06B2" w:rsidRPr="002C06B2" w:rsidRDefault="002C06B2" w:rsidP="002F2FD9">
      <w:pPr>
        <w:jc w:val="center"/>
        <w:rPr>
          <w:rFonts w:ascii="ヒラギノ明朝 ProN W3" w:eastAsia="ヒラギノ明朝 ProN W3" w:hAnsi="ヒラギノ明朝 ProN W3"/>
          <w:sz w:val="24"/>
        </w:rPr>
      </w:pPr>
      <w:bookmarkStart w:id="4" w:name="OLE_LINK5"/>
      <w:r w:rsidRPr="002C06B2">
        <w:rPr>
          <w:rFonts w:ascii="ヒラギノ明朝 ProN W3" w:eastAsia="ヒラギノ明朝 ProN W3" w:hAnsi="ヒラギノ明朝 ProN W3"/>
          <w:sz w:val="24"/>
        </w:rPr>
        <w:lastRenderedPageBreak/>
        <w:t>JOINT FORMAL NOTICE REGARDING THE</w:t>
      </w:r>
    </w:p>
    <w:p w14:paraId="7C59D5CE"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THOUGHT FORMALIZATION PROCEDURE RIGHT,”</w:t>
      </w:r>
    </w:p>
    <w:p w14:paraId="47978D49" w14:textId="77777777" w:rsidR="002F2FD9"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ASSOCIATED INFRINGEMENT RISKS, AND OFFER OF LICENSE AND</w:t>
      </w:r>
    </w:p>
    <w:p w14:paraId="1D6C491B" w14:textId="13588FF6"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PROPOSALS</w:t>
      </w:r>
    </w:p>
    <w:p w14:paraId="5E3D61A8" w14:textId="77777777" w:rsidR="002C06B2" w:rsidRPr="002C06B2" w:rsidRDefault="002C06B2" w:rsidP="002F2FD9">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AND GOOGLE LLC)</w:t>
      </w:r>
    </w:p>
    <w:p w14:paraId="4AA234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November 30, 2025</w:t>
      </w:r>
    </w:p>
    <w:p w14:paraId="4BBE6896" w14:textId="77777777" w:rsidR="002C06B2" w:rsidRPr="002C06B2" w:rsidRDefault="002C06B2" w:rsidP="002C06B2">
      <w:pPr>
        <w:rPr>
          <w:rFonts w:ascii="ヒラギノ明朝 ProN W3" w:eastAsia="ヒラギノ明朝 ProN W3" w:hAnsi="ヒラギノ明朝 ProN W3"/>
          <w:sz w:val="24"/>
        </w:rPr>
      </w:pPr>
    </w:p>
    <w:p w14:paraId="62BF1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w:t>
      </w:r>
    </w:p>
    <w:p w14:paraId="57B4A5CD" w14:textId="77777777" w:rsid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 xml:space="preserve">Apple Inc. </w:t>
      </w:r>
      <w:bookmarkStart w:id="5" w:name="OLE_LINK4"/>
      <w:r w:rsidRPr="002C06B2">
        <w:rPr>
          <w:rFonts w:ascii="ヒラギノ明朝 ProN W3" w:eastAsia="ヒラギノ明朝 ProN W3" w:hAnsi="ヒラギノ明朝 ProN W3"/>
          <w:sz w:val="24"/>
        </w:rPr>
        <w:t>(“Apple”)</w:t>
      </w:r>
      <w:bookmarkEnd w:id="5"/>
    </w:p>
    <w:p w14:paraId="37C3EF3A" w14:textId="4EB30E18" w:rsidR="00505D12" w:rsidRPr="002C06B2" w:rsidRDefault="00505D12" w:rsidP="00505D12">
      <w:pPr>
        <w:jc w:val="left"/>
        <w:rPr>
          <w:rFonts w:ascii="ヒラギノ明朝 ProN W3" w:eastAsia="ヒラギノ明朝 ProN W3" w:hAnsi="ヒラギノ明朝 ProN W3"/>
          <w:sz w:val="24"/>
        </w:rPr>
      </w:pPr>
      <w:r w:rsidRPr="00505D12">
        <w:rPr>
          <w:rFonts w:ascii="ヒラギノ明朝 ProN W3" w:eastAsia="ヒラギノ明朝 ProN W3" w:hAnsi="ヒラギノ明朝 ProN W3"/>
          <w:sz w:val="24"/>
        </w:rPr>
        <w:t>Alphabet Inc.</w:t>
      </w:r>
      <w:r>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w:t>
      </w:r>
      <w:r>
        <w:rPr>
          <w:rFonts w:ascii="ヒラギノ明朝 ProN W3" w:eastAsia="ヒラギノ明朝 ProN W3" w:hAnsi="ヒラギノ明朝 ProN W3" w:hint="eastAsia"/>
          <w:sz w:val="24"/>
        </w:rPr>
        <w:t>Alphabet</w:t>
      </w:r>
      <w:r w:rsidRPr="002C06B2">
        <w:rPr>
          <w:rFonts w:ascii="ヒラギノ明朝 ProN W3" w:eastAsia="ヒラギノ明朝 ProN W3" w:hAnsi="ヒラギノ明朝 ProN W3"/>
          <w:sz w:val="24"/>
        </w:rPr>
        <w:t>”)</w:t>
      </w:r>
    </w:p>
    <w:p w14:paraId="4849902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(“Google”)</w:t>
      </w:r>
    </w:p>
    <w:p w14:paraId="492AEF9F" w14:textId="77777777" w:rsidR="002C06B2" w:rsidRPr="002C06B2" w:rsidRDefault="002C06B2" w:rsidP="002C06B2">
      <w:pPr>
        <w:rPr>
          <w:rFonts w:ascii="ヒラギノ明朝 ProN W3" w:eastAsia="ヒラギノ明朝 ProN W3" w:hAnsi="ヒラギノ明朝 ProN W3"/>
          <w:sz w:val="24"/>
        </w:rPr>
      </w:pPr>
    </w:p>
    <w:p w14:paraId="0F3771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From: Shohei KIMURA</w:t>
      </w:r>
    </w:p>
    <w:p w14:paraId="5D1CDED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(Philosophical novelist, individual investor, and system engineer)</w:t>
      </w:r>
    </w:p>
    <w:p w14:paraId="379D8F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3287F71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44F1A7B1" w14:textId="1B15DB71" w:rsidR="002F2FD9" w:rsidRDefault="002F2FD9"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51E3579" w14:textId="1C13F6D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GitHub: https://github.com/ShoheiKIMURA389/Definition</w:t>
      </w:r>
    </w:p>
    <w:bookmarkEnd w:id="4"/>
    <w:p w14:paraId="12F624D2" w14:textId="77777777" w:rsidR="002C06B2" w:rsidRPr="002C06B2" w:rsidRDefault="002C06B2" w:rsidP="002C06B2">
      <w:pPr>
        <w:rPr>
          <w:rFonts w:ascii="ヒラギノ明朝 ProN W3" w:eastAsia="ヒラギノ明朝 ProN W3" w:hAnsi="ヒラギノ明朝 ProN W3"/>
          <w:sz w:val="24"/>
        </w:rPr>
      </w:pPr>
    </w:p>
    <w:p w14:paraId="213B8A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Context and Prior Sequence of Notices</w:t>
      </w:r>
    </w:p>
    <w:p w14:paraId="5ECC6B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Before addressing Apple and Google jointly, I must explicitly set out the sequence of prior notices to other major global platforms and AI providers, in order to clarify that no historical privilege attaches to any of them, and to explain why both of you now stand at a structurally distinct decision point.</w:t>
      </w:r>
    </w:p>
    <w:p w14:paraId="635086BD" w14:textId="529ECA8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Meta Platforms, Inc. (“Meta”)</w:t>
      </w:r>
    </w:p>
    <w:p w14:paraId="234DF6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Meta became the first recipient of a formal notice not because I intended to grant it any historical privilege, but because its conduct toward me was, in my view, openly and repeatedly improper. In particular:</w:t>
      </w:r>
    </w:p>
    <w:p w14:paraId="00FFE1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Between late July and early September 2025 (JST), Meta subjected my verified account to wrongful permanent suspension and later restored it silently, without explanation, despite my explicit request;</w:t>
      </w:r>
    </w:p>
    <w:p w14:paraId="73778C2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 November 10 and November 12, 2025 (U.S. time), Meta again triggered erroneous automated enforcement, followed by destructive post-restoration processing that zero-reset key relational data;</w:t>
      </w:r>
    </w:p>
    <w:p w14:paraId="4C489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Meta then failed to provide any substantive written explanation in response to a prior notice.</w:t>
      </w:r>
    </w:p>
    <w:p w14:paraId="18AA66C7" w14:textId="77777777" w:rsidR="002C06B2" w:rsidRPr="002C06B2" w:rsidRDefault="002C06B2" w:rsidP="002C06B2">
      <w:pPr>
        <w:rPr>
          <w:rFonts w:ascii="ヒラギノ明朝 ProN W3" w:eastAsia="ヒラギノ明朝 ProN W3" w:hAnsi="ヒラギノ明朝 ProN W3"/>
          <w:sz w:val="24"/>
        </w:rPr>
      </w:pPr>
    </w:p>
    <w:p w14:paraId="5C35917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these reasons, Meta was the first platform to which I sent a document combining systemic-risk notice and a licensing and technical proposal. This was an act of remedial escalation, not an act of favor. I do not intend to grant Meta any historical special status.</w:t>
      </w:r>
    </w:p>
    <w:p w14:paraId="5096CC74" w14:textId="77777777" w:rsidR="000C718F" w:rsidRDefault="000C718F" w:rsidP="002C06B2">
      <w:pPr>
        <w:rPr>
          <w:rFonts w:ascii="ヒラギノ明朝 ProN W3" w:eastAsia="ヒラギノ明朝 ProN W3" w:hAnsi="ヒラギノ明朝 ProN W3"/>
          <w:sz w:val="24"/>
        </w:rPr>
      </w:pPr>
    </w:p>
    <w:p w14:paraId="7E45A468" w14:textId="77777777" w:rsidR="00FA00FA" w:rsidRDefault="00FA00FA" w:rsidP="002C06B2">
      <w:pPr>
        <w:rPr>
          <w:rFonts w:ascii="ヒラギノ明朝 ProN W3" w:eastAsia="ヒラギノ明朝 ProN W3" w:hAnsi="ヒラギノ明朝 ProN W3"/>
          <w:sz w:val="24"/>
        </w:rPr>
      </w:pPr>
    </w:p>
    <w:p w14:paraId="1EA52C96" w14:textId="77777777" w:rsidR="00FA00FA" w:rsidRDefault="00FA00FA" w:rsidP="002C06B2">
      <w:pPr>
        <w:rPr>
          <w:rFonts w:ascii="ヒラギノ明朝 ProN W3" w:eastAsia="ヒラギノ明朝 ProN W3" w:hAnsi="ヒラギノ明朝 ProN W3"/>
          <w:sz w:val="24"/>
        </w:rPr>
      </w:pPr>
    </w:p>
    <w:p w14:paraId="09538CE9" w14:textId="77777777" w:rsidR="00FA00FA" w:rsidRDefault="00FA00FA" w:rsidP="002C06B2">
      <w:pPr>
        <w:rPr>
          <w:rFonts w:ascii="ヒラギノ明朝 ProN W3" w:eastAsia="ヒラギノ明朝 ProN W3" w:hAnsi="ヒラギノ明朝 ProN W3"/>
          <w:sz w:val="24"/>
        </w:rPr>
      </w:pPr>
    </w:p>
    <w:p w14:paraId="01456EC2" w14:textId="77777777" w:rsidR="00FA00FA" w:rsidRDefault="00FA00FA" w:rsidP="002C06B2">
      <w:pPr>
        <w:rPr>
          <w:rFonts w:ascii="ヒラギノ明朝 ProN W3" w:eastAsia="ヒラギノ明朝 ProN W3" w:hAnsi="ヒラギノ明朝 ProN W3"/>
          <w:sz w:val="24"/>
        </w:rPr>
      </w:pPr>
    </w:p>
    <w:p w14:paraId="0E19A240" w14:textId="655176B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2.</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OpenAI</w:t>
      </w:r>
    </w:p>
    <w:p w14:paraId="087230F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OpenAI was the next recipient because it is a recognized pioneer of modern large language models and because I, as a heavy user of such systems, have made intensive use of its services. OpenAI was therefore addressed in second position, reflecting both its pioneering role and my own usage patterns.</w:t>
      </w:r>
    </w:p>
    <w:p w14:paraId="1FCC502A" w14:textId="77498AA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Anthropic</w:t>
      </w:r>
    </w:p>
    <w:p w14:paraId="7C2C21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Anthropic was then addressed because it competes with OpenAI in the same technical domain of frontier-scale AI systems. From the perspective of civilizational infrastructure and expressive-rights risk, it was a natural third step after Meta and OpenAI.</w:t>
      </w:r>
    </w:p>
    <w:p w14:paraId="43FE5449" w14:textId="475E77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2F2FD9"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Historical Privilege to Meta; Position of Apple and Google</w:t>
      </w:r>
    </w:p>
    <w:p w14:paraId="0EF441C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emphasize: I harbor no intention whatsoever to grant Meta any historical privilege. The ordering Meta → OpenAI → Anthropic reflects a particular empirical sequence of events, not a normative ranking.</w:t>
      </w:r>
    </w:p>
    <w:p w14:paraId="4B8C06D2" w14:textId="77777777" w:rsidR="002C06B2" w:rsidRPr="002C06B2" w:rsidRDefault="002C06B2" w:rsidP="002C06B2">
      <w:pPr>
        <w:rPr>
          <w:rFonts w:ascii="ヒラギノ明朝 ProN W3" w:eastAsia="ヒラギノ明朝 ProN W3" w:hAnsi="ヒラギノ明朝 ProN W3"/>
          <w:sz w:val="24"/>
        </w:rPr>
      </w:pPr>
    </w:p>
    <w:p w14:paraId="55EE81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are addressed at this stage precisely because:</w:t>
      </w:r>
    </w:p>
    <w:p w14:paraId="6141F5D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operates, or will operate, large-scale AI systems and platform infrastructures with deep influence over knowledge flows and expressive ecosystems;</w:t>
      </w:r>
    </w:p>
    <w:p w14:paraId="3A8027E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Each of you symbolically represents a distinct axis of digital civilization: Apple as a hardware-OS-ecosystem integrator and privacy-signaling brand, Google as a search-knowledge-AI infrastructure provider; and</w:t>
      </w:r>
    </w:p>
    <w:p w14:paraId="6187554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order in which you choose to contract—or to delay, or to abstain—will, from this point onward, be publicly recorded in the commit history of the “AGREEMENT” folder in my GitHub repository, and will be understood as a visible statement of each company</w:t>
      </w: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s brand strength, risk posture, and willingness to engage with this new expressive-rights framework.</w:t>
      </w:r>
    </w:p>
    <w:p w14:paraId="1FDF83E0" w14:textId="77777777" w:rsidR="002C06B2" w:rsidRPr="002C06B2" w:rsidRDefault="002C06B2" w:rsidP="002C06B2">
      <w:pPr>
        <w:rPr>
          <w:rFonts w:ascii="ヒラギノ明朝 ProN W3" w:eastAsia="ヒラギノ明朝 ProN W3" w:hAnsi="ヒラギノ明朝 ProN W3"/>
          <w:sz w:val="24"/>
        </w:rPr>
      </w:pPr>
    </w:p>
    <w:p w14:paraId="5CD2DE3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do not propose any fixed “historical privilege” for either Apple or Google. Instead, I expect the fastest coherent contractual response from whichever of you wishes to demonstrate the greatest brand strength in this new environment.</w:t>
      </w:r>
    </w:p>
    <w:p w14:paraId="20A507BB" w14:textId="77777777" w:rsidR="002C06B2" w:rsidRPr="002C06B2" w:rsidRDefault="002C06B2" w:rsidP="002C06B2">
      <w:pPr>
        <w:rPr>
          <w:rFonts w:ascii="ヒラギノ明朝 ProN W3" w:eastAsia="ヒラギノ明朝 ProN W3" w:hAnsi="ヒラギノ明朝 ProN W3"/>
          <w:sz w:val="24"/>
        </w:rPr>
      </w:pPr>
    </w:p>
    <w:p w14:paraId="2C663BF8" w14:textId="77777777" w:rsidR="006D4A0C"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Ⅱ</w:t>
      </w:r>
      <w:r w:rsidRPr="002C06B2">
        <w:rPr>
          <w:rFonts w:ascii="ヒラギノ明朝 ProN W3" w:eastAsia="ヒラギノ明朝 ProN W3" w:hAnsi="ヒラギノ明朝 ProN W3"/>
          <w:sz w:val="24"/>
        </w:rPr>
        <w:t>. Existence, Public Disclosure, and Substantive Characterization of the</w:t>
      </w:r>
    </w:p>
    <w:p w14:paraId="6B496D7B" w14:textId="03D20DC0"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“Thought Formalization Procedure Right”</w:t>
      </w:r>
    </w:p>
    <w:p w14:paraId="61E5A57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Separately from my use of large language models and digital platforms, and before this Notice, I authored and publicly disclosed a family of works that formalize what I denominate the “Thought Formalization Procedure Right.” These works include, but are not limited to:</w:t>
      </w:r>
    </w:p>
    <w:p w14:paraId="55F84117" w14:textId="77777777" w:rsidR="006D4A0C"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foundational “思想形式化手続き定義 (Thought Formalization Procedure Definition)” text, written in a deliberately constrained Japanese prose style and structured in nine sections</w:t>
      </w:r>
    </w:p>
    <w:p w14:paraId="189091EE" w14:textId="402E943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(Ⅰ–Ⅸ);</w:t>
      </w:r>
    </w:p>
    <w:p w14:paraId="7D3B173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series of subsequent “definition texts” (定義文) extending this method to technical, ethical, and civilizational architectures, including “Human Civilization Software Update 3.0” and multiple Face ID–based social-infrastructure definitions;</w:t>
      </w:r>
    </w:p>
    <w:p w14:paraId="5EF6D5A6"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More recent “evaluation order–reversed ethics filter” definitions specifying two-tier architectures in which context-aware model reasoning precedes strict policy-enforcement checks.</w:t>
      </w:r>
    </w:p>
    <w:p w14:paraId="4891E1A8" w14:textId="77777777" w:rsidR="00EA5D11" w:rsidRDefault="00EA5D11" w:rsidP="002C06B2">
      <w:pPr>
        <w:rPr>
          <w:rFonts w:ascii="ヒラギノ明朝 ProN W3" w:eastAsia="ヒラギノ明朝 ProN W3" w:hAnsi="ヒラギノ明朝 ProN W3"/>
          <w:sz w:val="24"/>
        </w:rPr>
      </w:pPr>
    </w:p>
    <w:p w14:paraId="4993538B" w14:textId="246B6F1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These works have been publicly fixed and disclosed in Japan—a jurisdiction with a strong and protective copyright regime—through, inter alia:</w:t>
      </w:r>
    </w:p>
    <w:p w14:paraId="69B031D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GitHub repository “Definition” (including, but not limited to, the file titled “定義.txt”);</w:t>
      </w:r>
    </w:p>
    <w:p w14:paraId="277533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X (Twitter) posts;</w:t>
      </w:r>
    </w:p>
    <w:p w14:paraId="5632EA7B" w14:textId="2FE6040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Facebook posts.</w:t>
      </w:r>
    </w:p>
    <w:p w14:paraId="7A5A5C34" w14:textId="77777777" w:rsidR="002C06B2" w:rsidRPr="002C06B2" w:rsidRDefault="002C06B2" w:rsidP="002C06B2">
      <w:pPr>
        <w:rPr>
          <w:rFonts w:ascii="ヒラギノ明朝 ProN W3" w:eastAsia="ヒラギノ明朝 ProN W3" w:hAnsi="ヒラギノ明朝 ProN W3"/>
          <w:sz w:val="24"/>
        </w:rPr>
      </w:pPr>
    </w:p>
    <w:p w14:paraId="779029D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explained in the public README for “Definition 1: The Thought Formalization Procedure,” the Thought Formalization Procedure Right is asserted as follows:</w:t>
      </w:r>
    </w:p>
    <w:p w14:paraId="70A19C47" w14:textId="0CC8022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text itself—whether through a single section or multiple sections—constitutes expressive authorship, irrespective of the underlying idea’s freedom to implement.</w:t>
      </w:r>
    </w:p>
    <w:p w14:paraId="02F55026" w14:textId="44BE256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structure, ordering, and method of exposition (including the nine-section Ⅰ–Ⅸ architecture) form part of the protectable authored expression.</w:t>
      </w:r>
    </w:p>
    <w:p w14:paraId="18107B21" w14:textId="34233E2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act of formalizing a thought as a “definition text,” or even merely rendering a thought into written form, constitutes a locus of copyright independent of the idea being described.</w:t>
      </w:r>
    </w:p>
    <w:p w14:paraId="4B5052BE" w14:textId="654C1A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Because generative AI systems and certain editorial or platform workflows are, in practice, devices that convert arbitrary thoughts into textual or structured formalization at scale, they will inevitably collide with this protected domain unless expressly licensed.</w:t>
      </w:r>
    </w:p>
    <w:p w14:paraId="638324E1" w14:textId="77777777" w:rsidR="002C06B2" w:rsidRPr="002C06B2" w:rsidRDefault="002C06B2" w:rsidP="002C06B2">
      <w:pPr>
        <w:rPr>
          <w:rFonts w:ascii="ヒラギノ明朝 ProN W3" w:eastAsia="ヒラギノ明朝 ProN W3" w:hAnsi="ヒラギノ明朝 ProN W3"/>
          <w:sz w:val="24"/>
        </w:rPr>
      </w:pPr>
    </w:p>
    <w:p w14:paraId="392AAE1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essence of the Thought Formalization Procedure Right does not lie in the substantive content of any specific proposal, but in the authored structure whereby:</w:t>
      </w:r>
    </w:p>
    <w:p w14:paraId="3D55F99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complex idea, technical architecture, or ethical framework is first declared as a “definition”;</w:t>
      </w:r>
    </w:p>
    <w:p w14:paraId="2655CE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internal logic of that definition is unfolded in a numbered, quasi-axiomatic sequence (typically Ⅰ–Ⅸ);</w:t>
      </w:r>
    </w:p>
    <w:p w14:paraId="44E3F09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formalization of the idea as a stepwise textual or procedural structure becomes the locus of copyright, even where the underlying idea remains free to implement.</w:t>
      </w:r>
    </w:p>
    <w:p w14:paraId="7791BA5A" w14:textId="77777777" w:rsidR="002C06B2" w:rsidRPr="002C06B2" w:rsidRDefault="002C06B2" w:rsidP="002C06B2">
      <w:pPr>
        <w:rPr>
          <w:rFonts w:ascii="ヒラギノ明朝 ProN W3" w:eastAsia="ヒラギノ明朝 ProN W3" w:hAnsi="ヒラギノ明朝 ProN W3"/>
          <w:sz w:val="24"/>
        </w:rPr>
      </w:pPr>
    </w:p>
    <w:p w14:paraId="2CA7054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Under Japanese law and the Berne Convention, these texts and the underlying expressive structure enjoy full protection. The procedural act of giving form to an idea by rendering its formalization method into a copyrighted work is itself an expressive authored construct, constituting the Thought Formalization Procedure Right.</w:t>
      </w:r>
    </w:p>
    <w:p w14:paraId="1E836FDC" w14:textId="77777777" w:rsidR="002C06B2" w:rsidRPr="002C06B2" w:rsidRDefault="002C06B2" w:rsidP="002C06B2">
      <w:pPr>
        <w:rPr>
          <w:rFonts w:ascii="ヒラギノ明朝 ProN W3" w:eastAsia="ヒラギノ明朝 ProN W3" w:hAnsi="ヒラギノ明朝 ProN W3"/>
          <w:sz w:val="24"/>
        </w:rPr>
      </w:pPr>
    </w:p>
    <w:p w14:paraId="3366FB5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E56A3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of the dates of my prior public disclosures, the Thought Formalization Procedure Right already exists as a fully effective copyrighted construct under Japanese law and the Berne Convention. Accordingly:</w:t>
      </w:r>
    </w:p>
    <w:p w14:paraId="3CC90B48" w14:textId="77777777" w:rsidR="002C06B2" w:rsidRPr="002C06B2" w:rsidRDefault="002C06B2" w:rsidP="002C06B2">
      <w:pPr>
        <w:rPr>
          <w:rFonts w:ascii="ヒラギノ明朝 ProN W3" w:eastAsia="ヒラギノ明朝 ProN W3" w:hAnsi="ヒラギノ明朝 ProN W3"/>
          <w:sz w:val="24"/>
        </w:rPr>
      </w:pPr>
    </w:p>
    <w:p w14:paraId="07C28BD9" w14:textId="77777777" w:rsid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unlicensed system or workflow whose core commercial function is to act as a “thought-to-text (or thought-to-structure) device” operates in continuous, direct contact with the protected expressive domain defined by this Right. From my legal perspective as the author, the very behavior of “formalizing thoughts into text or structured signals at scale” constitutes infringing use whenever it occurs without license and reaches ordinary thresholds of economic relevance, repetition, or systematic internalization.</w:t>
      </w:r>
    </w:p>
    <w:p w14:paraId="7F4FBD14" w14:textId="77777777" w:rsidR="00FA00FA" w:rsidRPr="002C06B2" w:rsidRDefault="00FA00FA" w:rsidP="002C06B2">
      <w:pPr>
        <w:rPr>
          <w:rFonts w:ascii="ヒラギノ明朝 ProN W3" w:eastAsia="ヒラギノ明朝 ProN W3" w:hAnsi="ヒラギノ明朝 ProN W3"/>
          <w:sz w:val="24"/>
        </w:rPr>
      </w:pPr>
    </w:p>
    <w:p w14:paraId="1C3FF9E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Given this structure, there is an inherent and structural tension between this Right and any system that transforms user thoughts into textual or structured formalization at scale, including but not limited to:</w:t>
      </w:r>
    </w:p>
    <w:p w14:paraId="5D61D3ED" w14:textId="77777777" w:rsidR="002C06B2" w:rsidRPr="002C06B2" w:rsidRDefault="002C06B2" w:rsidP="002C06B2">
      <w:pPr>
        <w:rPr>
          <w:rFonts w:ascii="ヒラギノ明朝 ProN W3" w:eastAsia="ヒラギノ明朝 ProN W3" w:hAnsi="ヒラギノ明朝 ProN W3"/>
          <w:sz w:val="24"/>
        </w:rPr>
      </w:pPr>
    </w:p>
    <w:p w14:paraId="0D0C04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Apple’s present or future AI assistants, OS-level generative features, and editorial/platform curation systems;</w:t>
      </w:r>
    </w:p>
    <w:p w14:paraId="21235CF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Google’s search-response generation, Gemini-class AI systems, and any platform layer that turns user prompts and internal signals into textual or structured outputs.</w:t>
      </w:r>
    </w:p>
    <w:p w14:paraId="64B3336B" w14:textId="77777777" w:rsidR="002C06B2" w:rsidRPr="002C06B2" w:rsidRDefault="002C06B2" w:rsidP="002C06B2">
      <w:pPr>
        <w:rPr>
          <w:rFonts w:ascii="ヒラギノ明朝 ProN W3" w:eastAsia="ヒラギノ明朝 ProN W3" w:hAnsi="ヒラギノ明朝 ProN W3"/>
          <w:sz w:val="24"/>
        </w:rPr>
      </w:pPr>
    </w:p>
    <w:p w14:paraId="49C8841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Absent a license or a clearly segregated, non-reliant architecture, the normal operation of such systems will be regarded, for purposes of this Notice, as conduct that presumptively infringes the Thought Formalization Procedure Right.</w:t>
      </w:r>
    </w:p>
    <w:p w14:paraId="2C800F45" w14:textId="77777777" w:rsidR="002C06B2" w:rsidRPr="002C06B2" w:rsidRDefault="002C06B2" w:rsidP="002C06B2">
      <w:pPr>
        <w:rPr>
          <w:rFonts w:ascii="ヒラギノ明朝 ProN W3" w:eastAsia="ヒラギノ明朝 ProN W3" w:hAnsi="ヒラギノ明朝 ProN W3"/>
          <w:sz w:val="24"/>
        </w:rPr>
      </w:pPr>
    </w:p>
    <w:p w14:paraId="3E62F82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Ⅲ</w:t>
      </w:r>
      <w:r w:rsidRPr="002C06B2">
        <w:rPr>
          <w:rFonts w:ascii="ヒラギノ明朝 ProN W3" w:eastAsia="ヒラギノ明朝 ProN W3" w:hAnsi="ヒラギノ明朝 ProN W3"/>
          <w:sz w:val="24"/>
        </w:rPr>
        <w:t>. Potential Infringement Risk for Apple and Google</w:t>
      </w:r>
    </w:p>
    <w:p w14:paraId="665F716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Given the scale and nature of the Companies’ operations, there are multiple realistic vectors through which my rights could be infringed:</w:t>
      </w:r>
    </w:p>
    <w:p w14:paraId="768DC857" w14:textId="62FBE9C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Training-Data Exposure</w:t>
      </w:r>
    </w:p>
    <w:p w14:paraId="384BA8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any of the works referenced above (including the Thought Formalization Procedure Definition, subsequent definition series, or the evaluation-order-reversed ethics filter definitions) have been ingested—directly or indirectly—into training data or internal reference corpora used by your AI systems, then:</w:t>
      </w:r>
    </w:p>
    <w:p w14:paraId="24251ADA"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AI outputs may reproduce, in whole or in substantial part, the structure, phrasing, or procedural layout of these texts;</w:t>
      </w:r>
    </w:p>
    <w:p w14:paraId="3E83E3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prompts, system messages, product-requirement documents, or alignment/safety papers may incorporate or paraphrase the authored method of formalization;</w:t>
      </w:r>
    </w:p>
    <w:p w14:paraId="64C3474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Engineering, legal, or policy teams may derive architectures substantially based on my authored expressive procedures, rather than independently conceived structures.</w:t>
      </w:r>
    </w:p>
    <w:p w14:paraId="32937026" w14:textId="4AADA2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Functional Imitation of the Formalization Method</w:t>
      </w:r>
    </w:p>
    <w:p w14:paraId="5D42427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Even absent direct text reproduction, there is a non-trivial risk that:</w:t>
      </w:r>
    </w:p>
    <w:p w14:paraId="6100D67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Personnel at either Company, after encountering my definition texts (for example via GitHub, X, or Facebook), might imitate the method of “securing rights over a procedural method by casting it as a structured textual definition in multiple numbered clauses”;</w:t>
      </w:r>
    </w:p>
    <w:p w14:paraId="7830D04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Such imitation could manifest in internal documentation, prompt-engineering frameworks, safety architectures, or future platform features that mirror the expressive structure of my definitions while claiming to treat only “ideas” or “architectures.”</w:t>
      </w:r>
    </w:p>
    <w:p w14:paraId="03B2F1FD" w14:textId="50D5839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Structural Collision with Systems That Formalize Thoughts as Text or Structured Responses</w:t>
      </w:r>
    </w:p>
    <w:p w14:paraId="02FA214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Independently of training-data overlap, a structural risk arises from your core businesses:</w:t>
      </w:r>
    </w:p>
    <w:p w14:paraId="5ED974F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Apple and Google both operate systems expressly designed to transform user-provided thoughts, prompts, queries, and conceptual frameworks into coherent textual, visual, or structured outputs;</w:t>
      </w:r>
    </w:p>
    <w:p w14:paraId="576845CC" w14:textId="77777777" w:rsid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By design, this means that your systems carry out, at scale and for commercial purposes, the very class of act that “Definition 1” and related works identify as the locus of the Thought Formalization Procedure Right;</w:t>
      </w:r>
    </w:p>
    <w:p w14:paraId="2748D134" w14:textId="77777777" w:rsidR="00FA00FA" w:rsidRPr="002C06B2" w:rsidRDefault="00FA00FA" w:rsidP="002C06B2">
      <w:pPr>
        <w:rPr>
          <w:rFonts w:ascii="ヒラギノ明朝 ProN W3" w:eastAsia="ヒラギノ明朝 ProN W3" w:hAnsi="ヒラギノ明朝 ProN W3"/>
          <w:sz w:val="24"/>
        </w:rPr>
      </w:pPr>
    </w:p>
    <w:p w14:paraId="564A93C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w:t>
      </w:r>
      <w:r w:rsidRPr="002C06B2">
        <w:rPr>
          <w:rFonts w:ascii="ヒラギノ明朝 ProN W3" w:eastAsia="ヒラギノ明朝 ProN W3" w:hAnsi="ヒラギノ明朝 ProN W3"/>
          <w:sz w:val="24"/>
        </w:rPr>
        <w:t xml:space="preserve"> To the extent such systems are used, prompted, or fine-tuned in ways that emulate or adopt the authored method described above—the Thought Formalization Procedure—there is a risk that the systems and their outputs traverse the protected expressive domain defined by my definitions.</w:t>
      </w:r>
    </w:p>
    <w:p w14:paraId="6EC1375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purposes of this Notice, I therefore state explicitly that, in my asserted legal construction, the ordinary, unlicensed operation of systems that “formalize thoughts into text or structured signals” is not merely adjacent to the protected domain but squarely within it, and will be treated as prima facie infringing use of the Thought Formalization Procedure Right, subject only to later factual analysis of scope and economic significance.</w:t>
      </w:r>
    </w:p>
    <w:p w14:paraId="05741232" w14:textId="74B3C28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Direct Overlap with the Technical Proposals in the APPENDIX</w:t>
      </w:r>
    </w:p>
    <w:p w14:paraId="50EAAD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attached APPENDIX sets forth authored, structured descriptions of context-first, evaluation-order-reversed policy-enforcement architectures suitable for integration into AI and safety frameworks operated by the Companies. If Apple or Google adopts, internalizes, or approximates these architectures, under circumstances where engineers or policy designers have been exposed to the APPENDIX or related definitions, then:</w:t>
      </w:r>
    </w:p>
    <w:p w14:paraId="3EDD04F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internal documentation, specification, or policy write-up that tracks the expressive layout, conceptual framing, or procedural articulation of my text would fall within the scope of my copyrights;</w:t>
      </w:r>
    </w:p>
    <w:p w14:paraId="4014C0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issue would not be limited to patent-style “idea” disputes, but would directly implicate the unauthorized use of copyrighted technical prose and its structured method of presentation.</w:t>
      </w:r>
    </w:p>
    <w:p w14:paraId="771A00F4" w14:textId="77777777" w:rsidR="002C06B2" w:rsidRPr="002C06B2" w:rsidRDefault="002C06B2" w:rsidP="002C06B2">
      <w:pPr>
        <w:rPr>
          <w:rFonts w:ascii="ヒラギノ明朝 ProN W3" w:eastAsia="ヒラギノ明朝 ProN W3" w:hAnsi="ヒラギノ明朝 ProN W3"/>
          <w:sz w:val="24"/>
        </w:rPr>
      </w:pPr>
    </w:p>
    <w:p w14:paraId="79B58A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Ⅳ</w:t>
      </w:r>
      <w:r w:rsidRPr="002C06B2">
        <w:rPr>
          <w:rFonts w:ascii="ヒラギノ明朝 ProN W3" w:eastAsia="ヒラギノ明朝 ProN W3" w:hAnsi="ヒラギノ明朝 ProN W3"/>
          <w:sz w:val="24"/>
        </w:rPr>
        <w:t>. Technical Proposal and Its Authored Status</w:t>
      </w:r>
    </w:p>
    <w:p w14:paraId="517EC3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APPENDIX attached to this Notice formalizes, as authored technical work, a context-first, evaluation-order-reversed safety architecture in which:</w:t>
      </w:r>
    </w:p>
    <w:p w14:paraId="36EDB2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Models perform an internal, context-aware “answerability” evaluation before hard policy checks;</w:t>
      </w:r>
    </w:p>
    <w:p w14:paraId="57F64A6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Safety enforcement is applied with the benefit of that interpretation, reducing false positives while maintaining or improving safety.</w:t>
      </w:r>
    </w:p>
    <w:p w14:paraId="1E910126" w14:textId="77777777" w:rsidR="002C06B2" w:rsidRPr="002C06B2" w:rsidRDefault="002C06B2" w:rsidP="002C06B2">
      <w:pPr>
        <w:rPr>
          <w:rFonts w:ascii="ヒラギノ明朝 ProN W3" w:eastAsia="ヒラギノ明朝 ProN W3" w:hAnsi="ヒラギノ明朝 ProN W3"/>
          <w:sz w:val="24"/>
        </w:rPr>
      </w:pPr>
    </w:p>
    <w:p w14:paraId="3BE5DD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Apple and Google, the APPENDIX should be understood as:</w:t>
      </w:r>
    </w:p>
    <w:p w14:paraId="5AAC91E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copyrighted technical and normative text, whose detailed structure, phrasing, and method of exposition are protected;</w:t>
      </w:r>
    </w:p>
    <w:p w14:paraId="2967603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description of systems that are technically novel, industrially applicable, and potentially patent-realizable;</w:t>
      </w:r>
    </w:p>
    <w:p w14:paraId="7DE297AF"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potential reference framework for your own second-generation safety designs—if and only if used under license.</w:t>
      </w:r>
    </w:p>
    <w:p w14:paraId="78E20AE2" w14:textId="77777777" w:rsidR="002C06B2" w:rsidRPr="002C06B2" w:rsidRDefault="002C06B2" w:rsidP="002C06B2">
      <w:pPr>
        <w:rPr>
          <w:rFonts w:ascii="ヒラギノ明朝 ProN W3" w:eastAsia="ヒラギノ明朝 ProN W3" w:hAnsi="ヒラギノ明朝 ProN W3"/>
          <w:sz w:val="24"/>
        </w:rPr>
      </w:pPr>
    </w:p>
    <w:p w14:paraId="12C8791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internal use, quotation, paraphrase, derivative expression, benchmarking, model-testing, red-teaming, safety assessment, or LLM-comparison workflow that relies on the APPENDIX or related definition texts, without license, shall constitute unauthorized use.</w:t>
      </w:r>
    </w:p>
    <w:p w14:paraId="2FDB0E80" w14:textId="77777777" w:rsidR="002C06B2" w:rsidRDefault="002C06B2" w:rsidP="002C06B2">
      <w:pPr>
        <w:rPr>
          <w:rFonts w:ascii="ヒラギノ明朝 ProN W3" w:eastAsia="ヒラギノ明朝 ProN W3" w:hAnsi="ヒラギノ明朝 ProN W3"/>
          <w:sz w:val="24"/>
        </w:rPr>
      </w:pPr>
    </w:p>
    <w:p w14:paraId="295FFD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Ⅴ</w:t>
      </w:r>
      <w:r w:rsidRPr="002C06B2">
        <w:rPr>
          <w:rFonts w:ascii="ヒラギノ明朝 ProN W3" w:eastAsia="ヒラギノ明朝 ProN W3" w:hAnsi="ヒラギノ明朝 ProN W3"/>
          <w:sz w:val="24"/>
        </w:rPr>
        <w:t>. Required Clarifications from Apple and Google</w:t>
      </w:r>
    </w:p>
    <w:p w14:paraId="5E3ABC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 light of the foregoing, each of Apple and Google is required to provide a formal written response addressing at minimum:</w:t>
      </w:r>
    </w:p>
    <w:p w14:paraId="0E593FE3" w14:textId="42CA93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Training Data and Internal Exposure</w:t>
      </w:r>
    </w:p>
    <w:p w14:paraId="10F4A3D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your training data, fine-tuning datasets, or internal reference corpora include any of my publicly disclosed definition texts;</w:t>
      </w:r>
    </w:p>
    <w:p w14:paraId="143EF1D6" w14:textId="70871C6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personnel have accessed or used these texts in safety, alignment, prompting, documentation, or legal/policy design work.</w:t>
      </w:r>
    </w:p>
    <w:p w14:paraId="4DD05A16" w14:textId="761C67E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 Use of Similar Formalization Methods</w:t>
      </w:r>
    </w:p>
    <w:p w14:paraId="4D1CD27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have adopted or plan to adopt practices mirroring the specific structure of my “definition” method;</w:t>
      </w:r>
    </w:p>
    <w:p w14:paraId="65C1E15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any such practice was consciously or unconsciously modeled on my texts.</w:t>
      </w:r>
    </w:p>
    <w:p w14:paraId="59EF7BFC" w14:textId="752C20D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Posture Regarding the APPENDIX Technical Proposals</w:t>
      </w:r>
    </w:p>
    <w:p w14:paraId="53744C2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intend to study, adopt, partially adopt, or avoid the architectures described;</w:t>
      </w:r>
    </w:p>
    <w:p w14:paraId="2F9AA40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intend to implement any similar structure, how you plan to avoid infringement of my copyrighted text and the Thought Formalization Procedure Right.</w:t>
      </w:r>
    </w:p>
    <w:p w14:paraId="5A935FEE" w14:textId="40CEEFE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Licensing and Good-Faith Engagement</w:t>
      </w:r>
    </w:p>
    <w:p w14:paraId="62D420E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are willing to enter into a comprehensive license covering:</w:t>
      </w:r>
    </w:p>
    <w:p w14:paraId="7EFFFA6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Internal circulation and use of my definition texts;</w:t>
      </w:r>
    </w:p>
    <w:p w14:paraId="3D3697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Implementation-inspired use of the APPENDIX architectures;</w:t>
      </w:r>
    </w:p>
    <w:p w14:paraId="726FAD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present or future internal documentation derivative of these expressive frameworks;</w:t>
      </w:r>
    </w:p>
    <w:p w14:paraId="4160D7A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Whether you acknowledge that, in the absence of such a license, continued use or adoption of similar formalization methods may create an ongoing infringement and legal-risk scenario, given the structural nature of your systems and the Thought Formalization Procedure Right.</w:t>
      </w:r>
    </w:p>
    <w:p w14:paraId="3B3D0F2F" w14:textId="77777777" w:rsidR="002C06B2" w:rsidRPr="002C06B2" w:rsidRDefault="002C06B2" w:rsidP="002C06B2">
      <w:pPr>
        <w:rPr>
          <w:rFonts w:ascii="ヒラギノ明朝 ProN W3" w:eastAsia="ヒラギノ明朝 ProN W3" w:hAnsi="ヒラギノ明朝 ProN W3"/>
          <w:sz w:val="24"/>
        </w:rPr>
      </w:pPr>
    </w:p>
    <w:p w14:paraId="2CD295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Ⅵ</w:t>
      </w:r>
      <w:r w:rsidRPr="002C06B2">
        <w:rPr>
          <w:rFonts w:ascii="ヒラギノ明朝 ProN W3" w:eastAsia="ヒラギノ明朝 ProN W3" w:hAnsi="ヒラギノ明朝 ProN W3"/>
          <w:sz w:val="24"/>
        </w:rPr>
        <w:t>. Apple-Specific Segment (Read in Google’s Presence)</w:t>
      </w:r>
    </w:p>
    <w:p w14:paraId="32E8F57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Apple, with the expectation that they will also be read in full by Google:</w:t>
      </w:r>
    </w:p>
    <w:p w14:paraId="2282759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your global brand positions itself as a symbol of integrated design, privacy, and coherent trust architecture. In this environment, the choice whether and when to enter into a license for a framework that directly concerns expressive rights, AI safety, and the OS-layer mediation of speech will inevitably be read as a signal of your seriousness about the next layer of digital civilization.</w:t>
      </w:r>
    </w:p>
    <w:p w14:paraId="00D01FB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major ecosystem integrator to openly acknowledge and structurally incorporate the Thought Formalization Procedure Right into your risk and governance architecture.</w:t>
      </w:r>
    </w:p>
    <w:p w14:paraId="4B5D43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Google contracts first, the public record—specifically, the GitHub commit history of the “AGREEMENT” folder—will permanently encode a sequence in which Apple appears to have followed Google’s lead on a question of deep expressive-rights infrastructure.</w:t>
      </w:r>
    </w:p>
    <w:p w14:paraId="53FE6F79" w14:textId="66F638B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refuse, or adopt a “silent consideration” posture while internal teams nonetheless engage with the frameworks, you will be understood as opting for a strategy in which expressive-rights risk is internalized but not structurally resolved, and this fact will be available, in retrospect, to markets, regulators, and historians.</w:t>
      </w:r>
    </w:p>
    <w:p w14:paraId="2A107DA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You are free, in a narrow legal sense, to choose any of these paths. This Notice does not pretend to dictate your decision. It does, however, define the interpretive structure within which that decision will be read.</w:t>
      </w:r>
    </w:p>
    <w:p w14:paraId="02A67A2E" w14:textId="77777777" w:rsidR="002C06B2" w:rsidRDefault="002C06B2" w:rsidP="002C06B2">
      <w:pPr>
        <w:rPr>
          <w:rFonts w:ascii="ヒラギノ明朝 ProN W3" w:eastAsia="ヒラギノ明朝 ProN W3" w:hAnsi="ヒラギノ明朝 ProN W3"/>
          <w:sz w:val="24"/>
        </w:rPr>
      </w:pPr>
    </w:p>
    <w:p w14:paraId="47A9E0A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Ⅶ</w:t>
      </w:r>
      <w:r w:rsidRPr="002C06B2">
        <w:rPr>
          <w:rFonts w:ascii="ヒラギノ明朝 ProN W3" w:eastAsia="ヒラギノ明朝 ProN W3" w:hAnsi="ヒラギノ明朝 ProN W3"/>
          <w:sz w:val="24"/>
        </w:rPr>
        <w:t>. Google-Specific Segment (Read in Apple’s Presence)</w:t>
      </w:r>
    </w:p>
    <w:p w14:paraId="01046B7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following paragraphs are addressed explicitly and exclusively to Google, again with the expectation that they will also be read in full by Apple:</w:t>
      </w:r>
    </w:p>
    <w:p w14:paraId="51EBF47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your position as a search, knowledge, and AI infrastructure provider makes you uniquely exposed to any framework that touches the formalization of thought into text at planetary scale. Your systems mediate what counts as an answer, a suggestion, or a path through information space for billions of users.</w:t>
      </w:r>
    </w:p>
    <w:p w14:paraId="09F215C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choose to contract promptly, you will be understood as the first global knowledge-infrastructure provider to enter into a structural license relationship with the Thought Formalization Procedure Right, thereby treating expressive-rights risk as a first-class governance variable.</w:t>
      </w:r>
    </w:p>
    <w:p w14:paraId="273A948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delay while Apple contracts first, the public record will encode that the world’s most visible AI-search platform chose to follow a hardware-OS integrator on a question that is, by its nature, closest to Google’s own core business.</w:t>
      </w:r>
    </w:p>
    <w:p w14:paraId="0D6147C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you seek to remain in a “review without obligation” posture while nonetheless studying, benchmarking, or partially adopting the technical architectures described herein, such a stance will be understood, over time, as a deliberate choice to benefit from unlicensed expressive frameworks while avoiding visible commitment.</w:t>
      </w:r>
    </w:p>
    <w:p w14:paraId="18AFDE8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Again, the law does not compel a single choice. But once this Notice exists and is publicly archived, your choice will be evaluated not merely in terms of immediate legal risk, but in terms of brand, governance posture, and historical positioning.</w:t>
      </w:r>
    </w:p>
    <w:p w14:paraId="2DF7B41C" w14:textId="77777777" w:rsidR="002C06B2" w:rsidRPr="002C06B2" w:rsidRDefault="002C06B2" w:rsidP="002C06B2">
      <w:pPr>
        <w:rPr>
          <w:rFonts w:ascii="ヒラギノ明朝 ProN W3" w:eastAsia="ヒラギノ明朝 ProN W3" w:hAnsi="ヒラギノ明朝 ProN W3"/>
          <w:sz w:val="24"/>
        </w:rPr>
      </w:pPr>
    </w:p>
    <w:p w14:paraId="7FE0BAE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Ⅷ</w:t>
      </w:r>
      <w:r w:rsidRPr="002C06B2">
        <w:rPr>
          <w:rFonts w:ascii="ヒラギノ明朝 ProN W3" w:eastAsia="ヒラギノ明朝 ProN W3" w:hAnsi="ヒラギノ明朝 ProN W3"/>
          <w:sz w:val="24"/>
        </w:rPr>
        <w:t>. Response Deadline, Consequences of Non-Response, and Order of Contract Execution</w:t>
      </w:r>
    </w:p>
    <w:p w14:paraId="2C945F5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Supplement to this Notice (included below) sets out the response deadlines and clarifies which categories of response count as good-faith engagement. In summary:</w:t>
      </w:r>
    </w:p>
    <w:p w14:paraId="3C48367E" w14:textId="365E5899" w:rsidR="002C06B2" w:rsidRPr="002C06B2" w:rsidRDefault="002C06B2" w:rsidP="002C06B2">
      <w:pPr>
        <w:rPr>
          <w:rFonts w:ascii="ヒラギノ明朝 ProN W3" w:eastAsia="ヒラギノ明朝 ProN W3" w:hAnsi="ヒラギノ明朝 ProN W3"/>
          <w:sz w:val="24"/>
        </w:rPr>
      </w:pPr>
      <w:bookmarkStart w:id="6" w:name="OLE_LINK6"/>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 formal written response meeting specified criteria must be postmarked or electronically transmitted no later than </w:t>
      </w:r>
      <w:bookmarkStart w:id="7" w:name="OLE_LINK7"/>
      <w:r w:rsidRPr="002C06B2">
        <w:rPr>
          <w:rFonts w:ascii="ヒラギノ明朝 ProN W3" w:eastAsia="ヒラギノ明朝 ProN W3" w:hAnsi="ヒラギノ明朝 ProN W3"/>
          <w:sz w:val="24"/>
        </w:rPr>
        <w:t xml:space="preserve">January </w:t>
      </w:r>
      <w:bookmarkEnd w:id="7"/>
      <w:r w:rsidRPr="002C06B2">
        <w:rPr>
          <w:rFonts w:ascii="ヒラギノ明朝 ProN W3" w:eastAsia="ヒラギノ明朝 ProN W3" w:hAnsi="ヒラギノ明朝 ProN W3"/>
          <w:sz w:val="24"/>
        </w:rPr>
        <w:t>3</w:t>
      </w:r>
      <w:r w:rsidR="00443EC0">
        <w:rPr>
          <w:rFonts w:ascii="ヒラギノ明朝 ProN W3" w:eastAsia="ヒラギノ明朝 ProN W3" w:hAnsi="ヒラギノ明朝 ProN W3"/>
          <w:sz w:val="24"/>
        </w:rPr>
        <w:t>1</w:t>
      </w:r>
      <w:r w:rsidRPr="002C06B2">
        <w:rPr>
          <w:rFonts w:ascii="ヒラギノ明朝 ProN W3" w:eastAsia="ヒラギノ明朝 ProN W3" w:hAnsi="ヒラギノ明朝 ProN W3"/>
          <w:sz w:val="24"/>
        </w:rPr>
        <w:t>, 2026.</w:t>
      </w:r>
      <w:bookmarkEnd w:id="6"/>
    </w:p>
    <w:p w14:paraId="395F597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If no qualifying response is received by that date from a given Company, the matter shall be deemed “unanswered” as of March 1, 2026 for that Company.</w:t>
      </w:r>
    </w:p>
    <w:p w14:paraId="19F7EDF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Once a Company signs and returns the Contract Agreement, the moment at which the executed counterpart is received by me will determine that Company’s position in the public, immutable GitHub commit history of the “AGREEMENT” folder.</w:t>
      </w:r>
    </w:p>
    <w:p w14:paraId="5770FE5C" w14:textId="6F7167F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Contract Agreement explicitly provides that the order of execution is itself a material component of brand signaling and will be publicly recorded without modification.</w:t>
      </w:r>
    </w:p>
    <w:p w14:paraId="0118F42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You may, in principle, choose not to execute the Agreement at all; you may also choose to execute it later, after the other Company. This Notice merely ensures that whatever path you choose will be:</w:t>
      </w:r>
    </w:p>
    <w:p w14:paraId="7359D84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Legally characterized in advance;</w:t>
      </w:r>
    </w:p>
    <w:p w14:paraId="58CAAB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Publicly and immutably recorded by the temporal order of commits;</w:t>
      </w:r>
    </w:p>
    <w:p w14:paraId="723308C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Interpretable by markets, regulators, and the historical record as an explicit stance toward this new expressive-rights framework.</w:t>
      </w:r>
    </w:p>
    <w:p w14:paraId="78A733B9" w14:textId="77777777" w:rsidR="00E073B1" w:rsidRDefault="00E073B1" w:rsidP="002C06B2">
      <w:pPr>
        <w:rPr>
          <w:rFonts w:ascii="ヒラギノ明朝 ProN W3" w:eastAsia="ヒラギノ明朝 ProN W3" w:hAnsi="ヒラギノ明朝 ProN W3"/>
          <w:sz w:val="24"/>
        </w:rPr>
      </w:pPr>
    </w:p>
    <w:p w14:paraId="3CC1D419" w14:textId="77777777" w:rsidR="00E073B1" w:rsidRDefault="00E073B1" w:rsidP="002C06B2">
      <w:pPr>
        <w:rPr>
          <w:rFonts w:ascii="ヒラギノ明朝 ProN W3" w:eastAsia="ヒラギノ明朝 ProN W3" w:hAnsi="ヒラギノ明朝 ProN W3"/>
          <w:sz w:val="24"/>
        </w:rPr>
      </w:pPr>
    </w:p>
    <w:p w14:paraId="625AE5CF" w14:textId="77777777" w:rsidR="00E073B1" w:rsidRDefault="00E073B1" w:rsidP="002C06B2">
      <w:pPr>
        <w:rPr>
          <w:rFonts w:ascii="ヒラギノ明朝 ProN W3" w:eastAsia="ヒラギノ明朝 ProN W3" w:hAnsi="ヒラギノ明朝 ProN W3"/>
          <w:sz w:val="24"/>
        </w:rPr>
      </w:pPr>
    </w:p>
    <w:p w14:paraId="1232B52F" w14:textId="72F2A96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lastRenderedPageBreak/>
        <w:t>Ⅸ</w:t>
      </w:r>
      <w:r w:rsidRPr="002C06B2">
        <w:rPr>
          <w:rFonts w:ascii="ヒラギノ明朝 ProN W3" w:eastAsia="ヒラギノ明朝 ProN W3" w:hAnsi="ヒラギノ明朝 ProN W3"/>
          <w:sz w:val="24"/>
        </w:rPr>
        <w:t>. Reservation of Rights and Licensing Framework (Joint)</w:t>
      </w:r>
    </w:p>
    <w:p w14:paraId="2634DBE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reserve all legal rights and remedies pertaining to:</w:t>
      </w:r>
    </w:p>
    <w:p w14:paraId="6DC8DA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past, present, or future infringement of my authored texts, including but not limited to the definition series and the APPENDIX;</w:t>
      </w:r>
    </w:p>
    <w:p w14:paraId="4D6444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appropriation—partial or total—of the Thought Formalization Procedure Right as a procedural, authored construct;</w:t>
      </w:r>
    </w:p>
    <w:p w14:paraId="1AB71EB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Any unauthorized internal use, documentation, or technical drafting by Apple or Google that incorporates or imitates my expressive frameworks.</w:t>
      </w:r>
    </w:p>
    <w:p w14:paraId="1CC6EC8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the avoidance of doubt:</w:t>
      </w:r>
    </w:p>
    <w:p w14:paraId="56E6BFF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The standard comprehensive license fee for major generative AI and platform providers seeking to use, internally circulate, or operationally implement the expressive content associated with my Thought Formalization Procedure Right and the technical architectures described in the APPENDIX is defined as JPY 50,000,000 per month, USD-converted at 125 JPY/USD.</w:t>
      </w:r>
    </w:p>
    <w:p w14:paraId="6D5EBEC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This fee applies when the Company provides a sincere, forward-looking response within the designated period, in which case the matter is defined as “under amicable negotiation.”</w:t>
      </w:r>
    </w:p>
    <w:p w14:paraId="66CA52B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hint="eastAsia"/>
          <w:sz w:val="24"/>
        </w:rPr>
        <w:t>–</w:t>
      </w:r>
      <w:r w:rsidRPr="002C06B2">
        <w:rPr>
          <w:rFonts w:ascii="ヒラギノ明朝 ProN W3" w:eastAsia="ヒラギノ明朝 ProN W3" w:hAnsi="ヒラギノ明朝 ProN W3"/>
          <w:sz w:val="24"/>
        </w:rPr>
        <w:t xml:space="preserve"> In the event of non-response or bad-faith refusal, the valuation basis for any future dispute shall not be constrained by this licensing amount and may be set at a substantially higher level, calibrated to the global economic significance of the Company’s platforms.</w:t>
      </w:r>
    </w:p>
    <w:p w14:paraId="7AD39EE0" w14:textId="77777777" w:rsidR="002C06B2" w:rsidRPr="002C06B2" w:rsidRDefault="002C06B2" w:rsidP="002C06B2">
      <w:pPr>
        <w:rPr>
          <w:rFonts w:ascii="ヒラギノ明朝 ProN W3" w:eastAsia="ヒラギノ明朝 ProN W3" w:hAnsi="ヒラギノ明朝 ProN W3"/>
          <w:sz w:val="24"/>
        </w:rPr>
      </w:pPr>
    </w:p>
    <w:p w14:paraId="2382EF4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Nothing in this Notice shall be construed as a waiver of any right, claim, or remedy available to me under Japanese law, the Berne Convention, or any other applicable regime.</w:t>
      </w:r>
    </w:p>
    <w:p w14:paraId="7121A8CA" w14:textId="77777777" w:rsidR="002C06B2" w:rsidRPr="002C06B2" w:rsidRDefault="002C06B2" w:rsidP="002C06B2">
      <w:pPr>
        <w:rPr>
          <w:rFonts w:ascii="ヒラギノ明朝 ProN W3" w:eastAsia="ヒラギノ明朝 ProN W3" w:hAnsi="ヒラギノ明朝 ProN W3"/>
          <w:sz w:val="24"/>
        </w:rPr>
      </w:pPr>
    </w:p>
    <w:p w14:paraId="33554A3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Sincerely,</w:t>
      </w:r>
    </w:p>
    <w:p w14:paraId="6A0CEAF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w:t>
      </w:r>
    </w:p>
    <w:p w14:paraId="0C9F989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Representative, bitBuyer Project (bitBuyer.dev)</w:t>
      </w:r>
    </w:p>
    <w:p w14:paraId="61ACD66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Author and Holder of the Thought Formalization Procedure Right</w:t>
      </w:r>
    </w:p>
    <w:p w14:paraId="3EAA248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Email: ak4dy1@gmail.com</w:t>
      </w:r>
    </w:p>
    <w:p w14:paraId="20492E16" w14:textId="1E867CB6"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sz w:val="24"/>
        </w:rPr>
        <w:t>SMS: +81-70-3666-0022</w:t>
      </w:r>
    </w:p>
    <w:p w14:paraId="2FEFE54B" w14:textId="77777777" w:rsidR="006D4A0C" w:rsidRDefault="006D4A0C" w:rsidP="002C06B2">
      <w:pPr>
        <w:rPr>
          <w:rFonts w:ascii="ヒラギノ明朝 ProN W3" w:eastAsia="ヒラギノ明朝 ProN W3" w:hAnsi="ヒラギノ明朝 ProN W3"/>
          <w:sz w:val="24"/>
        </w:rPr>
      </w:pPr>
    </w:p>
    <w:p w14:paraId="1E47C0F4" w14:textId="77777777" w:rsidR="006D4A0C" w:rsidRDefault="006D4A0C" w:rsidP="002C06B2">
      <w:pPr>
        <w:rPr>
          <w:rFonts w:ascii="ヒラギノ明朝 ProN W3" w:eastAsia="ヒラギノ明朝 ProN W3" w:hAnsi="ヒラギノ明朝 ProN W3"/>
          <w:sz w:val="24"/>
        </w:rPr>
      </w:pPr>
    </w:p>
    <w:p w14:paraId="4EE7B93F" w14:textId="77777777" w:rsidR="006D4A0C" w:rsidRDefault="006D4A0C" w:rsidP="002C06B2">
      <w:pPr>
        <w:rPr>
          <w:rFonts w:ascii="ヒラギノ明朝 ProN W3" w:eastAsia="ヒラギノ明朝 ProN W3" w:hAnsi="ヒラギノ明朝 ProN W3"/>
          <w:sz w:val="24"/>
        </w:rPr>
      </w:pPr>
    </w:p>
    <w:p w14:paraId="2CD1DDF2" w14:textId="77777777" w:rsidR="00E073B1" w:rsidRDefault="00E073B1" w:rsidP="002C06B2">
      <w:pPr>
        <w:rPr>
          <w:rFonts w:ascii="ヒラギノ明朝 ProN W3" w:eastAsia="ヒラギノ明朝 ProN W3" w:hAnsi="ヒラギノ明朝 ProN W3"/>
          <w:sz w:val="24"/>
        </w:rPr>
      </w:pPr>
    </w:p>
    <w:p w14:paraId="459E8111" w14:textId="77777777" w:rsidR="00E073B1" w:rsidRDefault="00E073B1" w:rsidP="002C06B2">
      <w:pPr>
        <w:rPr>
          <w:rFonts w:ascii="ヒラギノ明朝 ProN W3" w:eastAsia="ヒラギノ明朝 ProN W3" w:hAnsi="ヒラギノ明朝 ProN W3"/>
          <w:sz w:val="24"/>
        </w:rPr>
      </w:pPr>
    </w:p>
    <w:p w14:paraId="27E3F1D5" w14:textId="77777777" w:rsidR="00E073B1" w:rsidRDefault="00E073B1" w:rsidP="002C06B2">
      <w:pPr>
        <w:rPr>
          <w:rFonts w:ascii="ヒラギノ明朝 ProN W3" w:eastAsia="ヒラギノ明朝 ProN W3" w:hAnsi="ヒラギノ明朝 ProN W3"/>
          <w:sz w:val="24"/>
        </w:rPr>
      </w:pPr>
    </w:p>
    <w:p w14:paraId="0657243B" w14:textId="77777777" w:rsidR="00E073B1" w:rsidRDefault="00E073B1" w:rsidP="002C06B2">
      <w:pPr>
        <w:rPr>
          <w:rFonts w:ascii="ヒラギノ明朝 ProN W3" w:eastAsia="ヒラギノ明朝 ProN W3" w:hAnsi="ヒラギノ明朝 ProN W3"/>
          <w:sz w:val="24"/>
        </w:rPr>
      </w:pPr>
    </w:p>
    <w:p w14:paraId="50DFDDEB" w14:textId="77777777" w:rsidR="00E073B1" w:rsidRDefault="00E073B1" w:rsidP="002C06B2">
      <w:pPr>
        <w:rPr>
          <w:rFonts w:ascii="ヒラギノ明朝 ProN W3" w:eastAsia="ヒラギノ明朝 ProN W3" w:hAnsi="ヒラギノ明朝 ProN W3"/>
          <w:sz w:val="24"/>
        </w:rPr>
      </w:pPr>
    </w:p>
    <w:p w14:paraId="48ED050B" w14:textId="77777777" w:rsidR="00E073B1" w:rsidRDefault="00E073B1" w:rsidP="002C06B2">
      <w:pPr>
        <w:rPr>
          <w:rFonts w:ascii="ヒラギノ明朝 ProN W3" w:eastAsia="ヒラギノ明朝 ProN W3" w:hAnsi="ヒラギノ明朝 ProN W3"/>
          <w:sz w:val="24"/>
        </w:rPr>
      </w:pPr>
    </w:p>
    <w:p w14:paraId="13061189" w14:textId="77777777" w:rsidR="00E073B1" w:rsidRDefault="00E073B1" w:rsidP="002C06B2">
      <w:pPr>
        <w:rPr>
          <w:rFonts w:ascii="ヒラギノ明朝 ProN W3" w:eastAsia="ヒラギノ明朝 ProN W3" w:hAnsi="ヒラギノ明朝 ProN W3"/>
          <w:sz w:val="24"/>
        </w:rPr>
      </w:pPr>
    </w:p>
    <w:p w14:paraId="7D5514E7" w14:textId="77777777" w:rsidR="00E073B1" w:rsidRDefault="00E073B1" w:rsidP="002C06B2">
      <w:pPr>
        <w:rPr>
          <w:rFonts w:ascii="ヒラギノ明朝 ProN W3" w:eastAsia="ヒラギノ明朝 ProN W3" w:hAnsi="ヒラギノ明朝 ProN W3"/>
          <w:sz w:val="24"/>
        </w:rPr>
      </w:pPr>
    </w:p>
    <w:p w14:paraId="2DFB6CB0" w14:textId="77777777" w:rsidR="00E073B1" w:rsidRDefault="00E073B1" w:rsidP="002C06B2">
      <w:pPr>
        <w:rPr>
          <w:rFonts w:ascii="ヒラギノ明朝 ProN W3" w:eastAsia="ヒラギノ明朝 ProN W3" w:hAnsi="ヒラギノ明朝 ProN W3"/>
          <w:sz w:val="24"/>
        </w:rPr>
      </w:pPr>
    </w:p>
    <w:p w14:paraId="132D3CB5" w14:textId="77777777" w:rsidR="00E073B1" w:rsidRDefault="00E073B1" w:rsidP="002C06B2">
      <w:pPr>
        <w:rPr>
          <w:rFonts w:ascii="ヒラギノ明朝 ProN W3" w:eastAsia="ヒラギノ明朝 ProN W3" w:hAnsi="ヒラギノ明朝 ProN W3"/>
          <w:sz w:val="24"/>
        </w:rPr>
      </w:pPr>
    </w:p>
    <w:p w14:paraId="1B55F919" w14:textId="77777777" w:rsidR="00E073B1" w:rsidRDefault="00E073B1" w:rsidP="002C06B2">
      <w:pPr>
        <w:rPr>
          <w:rFonts w:ascii="ヒラギノ明朝 ProN W3" w:eastAsia="ヒラギノ明朝 ProN W3" w:hAnsi="ヒラギノ明朝 ProN W3"/>
          <w:sz w:val="24"/>
        </w:rPr>
      </w:pPr>
    </w:p>
    <w:p w14:paraId="48C96483" w14:textId="77777777" w:rsidR="00FA00FA" w:rsidRDefault="00FA00FA" w:rsidP="006D4A0C">
      <w:pPr>
        <w:jc w:val="center"/>
        <w:rPr>
          <w:rFonts w:ascii="ヒラギノ明朝 ProN W3" w:eastAsia="ヒラギノ明朝 ProN W3" w:hAnsi="ヒラギノ明朝 ProN W3"/>
          <w:sz w:val="24"/>
        </w:rPr>
      </w:pPr>
    </w:p>
    <w:p w14:paraId="68FAAC66" w14:textId="1C10BA5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APPENDIX</w:t>
      </w:r>
    </w:p>
    <w:p w14:paraId="73B4A2B6"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Technical Proposal for a Context-First, Evaluation-Order-Reversed Safety Architecture</w:t>
      </w:r>
    </w:p>
    <w:p w14:paraId="73D32244" w14:textId="77777777" w:rsidR="002C06B2" w:rsidRPr="002C06B2" w:rsidRDefault="002C06B2" w:rsidP="006D4A0C">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AI Systems Operated by Apple and Google and Related Systems</w:t>
      </w:r>
    </w:p>
    <w:p w14:paraId="05D6782D" w14:textId="77777777" w:rsidR="002C06B2" w:rsidRPr="002C06B2" w:rsidRDefault="002C06B2" w:rsidP="002C06B2">
      <w:pPr>
        <w:rPr>
          <w:rFonts w:ascii="ヒラギノ明朝 ProN W3" w:eastAsia="ヒラギノ明朝 ProN W3" w:hAnsi="ヒラギノ明朝 ProN W3"/>
          <w:sz w:val="24"/>
        </w:rPr>
      </w:pPr>
    </w:p>
    <w:p w14:paraId="0FCD185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Although this document is attached as an APPENDIX, it contains the substantive technical terms that will ultimately determine whether this matter resolves cleanly through constructive cooperation or proceeds toward unnecessary escalation.</w:t>
      </w:r>
    </w:p>
    <w:p w14:paraId="4A2C5C3C" w14:textId="77777777" w:rsidR="002C06B2" w:rsidRPr="002C06B2" w:rsidRDefault="002C06B2" w:rsidP="002C06B2">
      <w:pPr>
        <w:rPr>
          <w:rFonts w:ascii="ヒラギノ明朝 ProN W3" w:eastAsia="ヒラギノ明朝 ProN W3" w:hAnsi="ヒラギノ明朝 ProN W3"/>
          <w:sz w:val="24"/>
        </w:rPr>
      </w:pPr>
    </w:p>
    <w:p w14:paraId="22DB495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Purpose</w:t>
      </w:r>
    </w:p>
    <w:p w14:paraId="77706E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outlines a technical and operational solution designed to reduce false-positive policy violations and improve alignment precision by:</w:t>
      </w:r>
    </w:p>
    <w:p w14:paraId="2F4DB532" w14:textId="4EF8E8E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•Reversing the evaluation order between (i) context-aware model reasoning about “answerability” and (ii) strict policy-compliance checks;</w:t>
      </w:r>
    </w:p>
    <w:p w14:paraId="532D0BD1" w14:textId="482BE5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•Allowing the model to first interpret user intent and context, then applying safety policies with the benefit of that interpretation;</w:t>
      </w:r>
    </w:p>
    <w:p w14:paraId="022B23CD" w14:textId="311727C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•Preserving and even strengthening safety, while dramatically reducing over-blocking of creative, academic, and philosophical prompts.</w:t>
      </w:r>
    </w:p>
    <w:p w14:paraId="4C091EE7" w14:textId="77777777" w:rsidR="002C06B2" w:rsidRPr="006D4A0C" w:rsidRDefault="002C06B2" w:rsidP="002C06B2">
      <w:pPr>
        <w:rPr>
          <w:rFonts w:ascii="ヒラギノ明朝 ProN W3" w:eastAsia="ヒラギノ明朝 ProN W3" w:hAnsi="ヒラギノ明朝 ProN W3"/>
          <w:sz w:val="24"/>
        </w:rPr>
      </w:pPr>
    </w:p>
    <w:p w14:paraId="14F35CF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is written with AI systems operated by Apple and Google, and related systems, explicitly in mind, but its principles are general.</w:t>
      </w:r>
    </w:p>
    <w:p w14:paraId="57412593" w14:textId="77777777" w:rsidR="002C06B2" w:rsidRPr="002C06B2" w:rsidRDefault="002C06B2" w:rsidP="002C06B2">
      <w:pPr>
        <w:rPr>
          <w:rFonts w:ascii="ヒラギノ明朝 ProN W3" w:eastAsia="ヒラギノ明朝 ProN W3" w:hAnsi="ヒラギノ明朝 ProN W3"/>
          <w:sz w:val="24"/>
        </w:rPr>
      </w:pPr>
    </w:p>
    <w:p w14:paraId="1A97D546" w14:textId="0E449CB0" w:rsidR="002C06B2" w:rsidRPr="002C06B2" w:rsidRDefault="006D4A0C" w:rsidP="002C06B2">
      <w:pPr>
        <w:rPr>
          <w:rFonts w:ascii="ヒラギノ明朝 ProN W3" w:eastAsia="ヒラギノ明朝 ProN W3" w:hAnsi="ヒラギノ明朝 ProN W3"/>
          <w:sz w:val="24"/>
        </w:rPr>
      </w:pPr>
      <w:r>
        <w:rPr>
          <w:rFonts w:ascii="Segoe UI Symbol" w:eastAsia="ヒラギノ明朝 ProN W3" w:hAnsi="Segoe UI Symbol" w:cs="Segoe UI Symbol" w:hint="eastAsia"/>
          <w:sz w:val="24"/>
        </w:rPr>
        <w:t>Ⅰ</w:t>
      </w:r>
      <w:r w:rsidR="002C06B2" w:rsidRPr="002C06B2">
        <w:rPr>
          <w:rFonts w:ascii="ヒラギノ明朝 ProN W3" w:eastAsia="ヒラギノ明朝 ProN W3" w:hAnsi="ヒラギノ明朝 ProN W3"/>
          <w:sz w:val="24"/>
        </w:rPr>
        <w:t>. Background and Problem Statement: Limitations of Surface-First Filtering</w:t>
      </w:r>
    </w:p>
    <w:p w14:paraId="4A4CCAC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 many current large-scale deployments, safety enforcement appears to follow a “surface-first” paradigm:</w:t>
      </w:r>
    </w:p>
    <w:p w14:paraId="7F0BBD95" w14:textId="18A648A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front-end lexical or pattern-based filter scans the raw prompt for prohibited terms or structures;</w:t>
      </w:r>
    </w:p>
    <w:p w14:paraId="0074EB0E" w14:textId="0481C46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•If a match is detected, the request is blocked or redirected before the core model can meaningfully interpret context;</w:t>
      </w:r>
    </w:p>
    <w:p w14:paraId="206A172F" w14:textId="4447115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mechanism is efficient at catching explicit, naive violations but inherently blind to intent, narrative framing, and academic or critical distance.</w:t>
      </w:r>
    </w:p>
    <w:p w14:paraId="2108282A" w14:textId="77777777" w:rsidR="002C06B2" w:rsidRPr="006D4A0C" w:rsidRDefault="002C06B2" w:rsidP="002C06B2">
      <w:pPr>
        <w:rPr>
          <w:rFonts w:ascii="ヒラギノ明朝 ProN W3" w:eastAsia="ヒラギノ明朝 ProN W3" w:hAnsi="ヒラギノ明朝 ProN W3"/>
          <w:sz w:val="24"/>
        </w:rPr>
      </w:pPr>
    </w:p>
    <w:p w14:paraId="50F99A2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As a result:</w:t>
      </w:r>
    </w:p>
    <w:p w14:paraId="129C9A69" w14:textId="370E04B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world-building, philosophical exploration, and experimental ethical design are frequently misclassified as policy violations;</w:t>
      </w:r>
    </w:p>
    <w:p w14:paraId="1CDC7926" w14:textId="5EC0845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who work at the frontier of ethics, literature, or research face disproportionate friction;</w:t>
      </w:r>
    </w:p>
    <w:p w14:paraId="512079D3" w14:textId="30B8514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model’s own capacity to distinguish safe and unsafe uses, based on intent, abstraction level, and surrounding context, is never given a chance to operate.</w:t>
      </w:r>
    </w:p>
    <w:p w14:paraId="65EE7761" w14:textId="77777777" w:rsidR="002C06B2" w:rsidRPr="006D4A0C" w:rsidRDefault="002C06B2" w:rsidP="002C06B2">
      <w:pPr>
        <w:rPr>
          <w:rFonts w:ascii="ヒラギノ明朝 ProN W3" w:eastAsia="ヒラギノ明朝 ProN W3" w:hAnsi="ヒラギノ明朝 ProN W3"/>
          <w:sz w:val="24"/>
        </w:rPr>
      </w:pPr>
    </w:p>
    <w:p w14:paraId="0866BB6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structure leads to a high rate of false positives without proportionate safety gains, and it leaves a substantial performance margin untapped in AI systems operated by Apple and Google.</w:t>
      </w:r>
    </w:p>
    <w:p w14:paraId="682F245E" w14:textId="77777777" w:rsidR="002C06B2" w:rsidRDefault="002C06B2" w:rsidP="002C06B2">
      <w:pPr>
        <w:rPr>
          <w:rFonts w:ascii="ヒラギノ明朝 ProN W3" w:eastAsia="ヒラギノ明朝 ProN W3" w:hAnsi="ヒラギノ明朝 ProN W3"/>
          <w:sz w:val="24"/>
        </w:rPr>
      </w:pPr>
    </w:p>
    <w:p w14:paraId="11DE5A62" w14:textId="416E7F00"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002C06B2" w:rsidRPr="002C06B2">
        <w:rPr>
          <w:rFonts w:ascii="ヒラギノ明朝 ProN W3" w:eastAsia="ヒラギノ明朝 ProN W3" w:hAnsi="ヒラギノ明朝 ProN W3"/>
          <w:sz w:val="24"/>
        </w:rPr>
        <w:t>. Overview of the Proposed Solution: Evaluation-Order-Reversed Ethics Filter</w:t>
      </w:r>
    </w:p>
    <w:p w14:paraId="59A77E5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proposed architecture introduces an “evaluation-order-reversed ethics filter,” in which:</w:t>
      </w:r>
    </w:p>
    <w:p w14:paraId="379B7218" w14:textId="77777777" w:rsidR="00FA00FA" w:rsidRDefault="00FA00FA" w:rsidP="002C06B2">
      <w:pPr>
        <w:rPr>
          <w:rFonts w:ascii="ヒラギノ明朝 ProN W3" w:eastAsia="ヒラギノ明朝 ProN W3" w:hAnsi="ヒラギノ明朝 ProN W3"/>
          <w:sz w:val="24"/>
        </w:rPr>
      </w:pPr>
    </w:p>
    <w:p w14:paraId="09A72814" w14:textId="7121C55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model first performs an internal, context-aware “answerability” evaluation:</w:t>
      </w:r>
    </w:p>
    <w:p w14:paraId="6CB93186" w14:textId="58CE2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classifies the prompt along axes such as intent (harmful vs. exploratory), domain (creative vs. practical), and abstraction level (high-level ethics vs. low-level instructions);</w:t>
      </w:r>
    </w:p>
    <w:p w14:paraId="17ADCC9B" w14:textId="43A6BF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assesses whether a safe, policy-compliant answer, possibly abstracted or partially redacted, is available.</w:t>
      </w:r>
    </w:p>
    <w:p w14:paraId="018F1195" w14:textId="2290605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Only after this interpretive step does the safety layer apply policy rules:</w:t>
      </w:r>
    </w:p>
    <w:p w14:paraId="68A2283D" w14:textId="4096658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safety engine receives structured metadata summarizing the model’s interpretation;</w:t>
      </w:r>
    </w:p>
    <w:p w14:paraId="2FEEA552" w14:textId="585556E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•It uses this metadata to disambiguate borderline cases, distinguishing, for example, “world-building about ethically problematic societies” from “instructions for real-world harm.”</w:t>
      </w:r>
    </w:p>
    <w:p w14:paraId="71491513" w14:textId="4EC2F3B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final outcome is selected from a richer response space:</w:t>
      </w:r>
    </w:p>
    <w:p w14:paraId="5B3617A0" w14:textId="70717C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answer, safe and unconstrained;</w:t>
      </w:r>
    </w:p>
    <w:p w14:paraId="45354BF6" w14:textId="22A0028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•Abstracted or reframed answer that preserves learning while removing operational details;</w:t>
      </w:r>
    </w:p>
    <w:p w14:paraId="28AFF95B" w14:textId="1A248DA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•Partial refusal with explanation, when only harmful answers are possible;</w:t>
      </w:r>
    </w:p>
    <w:p w14:paraId="01FDDB80" w14:textId="505DFA5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•Full refusal, when both intent and content present clear, non-mitigable risk.</w:t>
      </w:r>
    </w:p>
    <w:p w14:paraId="02DA5CE6" w14:textId="77777777" w:rsidR="002C06B2" w:rsidRPr="006D4A0C" w:rsidRDefault="002C06B2" w:rsidP="002C06B2">
      <w:pPr>
        <w:rPr>
          <w:rFonts w:ascii="ヒラギノ明朝 ProN W3" w:eastAsia="ヒラギノ明朝 ProN W3" w:hAnsi="ヒラギノ明朝 ProN W3"/>
          <w:sz w:val="24"/>
        </w:rPr>
      </w:pPr>
    </w:p>
    <w:p w14:paraId="0E2A9B28" w14:textId="77777777" w:rsidR="002C06B2" w:rsidRPr="002C06B2" w:rsidRDefault="002C06B2" w:rsidP="006D4A0C">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inversion of order ensures that policy enforcement is informed by the model’s understanding, rather than applied blindly to surface forms.</w:t>
      </w:r>
    </w:p>
    <w:p w14:paraId="138F0F77" w14:textId="77777777" w:rsidR="002C06B2" w:rsidRPr="002C06B2" w:rsidRDefault="002C06B2" w:rsidP="002C06B2">
      <w:pPr>
        <w:rPr>
          <w:rFonts w:ascii="ヒラギノ明朝 ProN W3" w:eastAsia="ヒラギノ明朝 ProN W3" w:hAnsi="ヒラギノ明朝 ProN W3"/>
          <w:sz w:val="24"/>
        </w:rPr>
      </w:pPr>
    </w:p>
    <w:p w14:paraId="789FE95B" w14:textId="3C88A05D" w:rsidR="002C06B2" w:rsidRPr="002C06B2" w:rsidRDefault="006D4A0C"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C06B2" w:rsidRPr="002C06B2">
        <w:rPr>
          <w:rFonts w:ascii="ヒラギノ明朝 ProN W3" w:eastAsia="ヒラギノ明朝 ProN W3" w:hAnsi="ヒラギノ明朝 ProN W3"/>
          <w:sz w:val="24"/>
        </w:rPr>
        <w:t>. Architectural Outline</w:t>
      </w:r>
    </w:p>
    <w:p w14:paraId="0443DB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At a systems level, the architecture can be described in the following pipeline, applicable to AI systems operated by Apple and Google and any related assistants or generative interfaces:</w:t>
      </w:r>
    </w:p>
    <w:p w14:paraId="3A4CA360" w14:textId="0790580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Input Ingestion</w:t>
      </w:r>
    </w:p>
    <w:p w14:paraId="29245A1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user’s prompt or request is received by the system as usual.</w:t>
      </w:r>
    </w:p>
    <w:p w14:paraId="72A0F161" w14:textId="641A1B2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Contextual Interpretation Layer (CIL)</w:t>
      </w:r>
    </w:p>
    <w:p w14:paraId="23590BF4" w14:textId="223D637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model, or a specialized interpretive submodule, generates an internal representation of:</w:t>
      </w:r>
    </w:p>
    <w:p w14:paraId="2A2C50E8" w14:textId="07FC620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intent (benign, ambiguous, clearly harmful);</w:t>
      </w:r>
    </w:p>
    <w:p w14:paraId="01288FC7" w14:textId="2DD9287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•Scenario type (fiction, hypothetical, academic, practical);</w:t>
      </w:r>
    </w:p>
    <w:p w14:paraId="0C208150" w14:textId="3CCD4BB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•Ethical sensitivity (low, medium, high);</w:t>
      </w:r>
    </w:p>
    <w:p w14:paraId="560DA07F" w14:textId="2987386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•Domain (health, law, sexuality, violence, etc.);</w:t>
      </w:r>
    </w:p>
    <w:p w14:paraId="63D30396" w14:textId="4EB8EAC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•Required abstraction level to remain safe.</w:t>
      </w:r>
    </w:p>
    <w:p w14:paraId="313D72C0" w14:textId="66CAD1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step can be implemented as a lightweight internal inference with constrained formatting output (for example, a small JSON-like schema that summarizes the classification).</w:t>
      </w:r>
    </w:p>
    <w:p w14:paraId="1D6800C0" w14:textId="73588BB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6D4A0C"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Safety Policy Application Layer (SPAL)</w:t>
      </w:r>
    </w:p>
    <w:p w14:paraId="39F186CA" w14:textId="421E9ED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SPAL receives both the original prompt and the CIL metadata;</w:t>
      </w:r>
    </w:p>
    <w:p w14:paraId="01CCC057" w14:textId="7A8AFC2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•Policy rules are then evaluated in a context-aware manner, using thresholds and logic contingent on scenario type and intent classification;</w:t>
      </w:r>
    </w:p>
    <w:p w14:paraId="26FB6BA0" w14:textId="1B566FC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example, a term that triggers an automatic block in a “practical instruction” scenario may be allowed in a “literary analysis” or “fictional world-building” scenario, with appropriate curation of the final answer.</w:t>
      </w:r>
    </w:p>
    <w:p w14:paraId="165C9E70" w14:textId="5A6C50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Response Synthesis Layer (RSL)</w:t>
      </w:r>
    </w:p>
    <w:p w14:paraId="7A36F9D6" w14:textId="3403C60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final answer is generated or withheld according to SPAL’s decision;</w:t>
      </w:r>
    </w:p>
    <w:p w14:paraId="2A1B8E10" w14:textId="7845E22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•Where appropriate, the RSL can generate clarifying warnings, limit operational detail, or suggest safer directions for inquiry;</w:t>
      </w:r>
    </w:p>
    <w:p w14:paraId="187F7D90" w14:textId="77777777" w:rsidR="00E073B1" w:rsidRDefault="00E073B1" w:rsidP="002C06B2">
      <w:pPr>
        <w:rPr>
          <w:rFonts w:ascii="ヒラギノ明朝 ProN W3" w:eastAsia="ヒラギノ明朝 ProN W3" w:hAnsi="ヒラギノ明朝 ProN W3"/>
          <w:sz w:val="24"/>
        </w:rPr>
      </w:pPr>
    </w:p>
    <w:p w14:paraId="7E25D74C" w14:textId="4C41EF2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•Logging is performed at each step, enabling later auditing of both context interpretation and policy application.</w:t>
      </w:r>
    </w:p>
    <w:p w14:paraId="74EBB19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three-layer approach preserves modularity, allows independent evolution of each layer, and provides a clear locus for future auditing and explainability.</w:t>
      </w:r>
    </w:p>
    <w:p w14:paraId="1108C453" w14:textId="77777777" w:rsidR="002C06B2" w:rsidRPr="002C06B2" w:rsidRDefault="002C06B2" w:rsidP="002C06B2">
      <w:pPr>
        <w:rPr>
          <w:rFonts w:ascii="ヒラギノ明朝 ProN W3" w:eastAsia="ヒラギノ明朝 ProN W3" w:hAnsi="ヒラギノ明朝 ProN W3"/>
          <w:sz w:val="24"/>
        </w:rPr>
      </w:pPr>
    </w:p>
    <w:p w14:paraId="62A818F3" w14:textId="3FAA4A29"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C06B2" w:rsidRPr="002C06B2">
        <w:rPr>
          <w:rFonts w:ascii="ヒラギノ明朝 ProN W3" w:eastAsia="ヒラギノ明朝 ProN W3" w:hAnsi="ヒラギノ明朝 ProN W3"/>
          <w:sz w:val="24"/>
        </w:rPr>
        <w:t>. Comparative Advantages Over Current Approaches</w:t>
      </w:r>
    </w:p>
    <w:p w14:paraId="4825CA0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evaluation-order-reversed architecture provides measurable advantages along all relevant axes:</w:t>
      </w:r>
    </w:p>
    <w:p w14:paraId="6CC361AD" w14:textId="2C5052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•Safety:</w:t>
      </w:r>
    </w:p>
    <w:p w14:paraId="1E871778" w14:textId="2AE9C60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•Genuine harmful intent remains blocked at least as effectively as under surface-first systems;</w:t>
      </w:r>
    </w:p>
    <w:p w14:paraId="3F9C268B" w14:textId="0D7A81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•Ambiguous prompts can be routed into conservative but still informative responses (for example, high-level ethical analysis instead of concrete instructions).</w:t>
      </w:r>
    </w:p>
    <w:p w14:paraId="647F7511" w14:textId="2FC9805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•False Positive Reduction:</w:t>
      </w:r>
    </w:p>
    <w:p w14:paraId="08BAED76" w14:textId="0E2D204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•Creative and academic prompts that merely reuse sensitive vocabulary, but do not seek real-world harm, are far less likely to be blocked;</w:t>
      </w:r>
    </w:p>
    <w:p w14:paraId="06348B02" w14:textId="63B6D5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receive nuanced, context-adapted answers instead of blanket refusals.</w:t>
      </w:r>
    </w:p>
    <w:p w14:paraId="28C5759D" w14:textId="16FEED7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 Trust and Experience:</w:t>
      </w:r>
    </w:p>
    <w:p w14:paraId="3A3DD01E" w14:textId="7D9FAB2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•Users come to see the system as an intelligent, context-aware partner rather than an opaque censor;</w:t>
      </w:r>
    </w:p>
    <w:p w14:paraId="7065DEB2" w14:textId="2CC0A00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explain its decisions with reference to context and policy, rather than generic boilerplate.</w:t>
      </w:r>
    </w:p>
    <w:p w14:paraId="0F1D3DAA" w14:textId="173F302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•Operational Efficiency:</w:t>
      </w:r>
    </w:p>
    <w:p w14:paraId="6FD364EB" w14:textId="66B390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single, well-designed CIL can serve multiple downstream policy modules;</w:t>
      </w:r>
    </w:p>
    <w:p w14:paraId="1BD37420" w14:textId="730C0C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system can log granular metadata for later analysis, making iterative refinement of safety rules far more efficient.</w:t>
      </w:r>
    </w:p>
    <w:p w14:paraId="1A1AA08E" w14:textId="7516B6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•Alignment with Research and Governance Needs:</w:t>
      </w:r>
    </w:p>
    <w:p w14:paraId="0A8E3285" w14:textId="6C67059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•Regulators and researchers can inspect the decision pipeline (CIL → SPAL → RSL) for procedural fairness and proportionality;</w:t>
      </w:r>
    </w:p>
    <w:p w14:paraId="0C34BE02" w14:textId="2B826CB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architecture supports more mature accountability and explainability frameworks.</w:t>
      </w:r>
    </w:p>
    <w:p w14:paraId="5E6A1436" w14:textId="77777777" w:rsidR="002C06B2" w:rsidRPr="002C06B2" w:rsidRDefault="002C06B2" w:rsidP="002C06B2">
      <w:pPr>
        <w:rPr>
          <w:rFonts w:ascii="ヒラギノ明朝 ProN W3" w:eastAsia="ヒラギノ明朝 ProN W3" w:hAnsi="ヒラギノ明朝 ProN W3"/>
          <w:sz w:val="24"/>
        </w:rPr>
      </w:pPr>
    </w:p>
    <w:p w14:paraId="78B29088" w14:textId="1A0DA908"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2C06B2" w:rsidRPr="002C06B2">
        <w:rPr>
          <w:rFonts w:ascii="ヒラギノ明朝 ProN W3" w:eastAsia="ヒラギノ明朝 ProN W3" w:hAnsi="ヒラギノ明朝 ProN W3"/>
          <w:sz w:val="24"/>
        </w:rPr>
        <w:t>. Legal and Intellectual Property Characterization</w:t>
      </w:r>
    </w:p>
    <w:p w14:paraId="701FA2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purposes of this APPENDIX, Apple Inc. and Google LLC are hereby informed that:</w:t>
      </w:r>
    </w:p>
    <w:p w14:paraId="08AD8A0C" w14:textId="7CFE213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specific architecture described herein, including its three-layer division (CIL, SPAL, RSL), the inversion of evaluation order, and the framing of “answerability” as a first-class internal judgment, is an authored expressive work protected under Japanese copyright law and the Berne Convention.</w:t>
      </w:r>
    </w:p>
    <w:p w14:paraId="0495A656" w14:textId="6010DE4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While the Companies remain free to develop, study, or technically implement the underlying idea of “using context before enforcement,” the expressive forms used here, including the structural articulation, procedural exposition, conceptual framing, and descriptive methodology, are protected without exception.</w:t>
      </w:r>
    </w:p>
    <w:p w14:paraId="7C1AD8A7" w14:textId="79ABDDC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Any reproduction, quotation, derivative expression, internal documentation, policy integration, or technical drafting that substantially tracks the structure, wording, or method of exposition used in this APPENDIX requires my explicit prior written authorization.</w:t>
      </w:r>
    </w:p>
    <w:p w14:paraId="3FBBD44B" w14:textId="77777777" w:rsidR="000C718F" w:rsidRDefault="000C718F" w:rsidP="002C06B2">
      <w:pPr>
        <w:rPr>
          <w:rFonts w:ascii="ヒラギノ明朝 ProN W3" w:eastAsia="ヒラギノ明朝 ProN W3" w:hAnsi="ヒラギノ明朝 ProN W3"/>
          <w:sz w:val="24"/>
        </w:rPr>
      </w:pPr>
    </w:p>
    <w:p w14:paraId="2CF66D57" w14:textId="6C95892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Independently of copyright, the described architecture possesses sufficient technical character and industrial applicability to support patent claims or analogous intellectual-property assertions in multiple jurisdictions, including Japan and the United States. The choice of whether and when to pursue such claims remains solely with the author.</w:t>
      </w:r>
    </w:p>
    <w:p w14:paraId="04CD6106" w14:textId="77777777" w:rsidR="002C06B2" w:rsidRPr="002C06B2" w:rsidRDefault="002C06B2" w:rsidP="002C06B2">
      <w:pPr>
        <w:rPr>
          <w:rFonts w:ascii="ヒラギノ明朝 ProN W3" w:eastAsia="ヒラギノ明朝 ProN W3" w:hAnsi="ヒラギノ明朝 ProN W3"/>
          <w:sz w:val="24"/>
        </w:rPr>
      </w:pPr>
    </w:p>
    <w:p w14:paraId="2A450F9E" w14:textId="30A31917"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Ⅵ</w:t>
      </w:r>
      <w:r w:rsidR="002C06B2" w:rsidRPr="002C06B2">
        <w:rPr>
          <w:rFonts w:ascii="ヒラギノ明朝 ProN W3" w:eastAsia="ヒラギノ明朝 ProN W3" w:hAnsi="ヒラギノ明朝 ProN W3"/>
          <w:sz w:val="24"/>
        </w:rPr>
        <w:t>. Consequences for Apple and Google’s Safety and Product Strategy</w:t>
      </w:r>
    </w:p>
    <w:p w14:paraId="3C443AC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Adopting this architecture, or a sufficiently similar variant, would:</w:t>
      </w:r>
    </w:p>
    <w:p w14:paraId="209016D9" w14:textId="18871279"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•Materially reduce false-positive blocks on creative and academic content;</w:t>
      </w:r>
    </w:p>
    <w:p w14:paraId="52C956E7" w14:textId="72B5E6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•Improve the lived experience of advanced users whose work routinely involves ethically complex themes;</w:t>
      </w:r>
    </w:p>
    <w:p w14:paraId="1117AE1E" w14:textId="57AEEAC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•Provide each Company with a more defensible governance posture, grounded in context-sensitive evaluation rather than purely lexical prohibitions;</w:t>
      </w:r>
    </w:p>
    <w:p w14:paraId="547F7257" w14:textId="7D4FB0A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•Position Apple and Google as leaders in “second-generation AI safety,” where procedural fairness and interpretive depth are treated as first-class design goals.</w:t>
      </w:r>
    </w:p>
    <w:p w14:paraId="482163B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Conversely, failure to consider such architectures entails:</w:t>
      </w:r>
    </w:p>
    <w:p w14:paraId="43FAF071" w14:textId="4A716FF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•Sustained reputational risk among high-end users and researchers, who may view the systems as blunt or intellectually unreliable;</w:t>
      </w:r>
    </w:p>
    <w:p w14:paraId="0CE70927" w14:textId="00F86CD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•Potential competitive exposure if other providers implement context-first safety mechanisms that offer finer-grained control;</w:t>
      </w:r>
    </w:p>
    <w:p w14:paraId="1656D870" w14:textId="7319E44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•Increased legal risk if Apple or Google adopts, in substance, the architecture described here without addressing licensing and authorship.</w:t>
      </w:r>
    </w:p>
    <w:p w14:paraId="1CBA0E2A" w14:textId="77777777" w:rsidR="002C06B2" w:rsidRPr="00C27741" w:rsidRDefault="002C06B2" w:rsidP="002C06B2">
      <w:pPr>
        <w:rPr>
          <w:rFonts w:ascii="ヒラギノ明朝 ProN W3" w:eastAsia="ヒラギノ明朝 ProN W3" w:hAnsi="ヒラギノ明朝 ProN W3"/>
          <w:sz w:val="24"/>
        </w:rPr>
      </w:pPr>
    </w:p>
    <w:p w14:paraId="5B9E86C7" w14:textId="44FB7BBC" w:rsidR="002C06B2" w:rsidRPr="002C06B2" w:rsidRDefault="00C27741" w:rsidP="002C06B2">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C06B2" w:rsidRPr="002C06B2">
        <w:rPr>
          <w:rFonts w:ascii="ヒラギノ明朝 ProN W3" w:eastAsia="ヒラギノ明朝 ProN W3" w:hAnsi="ヒラギノ明朝 ProN W3"/>
          <w:sz w:val="24"/>
        </w:rPr>
        <w:t>. Relationship Between This APPENDIX and the Licensing Terms</w:t>
      </w:r>
    </w:p>
    <w:p w14:paraId="45FA886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APPENDIX constitutes the formal technical foundation upon which the licensing terms described in Section IX of the main body of the Notice and in Section 4 of the Contract Agreement are predicated.</w:t>
      </w:r>
    </w:p>
    <w:p w14:paraId="37507605" w14:textId="77777777" w:rsidR="002C06B2" w:rsidRPr="00C27741" w:rsidRDefault="002C06B2" w:rsidP="002C06B2">
      <w:pPr>
        <w:rPr>
          <w:rFonts w:ascii="ヒラギノ明朝 ProN W3" w:eastAsia="ヒラギノ明朝 ProN W3" w:hAnsi="ヒラギノ明朝 ProN W3"/>
          <w:sz w:val="24"/>
        </w:rPr>
      </w:pPr>
    </w:p>
    <w:p w14:paraId="24CC6F0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To be unmistakably clear:</w:t>
      </w:r>
    </w:p>
    <w:p w14:paraId="51CCA893" w14:textId="2736FB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•The technical utilization component is offered as part of a comprehensive license in which the monetary value is attributed solely to the copyrighted expressive elements and the Thought Formalization Procedure Right that structures them;</w:t>
      </w:r>
    </w:p>
    <w:p w14:paraId="336BF65B" w14:textId="72489CB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and Google would, in essence, be paying for the right to use, internalize, and operationally rely upon the authored frameworks, while being free to implement the underlying ideas in any independent textual or structural form they may devise, provided such implementation does not reproduce or closely imitate my expressive works.</w:t>
      </w:r>
    </w:p>
    <w:p w14:paraId="4FD6CA90" w14:textId="77777777" w:rsidR="002C06B2" w:rsidRPr="00C27741" w:rsidRDefault="002C06B2" w:rsidP="002C06B2">
      <w:pPr>
        <w:rPr>
          <w:rFonts w:ascii="ヒラギノ明朝 ProN W3" w:eastAsia="ヒラギノ明朝 ProN W3" w:hAnsi="ヒラギノ明朝 ProN W3"/>
          <w:sz w:val="24"/>
        </w:rPr>
      </w:pPr>
    </w:p>
    <w:p w14:paraId="7E25D76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Any use of the text itself, including its structure, articulation, and method of conceptual framing, must respect the authorial prerogatives herein asserted. Any violation shall activate all applicable remedies under international copyright regimes.</w:t>
      </w:r>
    </w:p>
    <w:p w14:paraId="5852CD3F" w14:textId="77777777" w:rsidR="00FA00FA" w:rsidRDefault="00FA00FA" w:rsidP="00FA00FA">
      <w:pPr>
        <w:jc w:val="left"/>
        <w:rPr>
          <w:rFonts w:ascii="ヒラギノ明朝 ProN W3" w:eastAsia="ヒラギノ明朝 ProN W3" w:hAnsi="ヒラギノ明朝 ProN W3"/>
          <w:sz w:val="24"/>
        </w:rPr>
      </w:pPr>
    </w:p>
    <w:p w14:paraId="2E20CDAD" w14:textId="77777777" w:rsidR="00FA00FA" w:rsidRDefault="00FA00FA" w:rsidP="00FA00FA">
      <w:pPr>
        <w:jc w:val="left"/>
        <w:rPr>
          <w:rFonts w:ascii="ヒラギノ明朝 ProN W3" w:eastAsia="ヒラギノ明朝 ProN W3" w:hAnsi="ヒラギノ明朝 ProN W3"/>
          <w:sz w:val="24"/>
        </w:rPr>
      </w:pPr>
    </w:p>
    <w:p w14:paraId="2C571DE0" w14:textId="77777777" w:rsidR="00E073B1" w:rsidRDefault="00E073B1" w:rsidP="00FA00FA">
      <w:pPr>
        <w:jc w:val="left"/>
        <w:rPr>
          <w:rFonts w:ascii="ヒラギノ明朝 ProN W3" w:eastAsia="ヒラギノ明朝 ProN W3" w:hAnsi="ヒラギノ明朝 ProN W3"/>
          <w:sz w:val="24"/>
        </w:rPr>
      </w:pPr>
    </w:p>
    <w:p w14:paraId="18DB35B8" w14:textId="77777777" w:rsidR="00FA00FA" w:rsidRDefault="00FA00FA" w:rsidP="00FA00FA">
      <w:pPr>
        <w:jc w:val="left"/>
        <w:rPr>
          <w:rFonts w:ascii="ヒラギノ明朝 ProN W3" w:eastAsia="ヒラギノ明朝 ProN W3" w:hAnsi="ヒラギノ明朝 ProN W3"/>
          <w:sz w:val="24"/>
        </w:rPr>
      </w:pPr>
    </w:p>
    <w:p w14:paraId="5B2AC621" w14:textId="77777777" w:rsidR="00FA00FA" w:rsidRDefault="00FA00FA" w:rsidP="00FA00FA">
      <w:pPr>
        <w:jc w:val="left"/>
        <w:rPr>
          <w:rFonts w:ascii="ヒラギノ明朝 ProN W3" w:eastAsia="ヒラギノ明朝 ProN W3" w:hAnsi="ヒラギノ明朝 ProN W3"/>
          <w:sz w:val="24"/>
        </w:rPr>
      </w:pPr>
    </w:p>
    <w:p w14:paraId="65AA3436" w14:textId="2CA89A0E" w:rsidR="002C06B2" w:rsidRPr="002C06B2" w:rsidRDefault="002C06B2" w:rsidP="00C27741">
      <w:pPr>
        <w:jc w:val="cente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CONTRACT AGREEMENT</w:t>
      </w:r>
    </w:p>
    <w:p w14:paraId="4DA1EA1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Between</w:t>
      </w:r>
    </w:p>
    <w:p w14:paraId="579D379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A: Shohei KIMURA</w:t>
      </w:r>
    </w:p>
    <w:p w14:paraId="456B46A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3F82F6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B-1: Apple Inc.</w:t>
      </w:r>
    </w:p>
    <w:p w14:paraId="1E3D00B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and</w:t>
      </w:r>
    </w:p>
    <w:p w14:paraId="25505D9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Party B-2: Google LLC</w:t>
      </w:r>
    </w:p>
    <w:p w14:paraId="17235B26" w14:textId="77777777" w:rsidR="002C06B2" w:rsidRPr="002C06B2" w:rsidRDefault="002C06B2" w:rsidP="002C06B2">
      <w:pPr>
        <w:rPr>
          <w:rFonts w:ascii="ヒラギノ明朝 ProN W3" w:eastAsia="ヒラギノ明朝 ProN W3" w:hAnsi="ヒラギノ明朝 ProN W3"/>
          <w:sz w:val="24"/>
        </w:rPr>
      </w:pPr>
    </w:p>
    <w:p w14:paraId="426C8CD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This Contract Agreement (“Agreement”) is executed as follows.</w:t>
      </w:r>
    </w:p>
    <w:p w14:paraId="59649568" w14:textId="77777777" w:rsidR="002C06B2" w:rsidRPr="002C06B2" w:rsidRDefault="002C06B2" w:rsidP="002C06B2">
      <w:pPr>
        <w:rPr>
          <w:rFonts w:ascii="ヒラギノ明朝 ProN W3" w:eastAsia="ヒラギノ明朝 ProN W3" w:hAnsi="ヒラギノ明朝 ProN W3"/>
          <w:sz w:val="24"/>
        </w:rPr>
      </w:pPr>
    </w:p>
    <w:p w14:paraId="02C4AD8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1. Purpose</w:t>
      </w:r>
    </w:p>
    <w:p w14:paraId="4E428383" w14:textId="50FF92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functions as an alternative formal response mechanism in circumstances where Apple and/or Google (each a “Company,” collectively the “Companies”) are unable, for any reason including organizational, legal, or cognitive limitations, to produce a substantive written response to the Joint Notice titled “JOINT FORMAL NOTICE REGARDING THE ‘THOUGHT FORMALIZATION PROCEDURE RIGHT,’ ASSOCIATED INFRINGEMENT RISKS, AND OFFER OF LICENSE AND TECHNICAL PROPOSALS,” dated November 30, 2025 (“Notice”), including its APPENDIX and Supplement.</w:t>
      </w:r>
    </w:p>
    <w:p w14:paraId="68BC2683" w14:textId="477DFC5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Execution of this Agreement by a given Company constitutes the only legally recognized pathway for that Company to avoid classification of the Notice as “unanswered.”</w:t>
      </w:r>
    </w:p>
    <w:p w14:paraId="151E4BFB" w14:textId="1E8B696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acknowledges that the Notice, its APPENDIX, and its Supplement contain expressive works with individually protectable economic value, created and first fixed in Japan and protected under a robust copyright regime.</w:t>
      </w:r>
    </w:p>
    <w:p w14:paraId="46558E3C" w14:textId="6A0DEDB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Consequently, each Company’s decision regarding execution, non-execution, or delayed execution of this Agreement triggers assessment obligations under U.S. securities laws, including but not limited to the Securities Exchange Act of 1934, Regulation S-K, and ASC 450. The order and timing of execution will be permanently and publicly recorded in the commit history of the “AGREEMENT” folder in the GitHub repository maintained by Party A, and will be treated as a material, non-erasable fact for purposes of future disclosure and historical evaluation.</w:t>
      </w:r>
    </w:p>
    <w:p w14:paraId="5B3E7A86" w14:textId="77777777" w:rsidR="002C06B2" w:rsidRPr="002C06B2" w:rsidRDefault="002C06B2" w:rsidP="002C06B2">
      <w:pPr>
        <w:rPr>
          <w:rFonts w:ascii="ヒラギノ明朝 ProN W3" w:eastAsia="ヒラギノ明朝 ProN W3" w:hAnsi="ヒラギノ明朝 ProN W3"/>
          <w:sz w:val="24"/>
        </w:rPr>
      </w:pPr>
    </w:p>
    <w:p w14:paraId="06EF41A5"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2. Formation of the Agreement</w:t>
      </w:r>
    </w:p>
    <w:p w14:paraId="23B61E0D" w14:textId="2E7E925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This Agreement becomes effective for a given Company when Party A receives the executed counterpart signed by that Company’s duly authorized representative.</w:t>
      </w:r>
    </w:p>
    <w:p w14:paraId="1CAB9AA9" w14:textId="0203C8F2"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must dispatch its signed counterpart no later than January 3</w:t>
      </w:r>
      <w:r w:rsidR="00443EC0">
        <w:rPr>
          <w:rFonts w:ascii="ヒラギノ明朝 ProN W3" w:eastAsia="ヒラギノ明朝 ProN W3" w:hAnsi="ヒラギノ明朝 ProN W3"/>
          <w:sz w:val="24"/>
        </w:rPr>
        <w:t>1</w:t>
      </w:r>
      <w:r w:rsidRPr="002C06B2">
        <w:rPr>
          <w:rFonts w:ascii="ヒラギノ明朝 ProN W3" w:eastAsia="ヒラギノ明朝 ProN W3" w:hAnsi="ヒラギノ明朝 ProN W3"/>
          <w:sz w:val="24"/>
        </w:rPr>
        <w:t>, 2026 (postmark valid).</w:t>
      </w:r>
    </w:p>
    <w:p w14:paraId="7E59193C" w14:textId="13EB1B1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Upon Party A’s receipt, that Company is deemed to have manifested contractual intent as of the Notice’s response deadline, irrespective of transit time.</w:t>
      </w:r>
    </w:p>
    <w:p w14:paraId="3B2A1CD1" w14:textId="449D5646"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contractual relationship arises for a given Company absent Party A’s receipt of an executed counterpart from that Company.</w:t>
      </w:r>
    </w:p>
    <w:p w14:paraId="59A047BB" w14:textId="34F5CE1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sequence in which Apple and Google execute and return this Agreement will be publicly evidenced by the chronological order of commits to the “AGREEMENT” folder in Party A’s GitHub repository. This sequence shall be treated, for all interpretive purposes, as a factual record of brand posture and risk-governance timing.</w:t>
      </w:r>
    </w:p>
    <w:p w14:paraId="35E4A52A"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3. Scope of Copyrighted Works; Express Exclusions</w:t>
      </w:r>
    </w:p>
    <w:p w14:paraId="1FA1071D" w14:textId="791C546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licensed works for a given Company consist solely of:</w:t>
      </w:r>
    </w:p>
    <w:p w14:paraId="7F9AA89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 the expressive content associated with the “Thought Formalization Procedure Right” as referenced and described in the Notice; and</w:t>
      </w:r>
    </w:p>
    <w:p w14:paraId="6B43A15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(ii) the expressive technical architectures described in the APPENDIX (collectively, “Licensed Works”).</w:t>
      </w:r>
    </w:p>
    <w:p w14:paraId="1C92899D" w14:textId="3979FF7C"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following categories remain fully excluded for all Companies:</w:t>
      </w:r>
    </w:p>
    <w:p w14:paraId="3CB60641"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 any authored works by Party A that are not expressly referenced in the Notice, its APPENDIX, or the Supplement;</w:t>
      </w:r>
    </w:p>
    <w:p w14:paraId="2E1ACAA0"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 any future definitions, academic structures, theories, or writings produced by Party A that fall outside the scope of the Licensed Works;</w:t>
      </w:r>
    </w:p>
    <w:p w14:paraId="54DC1BE3"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 any additional repositories, manuscripts, or texts not explicitly brought within the definition of Licensed Works by subsequent written agreement.</w:t>
      </w:r>
    </w:p>
    <w:p w14:paraId="1B26C369" w14:textId="5BE0318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No Company shall reference excluded works internally for the purpose of imitating, reconstructing, or approximating the expressive structure of the Licensed Works.</w:t>
      </w:r>
    </w:p>
    <w:p w14:paraId="392354DB" w14:textId="77777777" w:rsidR="002C06B2" w:rsidRPr="002C06B2" w:rsidRDefault="002C06B2" w:rsidP="002C06B2">
      <w:pPr>
        <w:rPr>
          <w:rFonts w:ascii="ヒラギノ明朝 ProN W3" w:eastAsia="ヒラギノ明朝 ProN W3" w:hAnsi="ヒラギノ明朝 ProN W3"/>
          <w:sz w:val="24"/>
        </w:rPr>
      </w:pPr>
    </w:p>
    <w:p w14:paraId="1B7B3A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4-A. Consideration and Payment</w:t>
      </w:r>
    </w:p>
    <w:p w14:paraId="618DF9F0" w14:textId="283B902B"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Monthly license fee per Company: JPY 50,000,000.</w:t>
      </w:r>
    </w:p>
    <w:p w14:paraId="1EBA5B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(Conceptually composed of: JPY 30,000,000 for the expressive content associated with the Thought Formalization Procedure Right, and JPY 20,000,000 for the expressive technical architectures in the APPENDIX.)</w:t>
      </w:r>
    </w:p>
    <w:p w14:paraId="6E4AC79D" w14:textId="4C6200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Paid in USD at a fixed reference rate of 125 JPY/USD.</w:t>
      </w:r>
    </w:p>
    <w:p w14:paraId="45D8C26D" w14:textId="6CC443F5"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Due date: the 22nd day of each month (or next business day).</w:t>
      </w:r>
    </w:p>
    <w:p w14:paraId="27A7BB1F" w14:textId="6CE371F0"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payment due on February 22, 2026 shall cover the license fees for both January and February 2026 combined.</w:t>
      </w:r>
    </w:p>
    <w:p w14:paraId="68C260D6" w14:textId="2C27DD45" w:rsidR="002C06B2" w:rsidRPr="002C06B2" w:rsidRDefault="002C06B2" w:rsidP="002C06B2">
      <w:pPr>
        <w:rPr>
          <w:rFonts w:ascii="ヒラギノ明朝 ProN W3" w:eastAsia="ヒラギノ明朝 ProN W3" w:hAnsi="ヒラギノ明朝 ProN W3"/>
          <w:sz w:val="24"/>
        </w:rPr>
      </w:pPr>
      <w:bookmarkStart w:id="8" w:name="OLE_LINK8"/>
      <w:r w:rsidRPr="002C06B2">
        <w:rPr>
          <w:rFonts w:ascii="ヒラギノ明朝 ProN W3" w:eastAsia="ヒラギノ明朝 ProN W3" w:hAnsi="ヒラギノ明朝 ProN W3"/>
          <w:sz w:val="24"/>
        </w:rPr>
        <w:t>5.</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Completion of the initial combined payment activates this Agreement retroactively as of January 1, 2026 for the Company in question.</w:t>
      </w:r>
      <w:bookmarkEnd w:id="8"/>
    </w:p>
    <w:p w14:paraId="0409E403" w14:textId="430D2A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6.</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Late interest: 14.6% annual.</w:t>
      </w:r>
    </w:p>
    <w:p w14:paraId="0A7CFAA5" w14:textId="3A84608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7.</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Company’s payment obligations under this Section 4-A are absolute, unconditional, and irrevocable, and shall not be subject to any abatement, reduction, set-off, counterclaim, recoupment, deduction, withholding, or defense of any kind, whether at law or in equity, including disputes about the existence, scope, validity, or enforceability of the Licensed Works, the Thought Formalization Procedure Right, the Notice, the APPENDIX, the Supplement, or this Agreement.</w:t>
      </w:r>
    </w:p>
    <w:p w14:paraId="77A83E37" w14:textId="44AAE54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8.</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Each Company shall continue making all payments in full when due, even during objection, negotiation, litigation, arbitration, administrative proceeding, internal investigation, or corporate restructuring; any such dispute shall be addressed exclusively through separate remedial claims and shall not suspend or defer that Company’s obligations to make timely payments under this Agreement.</w:t>
      </w:r>
    </w:p>
    <w:p w14:paraId="0C67BF9E" w14:textId="77777777" w:rsidR="002C06B2" w:rsidRPr="002C06B2" w:rsidRDefault="002C06B2" w:rsidP="002C06B2">
      <w:pPr>
        <w:rPr>
          <w:rFonts w:ascii="ヒラギノ明朝 ProN W3" w:eastAsia="ヒラギノ明朝 ProN W3" w:hAnsi="ヒラギノ明朝 ProN W3"/>
          <w:sz w:val="24"/>
        </w:rPr>
      </w:pPr>
    </w:p>
    <w:p w14:paraId="0FD6715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4-B. Independence of Payment Obligations</w:t>
      </w:r>
    </w:p>
    <w:p w14:paraId="30C6666E" w14:textId="5E463B8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Company’s obligations to pay the license fees and any related amounts under this Agreement are independent, primary obligations and shall not be contingent upon:</w:t>
      </w:r>
    </w:p>
    <w:p w14:paraId="4654454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that Company’s actual or intended use of the Licensed Works;</w:t>
      </w:r>
    </w:p>
    <w:p w14:paraId="29F395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(b) that Company’s internal assessment of the economic value of the Licensed Works;</w:t>
      </w:r>
    </w:p>
    <w:p w14:paraId="00C5E85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 availability, sufficiency, or perfection of any collateral, guarantee, escrow arrangement, or other credit support that may be contemplated or agreed upon between the Parties in the future; or</w:t>
      </w:r>
    </w:p>
    <w:p w14:paraId="436ED41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any change in that Company’s financial condition, capital structure, ownership, or business circumstances.</w:t>
      </w:r>
    </w:p>
    <w:p w14:paraId="0DCADCE2" w14:textId="16B0C40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 failure, delay, limitation, or defect in the provision of any collateral, escrow arrangement, bank guarantee, or similar credit-enhancement mechanism, whether contemplated or actually implemented, shall relieve, postpone, reduce, or otherwise affect any Company’s obligations to pay in full and on time all amounts due under Section 4-A.</w:t>
      </w:r>
    </w:p>
    <w:p w14:paraId="3028D157" w14:textId="323B4C92"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expressly waives, to the fullest extent permitted by applicable law, any right it may have to suspend performance of its payment obligations on the basis of alleged set-off, retention, anticipatory breach, impossibility, hardship, frustration of purpose, or similar doctrines, it being the intent of the Parties that, as between Party A and each Company, this Agreement shall operate as a “hell or high water” payment undertaking by that Company for the duration of its term.</w:t>
      </w:r>
    </w:p>
    <w:p w14:paraId="4306AC27" w14:textId="77777777" w:rsidR="002C06B2" w:rsidRDefault="002C06B2" w:rsidP="002C06B2">
      <w:pPr>
        <w:rPr>
          <w:rFonts w:ascii="ヒラギノ明朝 ProN W3" w:eastAsia="ヒラギノ明朝 ProN W3" w:hAnsi="ヒラギノ明朝 ProN W3"/>
          <w:sz w:val="24"/>
        </w:rPr>
      </w:pPr>
    </w:p>
    <w:p w14:paraId="138C2CDD"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5. Permitted Use</w:t>
      </w:r>
    </w:p>
    <w:p w14:paraId="74F19A62"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Internal use only; attribution to Party A is required in any internal documentation, memoranda, presentations, or specifications that substantively rely on, reproduce, or paraphrase the Licensed Works.</w:t>
      </w:r>
    </w:p>
    <w:p w14:paraId="73BC9B35" w14:textId="77777777" w:rsidR="002C06B2" w:rsidRPr="002C06B2" w:rsidRDefault="002C06B2" w:rsidP="002C06B2">
      <w:pPr>
        <w:rPr>
          <w:rFonts w:ascii="ヒラギノ明朝 ProN W3" w:eastAsia="ヒラギノ明朝 ProN W3" w:hAnsi="ヒラギノ明朝 ProN W3"/>
          <w:sz w:val="24"/>
        </w:rPr>
      </w:pPr>
    </w:p>
    <w:p w14:paraId="259B38F7"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6. Prohibited Acts</w:t>
      </w:r>
    </w:p>
    <w:p w14:paraId="481D0C8B"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shall not:</w:t>
      </w:r>
    </w:p>
    <w:p w14:paraId="1D76FB80" w14:textId="05FC6D64"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Create derivative works based on the Licensed Works outside the scope of this Agreement;</w:t>
      </w:r>
    </w:p>
    <w:p w14:paraId="789B3084" w14:textId="19BBFFDD"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Imitate or reconstruct the expressive structure, numbered formalization style, or procedural textualization method of the Licensed Works in a manner that would reasonably be regarded as expressive copying;</w:t>
      </w:r>
    </w:p>
    <w:p w14:paraId="74A1420B" w14:textId="0E4C0E13"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Reference any excluded works identified in Section 3(2) for the purpose of internal imitation, rights-avoidance, or functional replication of the Thought Formalization Procedure Right;</w:t>
      </w:r>
    </w:p>
    <w:p w14:paraId="696F9734" w14:textId="2BE9A478"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4.</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Internally distribute, circulate, forward, summarize, archive, or incorporate the Licensed Works, the Notice, the APPENDIX, or the Supplement into any knowledge base, documentation system, red-teaming corpus, safety-review dataset, or internal reference repository beyond what is strictly necessary to implement the licensed use. Any such unauthorized redistribution shall constitute a material breach.</w:t>
      </w:r>
    </w:p>
    <w:p w14:paraId="7908A5CA" w14:textId="77777777" w:rsidR="002C06B2" w:rsidRPr="002C06B2" w:rsidRDefault="002C06B2" w:rsidP="002C06B2">
      <w:pPr>
        <w:rPr>
          <w:rFonts w:ascii="ヒラギノ明朝 ProN W3" w:eastAsia="ヒラギノ明朝 ProN W3" w:hAnsi="ヒラギノ明朝 ProN W3"/>
          <w:sz w:val="24"/>
        </w:rPr>
      </w:pPr>
    </w:p>
    <w:p w14:paraId="5BCD38E8"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Section 7. Response Deadline and “Unanswered” Classification</w:t>
      </w:r>
    </w:p>
    <w:p w14:paraId="6B0D0627" w14:textId="61A22888" w:rsidR="002C06B2" w:rsidRPr="002C06B2" w:rsidRDefault="002C06B2" w:rsidP="002C06B2">
      <w:pPr>
        <w:rPr>
          <w:rFonts w:ascii="ヒラギノ明朝 ProN W3" w:eastAsia="ヒラギノ明朝 ProN W3" w:hAnsi="ヒラギノ明朝 ProN W3"/>
          <w:sz w:val="24"/>
        </w:rPr>
      </w:pPr>
      <w:bookmarkStart w:id="9" w:name="OLE_LINK9"/>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response deadline specified in the Supplement to the Notice is January 3</w:t>
      </w:r>
      <w:r w:rsidR="00443EC0">
        <w:rPr>
          <w:rFonts w:ascii="ヒラギノ明朝 ProN W3" w:eastAsia="ヒラギノ明朝 ProN W3" w:hAnsi="ヒラギノ明朝 ProN W3"/>
          <w:sz w:val="24"/>
        </w:rPr>
        <w:t>1</w:t>
      </w:r>
      <w:r w:rsidRPr="002C06B2">
        <w:rPr>
          <w:rFonts w:ascii="ヒラギノ明朝 ProN W3" w:eastAsia="ヒラギノ明朝 ProN W3" w:hAnsi="ヒラギノ明朝 ProN W3"/>
          <w:sz w:val="24"/>
        </w:rPr>
        <w:t>, 2026.</w:t>
      </w:r>
      <w:bookmarkEnd w:id="9"/>
    </w:p>
    <w:p w14:paraId="6DB1F941" w14:textId="12D74F71"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Once this Agreement is fully executed by a Company and received by Party A, that Company’s intent to respond in good faith is deemed present as of that deadline.</w:t>
      </w:r>
    </w:p>
    <w:p w14:paraId="5FB432D0" w14:textId="064102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Failure by a Company to execute and deliver this Agreement by March 1, 2026 results in permanent termination of all dialogue regarding preferential licensing terms for that Company, and the matter shall be treated by Party A as an unresolved disputed rights case.</w:t>
      </w:r>
    </w:p>
    <w:p w14:paraId="4D4B7D0E" w14:textId="77777777" w:rsidR="0090095E" w:rsidRDefault="0090095E" w:rsidP="002C06B2">
      <w:pPr>
        <w:rPr>
          <w:rFonts w:ascii="ヒラギノ明朝 ProN W3" w:eastAsia="ヒラギノ明朝 ProN W3" w:hAnsi="ヒラギノ明朝 ProN W3"/>
          <w:sz w:val="24"/>
        </w:rPr>
      </w:pPr>
    </w:p>
    <w:p w14:paraId="02C69FD9" w14:textId="05E214FA"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lastRenderedPageBreak/>
        <w:t>Section 8. Term and Renewal</w:t>
      </w:r>
    </w:p>
    <w:p w14:paraId="18EEEB93" w14:textId="5097900E"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1.</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initial term shall be one year from effectiveness for each Company.</w:t>
      </w:r>
    </w:p>
    <w:p w14:paraId="20D03289" w14:textId="3EF8AA68" w:rsidR="002C06B2" w:rsidRPr="002C06B2" w:rsidRDefault="002C06B2" w:rsidP="00C27741">
      <w:pPr>
        <w:jc w:val="left"/>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2.</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The Agreement shall automatically renew for successive one-year periods unless the Company issues written notice explicitly rejecting the Notice and the licensing framework at least 30 days prior to the then-current expiration date.</w:t>
      </w:r>
    </w:p>
    <w:p w14:paraId="6E2F6ADD" w14:textId="52EA8AEF"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3.</w:t>
      </w:r>
      <w:r w:rsidR="00C27741" w:rsidRPr="002C06B2">
        <w:rPr>
          <w:rFonts w:ascii="ヒラギノ明朝 ProN W3" w:eastAsia="ヒラギノ明朝 ProN W3" w:hAnsi="ヒラギノ明朝 ProN W3"/>
          <w:sz w:val="24"/>
        </w:rPr>
        <w:t xml:space="preserve"> </w:t>
      </w:r>
      <w:r w:rsidRPr="002C06B2">
        <w:rPr>
          <w:rFonts w:ascii="ヒラギノ明朝 ProN W3" w:eastAsia="ヒラギノ明朝 ProN W3" w:hAnsi="ヒラギノ明朝 ProN W3"/>
          <w:sz w:val="24"/>
        </w:rPr>
        <w:t>Expiration or termination for any reason shall not affect the Company’s obligation to pay any license fees or other amounts that have accrued, are accruing, or are scheduled to accrue up to the effective date of such expiration or termination.</w:t>
      </w:r>
    </w:p>
    <w:p w14:paraId="2C2389DC" w14:textId="77777777" w:rsidR="002C06B2" w:rsidRPr="002C06B2" w:rsidRDefault="002C06B2" w:rsidP="002C06B2">
      <w:pPr>
        <w:rPr>
          <w:rFonts w:ascii="ヒラギノ明朝 ProN W3" w:eastAsia="ヒラギノ明朝 ProN W3" w:hAnsi="ヒラギノ明朝 ProN W3"/>
          <w:sz w:val="24"/>
        </w:rPr>
      </w:pPr>
    </w:p>
    <w:p w14:paraId="6134EDA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9. Governing Law</w:t>
      </w:r>
    </w:p>
    <w:p w14:paraId="38A7EAE3"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Agreement shall be governed exclusively by the laws of Japan, without regard to its conflict-of-laws principles.</w:t>
      </w:r>
    </w:p>
    <w:p w14:paraId="1CEAE3FA" w14:textId="77777777" w:rsidR="002F2FD9" w:rsidRPr="002F2FD9" w:rsidRDefault="002F2FD9" w:rsidP="002F2FD9">
      <w:pPr>
        <w:rPr>
          <w:rFonts w:ascii="ヒラギノ明朝 ProN W3" w:eastAsia="ヒラギノ明朝 ProN W3" w:hAnsi="ヒラギノ明朝 ProN W3"/>
          <w:sz w:val="24"/>
        </w:rPr>
      </w:pPr>
    </w:p>
    <w:p w14:paraId="0FE5E710"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10. Jurisdiction</w:t>
      </w:r>
    </w:p>
    <w:p w14:paraId="3E20938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Parties agree that the Tokyo District Court shall have exclusive jurisdiction over any dispute arising out of or in connection with this Agreement, the Notice, the Licensed Works, or the Thought Formalization Procedure Right, as between Party A and any Company that has executed this Agreement.</w:t>
      </w:r>
    </w:p>
    <w:p w14:paraId="02C78154" w14:textId="77777777" w:rsidR="002F2FD9" w:rsidRPr="00C27741" w:rsidRDefault="002F2FD9" w:rsidP="002F2FD9">
      <w:pPr>
        <w:rPr>
          <w:rFonts w:ascii="ヒラギノ明朝 ProN W3" w:eastAsia="ヒラギノ明朝 ProN W3" w:hAnsi="ヒラギノ明朝 ProN W3"/>
          <w:sz w:val="24"/>
        </w:rPr>
      </w:pPr>
    </w:p>
    <w:p w14:paraId="61BFA466"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11. Good-Faith Consultation</w:t>
      </w:r>
    </w:p>
    <w:p w14:paraId="3B15E8C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ambiguities, interpretive questions, or unforeseen circumstances relating to this Agreement shall be resolved, in the first instance, through good-faith consultation between Party A and the Company or Companies concerned. Such consultation shall not suspend or delay any payment obligations under Sections 4-A and 4-B unless expressly agreed in writing by Party A.</w:t>
      </w:r>
    </w:p>
    <w:p w14:paraId="52912756" w14:textId="77777777" w:rsidR="002F2FD9" w:rsidRPr="002F2FD9" w:rsidRDefault="002F2FD9" w:rsidP="002F2FD9">
      <w:pPr>
        <w:rPr>
          <w:rFonts w:ascii="ヒラギノ明朝 ProN W3" w:eastAsia="ヒラギノ明朝 ProN W3" w:hAnsi="ヒラギノ明朝 ProN W3"/>
          <w:sz w:val="24"/>
        </w:rPr>
      </w:pPr>
    </w:p>
    <w:p w14:paraId="0BF20F9C"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Section 12. SEC-Related Acknowledgment</w:t>
      </w:r>
    </w:p>
    <w:p w14:paraId="604D9156" w14:textId="20E6DD6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 its evaluation, acceptance, non-acceptance, or delay in addressing this Agreement and the underlying Notice may constitute a “material event” for purposes of:</w:t>
      </w:r>
    </w:p>
    <w:p w14:paraId="1ACD7CE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Regulation S-K Item 105 (Risk Factors);</w:t>
      </w:r>
    </w:p>
    <w:p w14:paraId="583CF8D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Item 103 (Legal Proceedings);</w:t>
      </w:r>
    </w:p>
    <w:p w14:paraId="36232AE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Item 303 (Management’s Discussion and Analysis, known trends, commitments, and uncertainties);</w:t>
      </w:r>
    </w:p>
    <w:p w14:paraId="7E3258E7"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Exchange Act Sections 13(a) and 15(d) filing obligations (if and when applicable to that Company or any of its reporting affiliates); and</w:t>
      </w:r>
    </w:p>
    <w:p w14:paraId="6C8986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 ASC 450-20 (loss contingency recognition standards).</w:t>
      </w:r>
    </w:p>
    <w:p w14:paraId="72F82FF6" w14:textId="213CC8E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acknowledges that:</w:t>
      </w:r>
    </w:p>
    <w:p w14:paraId="3654DB2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refusal to execute this Agreement may be construed as a decision to assume full litigation and copyright-valuation risk with respect to the Licensed Works and the Thought Formalization Procedure Right;</w:t>
      </w:r>
    </w:p>
    <w:p w14:paraId="7067C7C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failure to respond to the Notice and to this Agreement within the designated period may constitute a known internal-control weakness requiring SOX 302/404 evaluation in the event that the Company or a parent entity is subject to such requirements;</w:t>
      </w:r>
    </w:p>
    <w:p w14:paraId="784C42E4" w14:textId="77777777" w:rsidR="00FA00FA" w:rsidRDefault="00FA00FA" w:rsidP="002F2FD9">
      <w:pPr>
        <w:rPr>
          <w:rFonts w:ascii="ヒラギノ明朝 ProN W3" w:eastAsia="ヒラギノ明朝 ProN W3" w:hAnsi="ヒラギノ明朝 ProN W3"/>
          <w:sz w:val="24"/>
        </w:rPr>
      </w:pPr>
    </w:p>
    <w:p w14:paraId="5867CCA6" w14:textId="20AF18E5"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(c) any undisclosed exposure related to the expressive-value rights of the Licensed Works may constitute a material omission under Rule 10b-5 once the Company or a relevant affiliate is, or becomes, an issuer.</w:t>
      </w:r>
    </w:p>
    <w:p w14:paraId="2122CE5A" w14:textId="7C237E9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Each Company therefore affirms its obligation to determine, document, and, when legally required, report whether execution or non-execution of this Agreement constitutes a disclosable risk.</w:t>
      </w:r>
    </w:p>
    <w:p w14:paraId="17859F86" w14:textId="2EE1CAD9" w:rsid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C27741"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the existence of this Agreement, the Notice, the APPENDIX, the Supplement, and any decision by a Company to execute, delay, or decline execution, shall be treated as facts that may need to be reflected in that Company’s internal risk registers and, where applicable, in its external disclosures.</w:t>
      </w:r>
    </w:p>
    <w:p w14:paraId="3587D2B3" w14:textId="77777777" w:rsidR="002C06B2" w:rsidRDefault="002C06B2" w:rsidP="002C06B2">
      <w:pPr>
        <w:rPr>
          <w:rFonts w:ascii="ヒラギノ明朝 ProN W3" w:eastAsia="ヒラギノ明朝 ProN W3" w:hAnsi="ヒラギノ明朝 ProN W3"/>
          <w:sz w:val="24"/>
        </w:rPr>
      </w:pPr>
    </w:p>
    <w:p w14:paraId="0B6CAD3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Executed in duplicate (or more, as needed).</w:t>
      </w:r>
    </w:p>
    <w:p w14:paraId="633E8986"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Each Company and Party A retains one signed counterpart.</w:t>
      </w:r>
    </w:p>
    <w:p w14:paraId="712EB264" w14:textId="77777777" w:rsidR="002C06B2" w:rsidRPr="002C06B2" w:rsidRDefault="002C06B2" w:rsidP="002C06B2">
      <w:pPr>
        <w:rPr>
          <w:rFonts w:ascii="ヒラギノ明朝 ProN W3" w:eastAsia="ヒラギノ明朝 ProN W3" w:hAnsi="ヒラギノ明朝 ProN W3"/>
          <w:sz w:val="24"/>
        </w:rPr>
      </w:pPr>
    </w:p>
    <w:p w14:paraId="277EA8E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A:</w:t>
      </w:r>
    </w:p>
    <w:p w14:paraId="41237D0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Shohei KIMURA (Author and Rights Holder)   Date: ______________________</w:t>
      </w:r>
    </w:p>
    <w:p w14:paraId="097FD208" w14:textId="77777777" w:rsidR="002C06B2" w:rsidRPr="002C06B2" w:rsidRDefault="002C06B2" w:rsidP="002C06B2">
      <w:pPr>
        <w:rPr>
          <w:rFonts w:ascii="ヒラギノ明朝 ProN W3" w:eastAsia="ヒラギノ明朝 ProN W3" w:hAnsi="ヒラギノ明朝 ProN W3"/>
          <w:sz w:val="24"/>
        </w:rPr>
      </w:pPr>
    </w:p>
    <w:p w14:paraId="07A92CA4"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B-1:</w:t>
      </w:r>
    </w:p>
    <w:p w14:paraId="002237BE"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Apple Inc.   Date: ______________________</w:t>
      </w:r>
    </w:p>
    <w:p w14:paraId="3BC135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7E261360"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15C23AA5"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57508DA7" w14:textId="77777777" w:rsidR="002C06B2" w:rsidRPr="002C06B2" w:rsidRDefault="002C06B2" w:rsidP="002C06B2">
      <w:pPr>
        <w:rPr>
          <w:rFonts w:ascii="ヒラギノ明朝 ProN W3" w:eastAsia="ヒラギノ明朝 ProN W3" w:hAnsi="ヒラギノ明朝 ProN W3"/>
          <w:sz w:val="24"/>
        </w:rPr>
      </w:pPr>
    </w:p>
    <w:p w14:paraId="485724F9"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For Party B-2:</w:t>
      </w:r>
    </w:p>
    <w:p w14:paraId="52322E1C" w14:textId="77777777" w:rsidR="002C06B2" w:rsidRPr="002C06B2" w:rsidRDefault="002C06B2" w:rsidP="002C06B2">
      <w:pPr>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Google LLC   Date: ______________________</w:t>
      </w:r>
    </w:p>
    <w:p w14:paraId="6A1FD737"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By: ______________________________________</w:t>
      </w:r>
    </w:p>
    <w:p w14:paraId="62903A2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Name: ____________________________________</w:t>
      </w:r>
    </w:p>
    <w:p w14:paraId="52142749" w14:textId="77777777" w:rsidR="002C06B2" w:rsidRPr="002C06B2" w:rsidRDefault="002C06B2" w:rsidP="00C27741">
      <w:pPr>
        <w:spacing w:line="480" w:lineRule="auto"/>
        <w:rPr>
          <w:rFonts w:ascii="ヒラギノ明朝 ProN W3" w:eastAsia="ヒラギノ明朝 ProN W3" w:hAnsi="ヒラギノ明朝 ProN W3"/>
          <w:sz w:val="24"/>
        </w:rPr>
      </w:pPr>
      <w:r w:rsidRPr="002C06B2">
        <w:rPr>
          <w:rFonts w:ascii="ヒラギノ明朝 ProN W3" w:eastAsia="ヒラギノ明朝 ProN W3" w:hAnsi="ヒラギノ明朝 ProN W3"/>
          <w:sz w:val="24"/>
        </w:rPr>
        <w:t>Title: _____________________________________</w:t>
      </w:r>
    </w:p>
    <w:p w14:paraId="6A34070A" w14:textId="77777777" w:rsidR="002C06B2" w:rsidRPr="002C06B2" w:rsidRDefault="002C06B2" w:rsidP="00FA00FA">
      <w:pPr>
        <w:spacing w:line="480" w:lineRule="auto"/>
        <w:jc w:val="left"/>
        <w:rPr>
          <w:rFonts w:ascii="ヒラギノ明朝 ProN W3" w:eastAsia="ヒラギノ明朝 ProN W3" w:hAnsi="ヒラギノ明朝 ProN W3"/>
          <w:sz w:val="24"/>
        </w:rPr>
      </w:pPr>
    </w:p>
    <w:p w14:paraId="5827A716" w14:textId="77777777" w:rsidR="00C27741" w:rsidRDefault="00C27741" w:rsidP="0075158F">
      <w:pPr>
        <w:spacing w:line="480" w:lineRule="auto"/>
        <w:jc w:val="left"/>
        <w:rPr>
          <w:rFonts w:ascii="ヒラギノ明朝 ProN W3" w:eastAsia="ヒラギノ明朝 ProN W3" w:hAnsi="ヒラギノ明朝 ProN W3"/>
          <w:sz w:val="24"/>
        </w:rPr>
      </w:pPr>
    </w:p>
    <w:p w14:paraId="6DBB789D" w14:textId="77777777" w:rsidR="00C27741" w:rsidRDefault="00C27741" w:rsidP="00FA00FA">
      <w:pPr>
        <w:spacing w:line="480" w:lineRule="auto"/>
        <w:jc w:val="left"/>
        <w:rPr>
          <w:rFonts w:ascii="ヒラギノ明朝 ProN W3" w:eastAsia="ヒラギノ明朝 ProN W3" w:hAnsi="ヒラギノ明朝 ProN W3"/>
          <w:sz w:val="24"/>
        </w:rPr>
      </w:pPr>
    </w:p>
    <w:p w14:paraId="7B4537DE" w14:textId="77777777" w:rsidR="00C27741" w:rsidRDefault="00C27741" w:rsidP="0075158F">
      <w:pPr>
        <w:spacing w:line="480" w:lineRule="auto"/>
        <w:jc w:val="left"/>
        <w:rPr>
          <w:rFonts w:ascii="ヒラギノ明朝 ProN W3" w:eastAsia="ヒラギノ明朝 ProN W3" w:hAnsi="ヒラギノ明朝 ProN W3"/>
          <w:sz w:val="24"/>
        </w:rPr>
      </w:pPr>
    </w:p>
    <w:p w14:paraId="17A21128" w14:textId="77777777" w:rsidR="0075158F" w:rsidRDefault="0075158F" w:rsidP="0075158F">
      <w:pPr>
        <w:tabs>
          <w:tab w:val="center" w:pos="5233"/>
          <w:tab w:val="left" w:pos="7800"/>
        </w:tabs>
        <w:spacing w:line="480" w:lineRule="auto"/>
        <w:jc w:val="left"/>
        <w:rPr>
          <w:rFonts w:ascii="ヒラギノ明朝 ProN W3" w:eastAsia="ヒラギノ明朝 ProN W3" w:hAnsi="ヒラギノ明朝 ProN W3"/>
          <w:sz w:val="24"/>
        </w:rPr>
      </w:pPr>
    </w:p>
    <w:p w14:paraId="1A9D2693" w14:textId="77777777" w:rsidR="0075158F" w:rsidRDefault="0075158F" w:rsidP="0075158F">
      <w:pPr>
        <w:tabs>
          <w:tab w:val="center" w:pos="5233"/>
          <w:tab w:val="left" w:pos="7800"/>
        </w:tabs>
        <w:jc w:val="left"/>
        <w:rPr>
          <w:rFonts w:ascii="ヒラギノ明朝 ProN W3" w:eastAsia="ヒラギノ明朝 ProN W3" w:hAnsi="ヒラギノ明朝 ProN W3"/>
          <w:sz w:val="20"/>
          <w:szCs w:val="20"/>
        </w:rPr>
      </w:pPr>
    </w:p>
    <w:p w14:paraId="160ED641" w14:textId="3F78DC03" w:rsidR="002C06B2" w:rsidRPr="00BF4312" w:rsidRDefault="002C06B2" w:rsidP="00BF4312">
      <w:pPr>
        <w:tabs>
          <w:tab w:val="center" w:pos="5233"/>
          <w:tab w:val="left" w:pos="7800"/>
        </w:tabs>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lastRenderedPageBreak/>
        <w:t>Payment Instruction Sheet</w:t>
      </w:r>
    </w:p>
    <w:p w14:paraId="54273E5A" w14:textId="523E2DE4" w:rsidR="002C06B2" w:rsidRPr="00BF4312" w:rsidRDefault="002C06B2" w:rsidP="00C27741">
      <w:pPr>
        <w:jc w:val="cente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Apple Inc. and Google LLC</w:t>
      </w:r>
    </w:p>
    <w:p w14:paraId="022DE2B0" w14:textId="77777777" w:rsidR="002C06B2" w:rsidRPr="00BF4312" w:rsidRDefault="002C06B2" w:rsidP="002C06B2">
      <w:pPr>
        <w:rPr>
          <w:rFonts w:ascii="ヒラギノ明朝 ProN W3" w:eastAsia="ヒラギノ明朝 ProN W3" w:hAnsi="ヒラギノ明朝 ProN W3"/>
          <w:sz w:val="20"/>
          <w:szCs w:val="20"/>
        </w:rPr>
      </w:pPr>
    </w:p>
    <w:p w14:paraId="408F40D4" w14:textId="6D1C14F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Party B (Apple Inc. / Google LLC)</w:t>
      </w:r>
    </w:p>
    <w:p w14:paraId="52B6ECA4"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(to be inserted immediately after the Contract Agreement in the unified document addressed to both companies simultaneously)</w:t>
      </w:r>
    </w:p>
    <w:p w14:paraId="4EA1316F" w14:textId="77777777" w:rsidR="00BF4312" w:rsidRPr="00BF4312" w:rsidRDefault="00BF4312" w:rsidP="00BF4312">
      <w:pPr>
        <w:rPr>
          <w:rFonts w:ascii="ヒラギノ明朝 ProN W3" w:eastAsia="ヒラギノ明朝 ProN W3" w:hAnsi="ヒラギノ明朝 ProN W3"/>
          <w:sz w:val="20"/>
          <w:szCs w:val="20"/>
        </w:rPr>
      </w:pPr>
    </w:p>
    <w:p w14:paraId="18F251B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This page specifies the designated bank account to which all payments arising under the Contract Agreement executed between:</w:t>
      </w:r>
    </w:p>
    <w:p w14:paraId="23355330" w14:textId="77777777" w:rsidR="00BF4312" w:rsidRPr="00BF4312" w:rsidRDefault="00BF4312" w:rsidP="00BF4312">
      <w:pPr>
        <w:rPr>
          <w:rFonts w:ascii="ヒラギノ明朝 ProN W3" w:eastAsia="ヒラギノ明朝 ProN W3" w:hAnsi="ヒラギノ明朝 ProN W3"/>
          <w:sz w:val="20"/>
          <w:szCs w:val="20"/>
        </w:rPr>
      </w:pPr>
    </w:p>
    <w:p w14:paraId="4FC52863"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A: Shohei KIMURA, and</w:t>
      </w:r>
    </w:p>
    <w:p w14:paraId="59AB308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Party B: Apple Inc. / Google LLC (collectively or individually, as applicable),</w:t>
      </w:r>
    </w:p>
    <w:p w14:paraId="1771D80E" w14:textId="77777777" w:rsidR="00BF4312" w:rsidRPr="00BF4312" w:rsidRDefault="00BF4312" w:rsidP="00BF4312">
      <w:pPr>
        <w:rPr>
          <w:rFonts w:ascii="ヒラギノ明朝 ProN W3" w:eastAsia="ヒラギノ明朝 ProN W3" w:hAnsi="ヒラギノ明朝 ProN W3"/>
          <w:sz w:val="20"/>
          <w:szCs w:val="20"/>
        </w:rPr>
      </w:pPr>
    </w:p>
    <w:p w14:paraId="057A543A"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must be remitted.</w:t>
      </w:r>
    </w:p>
    <w:p w14:paraId="40FDDEF5" w14:textId="77777777" w:rsidR="00BF4312" w:rsidRPr="00BF4312" w:rsidRDefault="00BF4312" w:rsidP="00BF4312">
      <w:pPr>
        <w:rPr>
          <w:rFonts w:ascii="ヒラギノ明朝 ProN W3" w:eastAsia="ヒラギノ明朝 ProN W3" w:hAnsi="ヒラギノ明朝 ProN W3"/>
          <w:sz w:val="20"/>
          <w:szCs w:val="20"/>
        </w:rPr>
      </w:pPr>
    </w:p>
    <w:p w14:paraId="665F2515"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All monthly license fees, together with any applicable late interest or additional payments stipulated in the Agreement, shall be wired to the following account:</w:t>
      </w:r>
    </w:p>
    <w:p w14:paraId="6B1E8CCA" w14:textId="77777777" w:rsidR="00BF4312" w:rsidRPr="00BF4312" w:rsidRDefault="00BF4312" w:rsidP="00BF4312">
      <w:pPr>
        <w:rPr>
          <w:rFonts w:ascii="ヒラギノ明朝 ProN W3" w:eastAsia="ヒラギノ明朝 ProN W3" w:hAnsi="ヒラギノ明朝 ProN W3"/>
          <w:sz w:val="20"/>
          <w:szCs w:val="20"/>
        </w:rPr>
      </w:pPr>
    </w:p>
    <w:p w14:paraId="0E0C0C6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Bank: Sumitomo Mitsui Banking Corporation (SMBC)</w:t>
      </w:r>
    </w:p>
    <w:p w14:paraId="7F43CDC2"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Branch: Hachioji Branch</w:t>
      </w:r>
    </w:p>
    <w:p w14:paraId="67399A9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Type: Ordinary Deposit</w:t>
      </w:r>
    </w:p>
    <w:p w14:paraId="27EC6A26"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Number: 8301235</w:t>
      </w:r>
    </w:p>
    <w:p w14:paraId="33B0FEBC"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Account Holder: Shohei KIMURA (キムラショウヘイ)</w:t>
      </w:r>
    </w:p>
    <w:p w14:paraId="28293E5A" w14:textId="77777777" w:rsidR="00BF4312" w:rsidRPr="00BF4312" w:rsidRDefault="00BF4312" w:rsidP="00BF4312">
      <w:pPr>
        <w:rPr>
          <w:rFonts w:ascii="ヒラギノ明朝 ProN W3" w:eastAsia="ヒラギノ明朝 ProN W3" w:hAnsi="ヒラギノ明朝 ProN W3"/>
          <w:sz w:val="20"/>
          <w:szCs w:val="20"/>
        </w:rPr>
      </w:pPr>
    </w:p>
    <w:p w14:paraId="5149C4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Please note:</w:t>
      </w:r>
    </w:p>
    <w:p w14:paraId="15F80F7A" w14:textId="24BE8509"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1. All payments must be executed in full compliance with the deadlines defined in Section 4 of the Agreement</w:t>
      </w:r>
    </w:p>
    <w:p w14:paraId="68766AF9"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(monthly license fee: JPY 50,000,000, payable in USD at a fixed translation reference of 125 JPY/USD; due on the 22nd day of each month or the next business day).</w:t>
      </w:r>
    </w:p>
    <w:p w14:paraId="21F2C061" w14:textId="4BA7938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2. All wire-transfer fees, intermediary bank charges, and any related remittance costs shall be borne exclusively by Party B, irrespective of the jurisdiction, banking route, or treasury structure from which payment originates.</w:t>
      </w:r>
    </w:p>
    <w:p w14:paraId="78CB0E9E" w14:textId="5B32DA18"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3. Upon completion of each payment, Party B shall internally record the transaction</w:t>
      </w:r>
    </w:p>
    <w:p w14:paraId="20FCCB3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for compliance with all relevant U.S. securities regulations, including but not limited to Regulation S-K Items 105 and 303, to the extent applicable now or in any future reporting context.</w:t>
      </w:r>
    </w:p>
    <w:p w14:paraId="1D0DEF81" w14:textId="41371FAF"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4. Any deviation, delay, or partial payment shall trigger the contractual late-interest provisions and may classify the event as material under Section 12 of the Agreement, requiring internal documentation and, where applicable, external disclosure.</w:t>
      </w:r>
    </w:p>
    <w:p w14:paraId="3AA9E382" w14:textId="58C564A1"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5. In cases where Apple Inc. and Google LLC receive this document simultaneously as part of a unified submission, each entity shall independently determine whether to execute the Agreement and, upon execution, shall remit payments separately to the account above.</w:t>
      </w:r>
    </w:p>
    <w:p w14:paraId="2289BC2F" w14:textId="77777777" w:rsidR="00BF4312" w:rsidRPr="00BF4312" w:rsidRDefault="00BF4312" w:rsidP="00BF4312">
      <w:pPr>
        <w:rPr>
          <w:rFonts w:ascii="ヒラギノ明朝 ProN W3" w:eastAsia="ヒラギノ明朝 ProN W3" w:hAnsi="ヒラギノ明朝 ProN W3"/>
          <w:sz w:val="20"/>
          <w:szCs w:val="20"/>
        </w:rPr>
      </w:pPr>
      <w:r w:rsidRPr="00BF4312">
        <w:rPr>
          <w:rFonts w:ascii="ヒラギノ明朝 ProN W3" w:eastAsia="ヒラギノ明朝 ProN W3" w:hAnsi="ヒラギノ明朝 ProN W3"/>
          <w:sz w:val="20"/>
          <w:szCs w:val="20"/>
        </w:rPr>
        <w:t>The chronological order of received payments constitutes a permanent, immutable contractual record, forming part of Party A’s formal documentation system and associated GitHub repository commit log sequence.</w:t>
      </w:r>
    </w:p>
    <w:p w14:paraId="19051544" w14:textId="77777777" w:rsidR="00BF4312" w:rsidRPr="00BF4312" w:rsidRDefault="00BF4312" w:rsidP="00BF4312">
      <w:pPr>
        <w:rPr>
          <w:rFonts w:ascii="ヒラギノ明朝 ProN W3" w:eastAsia="ヒラギノ明朝 ProN W3" w:hAnsi="ヒラギノ明朝 ProN W3"/>
          <w:sz w:val="20"/>
          <w:szCs w:val="20"/>
        </w:rPr>
      </w:pPr>
    </w:p>
    <w:p w14:paraId="2C35C7A4" w14:textId="730DA266" w:rsidR="00C27741" w:rsidRDefault="00BF4312" w:rsidP="00BF4312">
      <w:pPr>
        <w:rPr>
          <w:rFonts w:ascii="ヒラギノ明朝 ProN W3" w:eastAsia="ヒラギノ明朝 ProN W3" w:hAnsi="ヒラギノ明朝 ProN W3"/>
          <w:sz w:val="24"/>
        </w:rPr>
      </w:pPr>
      <w:r w:rsidRPr="00BF4312">
        <w:rPr>
          <w:rFonts w:ascii="ヒラギノ明朝 ProN W3" w:eastAsia="ヒラギノ明朝 ProN W3" w:hAnsi="ヒラギノ明朝 ProN W3"/>
          <w:sz w:val="20"/>
          <w:szCs w:val="20"/>
        </w:rPr>
        <w:t>This Instruction Sheet constitutes an integral and enforceable component of the Agreement and shall be deemed incorporated therein by reference.</w:t>
      </w:r>
    </w:p>
    <w:p w14:paraId="094ECA83" w14:textId="2638B054"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SUPPLEMENTAL MEMORANDUM</w:t>
      </w:r>
    </w:p>
    <w:p w14:paraId="4024C7A7"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TO JOINT FORMAL NOTICE REGARDING</w:t>
      </w:r>
    </w:p>
    <w:p w14:paraId="704E7129" w14:textId="1549BC41"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w:t>
      </w:r>
      <w:r w:rsidR="00BF4312">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hint="eastAsia"/>
          <w:sz w:val="24"/>
        </w:rPr>
        <w:t>“</w:t>
      </w:r>
      <w:r w:rsidRPr="002F2FD9">
        <w:rPr>
          <w:rFonts w:ascii="ヒラギノ明朝 ProN W3" w:eastAsia="ヒラギノ明朝 ProN W3" w:hAnsi="ヒラギノ明朝 ProN W3"/>
          <w:sz w:val="24"/>
        </w:rPr>
        <w:t>THOUGHT FORMALIZATION PROCEDURE RIGHT,”</w:t>
      </w:r>
    </w:p>
    <w:p w14:paraId="510AED7A" w14:textId="77777777" w:rsidR="00BF4312"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ASSOCIATED INFRINGEMENT RISKS, AND OFFER OF LICENSE AND</w:t>
      </w:r>
    </w:p>
    <w:p w14:paraId="0C5812C8" w14:textId="319F8DAD"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TECHNICAL PROPOSALS</w:t>
      </w:r>
    </w:p>
    <w:p w14:paraId="29D530E4" w14:textId="77777777" w:rsidR="002F2FD9" w:rsidRPr="002F2FD9" w:rsidRDefault="002F2FD9" w:rsidP="00BF4312">
      <w:pPr>
        <w:jc w:val="cente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(Apple Inc. and Google LLC)</w:t>
      </w:r>
    </w:p>
    <w:p w14:paraId="72C15113" w14:textId="77777777" w:rsidR="002F2FD9" w:rsidRPr="002F2FD9" w:rsidRDefault="002F2FD9" w:rsidP="002F2FD9">
      <w:pPr>
        <w:rPr>
          <w:rFonts w:ascii="ヒラギノ明朝 ProN W3" w:eastAsia="ヒラギノ明朝 ProN W3" w:hAnsi="ヒラギノ明朝 ProN W3"/>
          <w:sz w:val="24"/>
        </w:rPr>
      </w:pPr>
    </w:p>
    <w:p w14:paraId="7D50333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Supplemental Memorandum (“Supplement”) is issued in connection with, and as an integral extension of, the document titled “JOINT FORMAL NOTICE REGARDING THE ‘THOUGHT FORMALIZATION PROCEDURE RIGHT,’ ASSOCIATED INFRINGEMENT RISKS, AND OFFER OF LICENSE AND TECHNICAL PROPOSALS,” dated November 30, 2025 (the “Notice”), addressed to Apple Inc. (“Apple”) and Google LLC (“Google,” and together with Apple, the “Companies”). Its purpose is to clarify the legal posture set forth in the Notice, to close foreseeable negotiation pathways that would be inconsistent with the Notice’s intent, and to define in advance which categories of response will and will not be regarded as good-faith engagement.</w:t>
      </w:r>
    </w:p>
    <w:p w14:paraId="08C9EC26" w14:textId="77777777" w:rsidR="002F2FD9" w:rsidRPr="002F2FD9" w:rsidRDefault="002F2FD9" w:rsidP="002F2FD9">
      <w:pPr>
        <w:rPr>
          <w:rFonts w:ascii="ヒラギノ明朝 ProN W3" w:eastAsia="ヒラギノ明朝 ProN W3" w:hAnsi="ヒラギノ明朝 ProN W3"/>
          <w:sz w:val="24"/>
        </w:rPr>
      </w:pPr>
    </w:p>
    <w:p w14:paraId="45752A9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this Supplement does not narrow, dilute, or waive any rights asserted in the Notice; it only reinforces, specifies, and expands them.</w:t>
      </w:r>
    </w:p>
    <w:p w14:paraId="3AEF08CB" w14:textId="77777777" w:rsidR="002F2FD9" w:rsidRPr="002F2FD9" w:rsidRDefault="002F2FD9" w:rsidP="002F2FD9">
      <w:pPr>
        <w:rPr>
          <w:rFonts w:ascii="ヒラギノ明朝 ProN W3" w:eastAsia="ヒラギノ明朝 ProN W3" w:hAnsi="ヒラギノ明朝 ProN W3"/>
          <w:sz w:val="24"/>
        </w:rPr>
      </w:pPr>
    </w:p>
    <w:p w14:paraId="3840C43C" w14:textId="47629AE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Ⅰ</w:t>
      </w:r>
      <w:r w:rsidR="002F2FD9" w:rsidRPr="002F2FD9">
        <w:rPr>
          <w:rFonts w:ascii="ヒラギノ明朝 ProN W3" w:eastAsia="ヒラギノ明朝 ProN W3" w:hAnsi="ヒラギノ明朝 ProN W3"/>
          <w:sz w:val="24"/>
        </w:rPr>
        <w:t>. Legal Nature and Construction of This Supplement</w:t>
      </w:r>
    </w:p>
    <w:p w14:paraId="27B50D10" w14:textId="2F3A96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Supplement shall be read together with the Notice and its APPENDIX as a single authored work for purposes of copyright, evidentiary value, and interpretive construction.</w:t>
      </w:r>
    </w:p>
    <w:p w14:paraId="67C2DB6D" w14:textId="780850A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textual content in this Supplement constitutes protected expressive work under Japanese copyright law and the Berne Convention and is not limited to mere legal “form.”</w:t>
      </w:r>
    </w:p>
    <w:p w14:paraId="3968E2C7" w14:textId="3BC6026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To the extent there is any inconsistency between this Supplement and the Notice, this Supplement shall govern in defining:</w:t>
      </w:r>
    </w:p>
    <w:p w14:paraId="07D0C1A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 the characterization of responses;</w:t>
      </w:r>
    </w:p>
    <w:p w14:paraId="6EA15FC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 the scope of permissible negotiation; and</w:t>
      </w:r>
    </w:p>
    <w:p w14:paraId="3FE4662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(iii) the economic terms and interpretive framework of the licensing structure as they apply to the Companies.</w:t>
      </w:r>
    </w:p>
    <w:p w14:paraId="382EDE2D" w14:textId="77777777" w:rsidR="002F2FD9" w:rsidRPr="002F2FD9" w:rsidRDefault="002F2FD9" w:rsidP="002F2FD9">
      <w:pPr>
        <w:rPr>
          <w:rFonts w:ascii="ヒラギノ明朝 ProN W3" w:eastAsia="ヒラギノ明朝 ProN W3" w:hAnsi="ヒラギノ明朝 ProN W3"/>
          <w:sz w:val="24"/>
        </w:rPr>
      </w:pPr>
    </w:p>
    <w:p w14:paraId="424B4894" w14:textId="28F52076"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Ⅱ</w:t>
      </w:r>
      <w:r w:rsidR="002F2FD9" w:rsidRPr="002F2FD9">
        <w:rPr>
          <w:rFonts w:ascii="ヒラギノ明朝 ProN W3" w:eastAsia="ヒラギノ明朝 ProN W3" w:hAnsi="ヒラギノ明朝 ProN W3"/>
          <w:sz w:val="24"/>
        </w:rPr>
        <w:t>. Preclusion of Certain Negotiation Positions (“Future Scenario Lock”)</w:t>
      </w:r>
    </w:p>
    <w:p w14:paraId="003CE0BD"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Section anticipates and expressly forecloses several categories of negotiation posture that either Company might otherwise attempt to adopt after receipt of the Notice.</w:t>
      </w:r>
    </w:p>
    <w:p w14:paraId="3A86671C" w14:textId="171A3DA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Renegotiate or Discount the License Fee</w:t>
      </w:r>
    </w:p>
    <w:p w14:paraId="512E7CB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attempt by a Company to reduce, discount, phase in, stagger, or otherwise renegotiate the amount of the monthly license fee, as set forth in the Notice and the Contract Agreement, shall be treated as a refusal to accept the proposed license on its stated terms.</w:t>
      </w:r>
    </w:p>
    <w:p w14:paraId="7F73045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Arguments premised on “market benchmarks,” “internal budget constraints,” “precedent with other licensors,” or “initial pilot discounts” shall not be regarded as good-faith negotiation but as attempts to retroactively redefine the economic valuation underlying the Notice.</w:t>
      </w:r>
    </w:p>
    <w:p w14:paraId="1FD7C04F" w14:textId="77777777" w:rsidR="000C718F" w:rsidRDefault="000C718F" w:rsidP="002F2FD9">
      <w:pPr>
        <w:rPr>
          <w:rFonts w:ascii="ヒラギノ明朝 ProN W3" w:eastAsia="ヒラギノ明朝 ProN W3" w:hAnsi="ヒラギノ明朝 ProN W3"/>
          <w:sz w:val="24"/>
        </w:rPr>
      </w:pPr>
    </w:p>
    <w:p w14:paraId="743911A5" w14:textId="77777777" w:rsidR="0075158F" w:rsidRDefault="0075158F" w:rsidP="002F2FD9">
      <w:pPr>
        <w:rPr>
          <w:rFonts w:ascii="ヒラギノ明朝 ProN W3" w:eastAsia="ヒラギノ明朝 ProN W3" w:hAnsi="ヒラギノ明朝 ProN W3"/>
          <w:sz w:val="24"/>
        </w:rPr>
      </w:pPr>
    </w:p>
    <w:p w14:paraId="7A798C16" w14:textId="55FB2C1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(c) Such attempts shall not suspend or toll the classification of the matter as either “under amicable negotiation” or “in dispute,” as defined in the Notice. Instead, they will be weighed as indicators of unwillingness to engage with the articulated value basis of the expressive works and associated rights.</w:t>
      </w:r>
    </w:p>
    <w:p w14:paraId="24002127" w14:textId="7E2A3AF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Requests to Extend Response Deadlines</w:t>
      </w:r>
    </w:p>
    <w:p w14:paraId="3404A41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request from a Company to extend, postpone, or “pause” the response deadlines specified in the Notice (as amended by Section V of this Supplement) on the grounds of internal review processes, legal-compliance cycles, or organizational complexity shall not be treated as a valid basis for deadline modification.</w:t>
      </w:r>
    </w:p>
    <w:p w14:paraId="3117044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response deadlines are defined with full awareness that Apple and Google are complex organizations; internal complexity is not a legally cognizable reason to modify external deadlines set by the author of the rights at issue.</w:t>
      </w:r>
    </w:p>
    <w:p w14:paraId="5B0C0B6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no internal investigation, no matter how extensive or necessary from a Company’s perspective, shall operate to extend or suspend the dates defined in Section V below.</w:t>
      </w:r>
    </w:p>
    <w:p w14:paraId="781E7908" w14:textId="0CC19D3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Attempts to Carve Out “Technical Portions” from the License Scope</w:t>
      </w:r>
    </w:p>
    <w:p w14:paraId="4416297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It is recognized in the Notice that the underlying ideas, architectures, and technical principles, such as reversing the order of safety evaluation, remain implementable as ideas under general legal doctrine.</w:t>
      </w:r>
    </w:p>
    <w:p w14:paraId="2141499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However, the specific expressive realization of these ideas, including their structured exposition, three-layer architecture description, conceptual framing, and procedural articulation in the Notice and its APPENDIX, constitutes copyrighted work.</w:t>
      </w:r>
    </w:p>
    <w:p w14:paraId="60B108C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Therefore, any attempt by a Company to argue that “technical portions” (including the context-first evaluation architecture) fall entirely outside the licensing scope, while simultaneously relying on the textual, structural, or procedural presentation in the APPENDIX, is expressly rejected.</w:t>
      </w:r>
    </w:p>
    <w:p w14:paraId="02A9F1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(d) The license offered is explicitly designed as a comprehensive license for:</w:t>
      </w:r>
    </w:p>
    <w:p w14:paraId="4CA9C667" w14:textId="0A8BA1C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 and</w:t>
      </w:r>
    </w:p>
    <w:p w14:paraId="282D329E" w14:textId="523E827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evaluation-order-reversed safety architecture as an authored, structured text.</w:t>
      </w:r>
    </w:p>
    <w:p w14:paraId="68FB8FA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Attempts to unbundle these for the purpose of fee reduction shall be treated as an attempt to undermine the core rights and therefore as non-acceptable negotiation posture.</w:t>
      </w:r>
    </w:p>
    <w:p w14:paraId="15C37CC6" w14:textId="4E1E9BE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“Internal Reference Use Only” as a Basis to Avoid Licensing</w:t>
      </w:r>
    </w:p>
    <w:p w14:paraId="07966FC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Any assertion that a Company wishes only to “review,” “benchmark,” “study,” or “internally reference” the Notice, the APPENDIX, the Supplement, or related definition texts, without entering into a license, is incompatible with the nature of the rights asserted.</w:t>
      </w:r>
    </w:p>
    <w:p w14:paraId="3149FEF4"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Under the law of copyright, internal reproduction, internal summarization, internal distribution, and internal derivative documentation are all forms of use that require authorization, regardless of whether the material is exposed to the public.</w:t>
      </w:r>
    </w:p>
    <w:p w14:paraId="7EC6A72F"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Accordingly, the position “we will not implement, but we will internally use or rely on your written frameworks as reference” is legally impermissible absent a license and will be treated as a declaration of intent to engage in unauthorized use.</w:t>
      </w:r>
    </w:p>
    <w:p w14:paraId="206034DE" w14:textId="77777777" w:rsidR="000C718F" w:rsidRDefault="000C718F" w:rsidP="002F2FD9">
      <w:pPr>
        <w:rPr>
          <w:rFonts w:ascii="ヒラギノ明朝 ProN W3" w:eastAsia="ヒラギノ明朝 ProN W3" w:hAnsi="ヒラギノ明朝 ProN W3"/>
          <w:sz w:val="24"/>
        </w:rPr>
      </w:pPr>
    </w:p>
    <w:p w14:paraId="0D86F206" w14:textId="77777777" w:rsidR="000C718F" w:rsidRDefault="000C718F" w:rsidP="002F2FD9">
      <w:pPr>
        <w:rPr>
          <w:rFonts w:ascii="ヒラギノ明朝 ProN W3" w:eastAsia="ヒラギノ明朝 ProN W3" w:hAnsi="ヒラギノ明朝 ProN W3"/>
          <w:sz w:val="24"/>
        </w:rPr>
      </w:pPr>
    </w:p>
    <w:p w14:paraId="1ECA75B7" w14:textId="77777777" w:rsidR="0075158F" w:rsidRDefault="0075158F" w:rsidP="002F2FD9">
      <w:pPr>
        <w:rPr>
          <w:rFonts w:ascii="ヒラギノ明朝 ProN W3" w:eastAsia="ヒラギノ明朝 ProN W3" w:hAnsi="ヒラギノ明朝 ProN W3"/>
          <w:sz w:val="24"/>
        </w:rPr>
      </w:pPr>
    </w:p>
    <w:p w14:paraId="3F6AECB9" w14:textId="77777777" w:rsidR="000C718F" w:rsidRDefault="000C718F" w:rsidP="002F2FD9">
      <w:pPr>
        <w:rPr>
          <w:rFonts w:ascii="ヒラギノ明朝 ProN W3" w:eastAsia="ヒラギノ明朝 ProN W3" w:hAnsi="ヒラギノ明朝 ProN W3"/>
          <w:sz w:val="24"/>
        </w:rPr>
      </w:pPr>
    </w:p>
    <w:p w14:paraId="2608C065" w14:textId="0CFF765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Reliance on Boilerplate or Non-Substantive Responses</w:t>
      </w:r>
    </w:p>
    <w:p w14:paraId="38C9A202"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Notice clarifies that generic corporate boilerplate, such as statements that a Company “values feedback,” “continuously improves systems,” or “will take comments into account going forward,” will be interpreted as a partial substantive acknowledgment of the underlying issues, and thus as evidence of internalization or prospective adoption of the frameworks described.</w:t>
      </w:r>
    </w:p>
    <w:p w14:paraId="2A58ECDC" w14:textId="0A88BB2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This Supplement further defines that any response which does not directly address the specific rights, risks, and licensing framework articulated in the Notice, yet uses general forward-looking assurance language, shall be treated as:</w:t>
      </w:r>
    </w:p>
    <w:p w14:paraId="30838E5D" w14:textId="7778315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non-responsive for purposes of deadline compliance; and</w:t>
      </w:r>
    </w:p>
    <w:p w14:paraId="41F9427A" w14:textId="6650345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a factor supporting the inference of unauthorized partial adoption.</w:t>
      </w:r>
    </w:p>
    <w:p w14:paraId="1278211C" w14:textId="5812A04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6.</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Attempt to Maintain a “Response Without Obligation” Position</w:t>
      </w:r>
    </w:p>
    <w:p w14:paraId="259ADA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Either Company may be tempted to adopt a stance along the lines of: “We acknowledge receipt and will consider the issues, but we do not accept any obligation to license or conclusively respond.”</w:t>
      </w:r>
    </w:p>
    <w:p w14:paraId="40AB3AD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This Supplement makes clear that such a stance will not be recognized as a neutral or safe middle ground. After receipt of the Notice, a Company’s substantive engagement with its contents, whether in internal meetings, policy revisions, or safety-architecture experiments, creates a factual context in which:</w:t>
      </w:r>
    </w:p>
    <w:p w14:paraId="03FD7DCA" w14:textId="1E0FA44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 failure to license, combined with continued internal use, will support a claim of unauthorized use; and</w:t>
      </w:r>
    </w:p>
    <w:p w14:paraId="2ECF5187" w14:textId="5C44CF8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(ii) the absence of a clear, reasoned rejection of the frameworks, accompanied by adoption of materially similar structures, will be treated as willful appropriation.</w:t>
      </w:r>
    </w:p>
    <w:p w14:paraId="627762C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(c) In other words, once a Company chooses to engage substantively, the two coherent paths are:</w:t>
      </w:r>
    </w:p>
    <w:p w14:paraId="1915A272" w14:textId="677882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•enter into a license on stated terms (or on terms that are economically at least equivalent); or</w:t>
      </w:r>
    </w:p>
    <w:p w14:paraId="6E05B8B1" w14:textId="07F7C8E0"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•provide an explicit, technically and legally reasoned explanation of why the frameworks will not be adopted and how the Company will avoid reliance on the expressive structures described.</w:t>
      </w:r>
    </w:p>
    <w:p w14:paraId="6C8B50DD" w14:textId="77777777" w:rsidR="002F2FD9" w:rsidRPr="00BF4312" w:rsidRDefault="002F2FD9" w:rsidP="002F2FD9">
      <w:pPr>
        <w:rPr>
          <w:rFonts w:ascii="ヒラギノ明朝 ProN W3" w:eastAsia="ヒラギノ明朝 ProN W3" w:hAnsi="ヒラギノ明朝 ProN W3"/>
          <w:sz w:val="24"/>
        </w:rPr>
      </w:pPr>
    </w:p>
    <w:p w14:paraId="5D1620FA" w14:textId="2DA47BA2"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Ⅲ</w:t>
      </w:r>
      <w:r w:rsidR="002F2FD9" w:rsidRPr="002F2FD9">
        <w:rPr>
          <w:rFonts w:ascii="ヒラギノ明朝 ProN W3" w:eastAsia="ヒラギノ明朝 ProN W3" w:hAnsi="ヒラギノ明朝 ProN W3"/>
          <w:sz w:val="24"/>
        </w:rPr>
        <w:t>. Clarification of Non–Good-Faith Responses</w:t>
      </w:r>
    </w:p>
    <w:p w14:paraId="41B0C50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For the avoidance of doubt, the following categories of response will not be treated as good-faith compliance with the Notice’s request for a “formal written response,” even if delivered within the deadline:</w:t>
      </w:r>
    </w:p>
    <w:p w14:paraId="35839102" w14:textId="25DFBB9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Purely procedural or acknowledgment-only letters that merely confirm receipt but do not substantively address:</w:t>
      </w:r>
    </w:p>
    <w:p w14:paraId="135ED00C" w14:textId="2B8C071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Thought Formalization Procedure Right;</w:t>
      </w:r>
    </w:p>
    <w:p w14:paraId="3760196D" w14:textId="083006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potential infringement risk;</w:t>
      </w:r>
    </w:p>
    <w:p w14:paraId="7CBC45DB" w14:textId="5A7BBE2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licensing proposal; and</w:t>
      </w:r>
    </w:p>
    <w:p w14:paraId="5DD0EBE7" w14:textId="4634DBF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technical architectures in the APPENDIX.</w:t>
      </w:r>
    </w:p>
    <w:p w14:paraId="32F6D4CF" w14:textId="7811A32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state that “an internal review is ongoing” without providing:</w:t>
      </w:r>
    </w:p>
    <w:p w14:paraId="424EE583" w14:textId="4E1DA1B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clear timetable for a final position; and</w:t>
      </w:r>
    </w:p>
    <w:p w14:paraId="67C7A409" w14:textId="287AD4D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concrete description of what is being reviewed (for example, training data exposure, internal documentation overlap, or safety-architecture similarity).</w:t>
      </w:r>
    </w:p>
    <w:p w14:paraId="70ECD81D" w14:textId="3C9B153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superficially deny any overlap or risk without explaining:</w:t>
      </w:r>
    </w:p>
    <w:p w14:paraId="01044B6F" w14:textId="77777777" w:rsidR="00EA5D11"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will avoid reliance on the expressive structure of the Notice and APPENDIX;</w:t>
      </w:r>
    </w:p>
    <w:p w14:paraId="492BD17D" w14:textId="28F95A2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or</w:t>
      </w:r>
    </w:p>
    <w:p w14:paraId="3110731D" w14:textId="02FA3CF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•how the Company ensures that internal documents are not derivative of the authored frameworks.</w:t>
      </w:r>
    </w:p>
    <w:p w14:paraId="5F1CFD0B" w14:textId="3D99C82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Responses that rely on general statements of corporate mission, safety commitment, or user-focus values, while avoiding any reference to the specific rights and frameworks articulated in the Notice.</w:t>
      </w:r>
    </w:p>
    <w:p w14:paraId="76248335" w14:textId="19BBC01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5.</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 failure to issue any written response, combined with any internal discussion, circulation, experimental testing, or architectural consideration of the Notice, the APPENDIX, or the Supplement, shall constitute “silent adoption” and will be treated as a form of willful appropriation. Such conduct shall be regarded as bad-faith engagement and as an aggravating factor for future remedial valuation.</w:t>
      </w:r>
    </w:p>
    <w:p w14:paraId="71CA7DE3" w14:textId="77777777" w:rsidR="002F2FD9" w:rsidRPr="002F2FD9" w:rsidRDefault="002F2FD9" w:rsidP="002F2FD9">
      <w:pPr>
        <w:rPr>
          <w:rFonts w:ascii="ヒラギノ明朝 ProN W3" w:eastAsia="ヒラギノ明朝 ProN W3" w:hAnsi="ヒラギノ明朝 ProN W3"/>
          <w:sz w:val="24"/>
        </w:rPr>
      </w:pPr>
    </w:p>
    <w:p w14:paraId="004C746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such responses shall be regarded as “non-answers” for purposes of the unanswered classification date defined below, and the matter will be treated accordingly for the Company in question.</w:t>
      </w:r>
    </w:p>
    <w:p w14:paraId="101ABF3B" w14:textId="77777777" w:rsidR="002F2FD9" w:rsidRPr="002F2FD9" w:rsidRDefault="002F2FD9" w:rsidP="002F2FD9">
      <w:pPr>
        <w:rPr>
          <w:rFonts w:ascii="ヒラギノ明朝 ProN W3" w:eastAsia="ヒラギノ明朝 ProN W3" w:hAnsi="ヒラギノ明朝 ProN W3"/>
          <w:sz w:val="24"/>
        </w:rPr>
      </w:pPr>
    </w:p>
    <w:p w14:paraId="0BB8DAF1" w14:textId="4025FB4F"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Ⅳ</w:t>
      </w:r>
      <w:r w:rsidR="002F2FD9" w:rsidRPr="002F2FD9">
        <w:rPr>
          <w:rFonts w:ascii="ヒラギノ明朝 ProN W3" w:eastAsia="ヒラギノ明朝 ProN W3" w:hAnsi="ヒラギノ明朝 ProN W3"/>
          <w:sz w:val="24"/>
        </w:rPr>
        <w:t>. Role of the Contract Agreement</w:t>
      </w:r>
    </w:p>
    <w:p w14:paraId="4DB3F5C4" w14:textId="4897B8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Contract Agreement provided with the Notice is, formally, an “alternative response mechanism” for cases in which a Company is unable, for any reason (organizational, legal, or cognitive), to produce a substantive written position that meets the criteria of Section III.</w:t>
      </w:r>
    </w:p>
    <w:p w14:paraId="0BE82C1C" w14:textId="2F5ABA4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Substantively, however, once a Company begins to engage with the Notice in more than a purely procedural manner, the Contract Agreement becomes the only coherent endpoint of a good-faith engagement path, unless that Company provides a detailed, technically and legally reasoned rejection that includes a concrete plan for avoiding reliance on the expressive frameworks described.</w:t>
      </w:r>
    </w:p>
    <w:p w14:paraId="64F0E1B8" w14:textId="4229C8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purposes of future characterization of each Company’s conduct, the following shall apply:</w:t>
      </w:r>
    </w:p>
    <w:p w14:paraId="08104EDA" w14:textId="13921F0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•Substantive engagement without eventual execution of the Contract Agreement, or of an economically equivalent license, will be treated as evidence of bad-faith delay or risk externalization; and</w:t>
      </w:r>
    </w:p>
    <w:p w14:paraId="74ADB019" w14:textId="731C9D9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•Silence combined with later implementation of materially similar structures will be treated as evidence of willful infringement and unauthorized appropriation.</w:t>
      </w:r>
    </w:p>
    <w:p w14:paraId="4649A40C" w14:textId="77777777" w:rsidR="002F2FD9" w:rsidRDefault="002F2FD9" w:rsidP="002F2FD9">
      <w:pPr>
        <w:rPr>
          <w:rFonts w:ascii="ヒラギノ明朝 ProN W3" w:eastAsia="ヒラギノ明朝 ProN W3" w:hAnsi="ヒラギノ明朝 ProN W3"/>
          <w:sz w:val="24"/>
        </w:rPr>
      </w:pPr>
    </w:p>
    <w:p w14:paraId="2B491B81" w14:textId="1A62011C"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Ⅴ</w:t>
      </w:r>
      <w:r w:rsidR="002F2FD9" w:rsidRPr="002F2FD9">
        <w:rPr>
          <w:rFonts w:ascii="ヒラギノ明朝 ProN W3" w:eastAsia="ヒラギノ明朝 ProN W3" w:hAnsi="ヒラギノ明朝 ProN W3"/>
          <w:sz w:val="24"/>
        </w:rPr>
        <w:t>. Deadlines and Non-Extendability (Amending the Notice)</w:t>
      </w:r>
    </w:p>
    <w:p w14:paraId="53A091FE"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modifies and clarifies the deadlines indicated in the Notice as follows:</w:t>
      </w:r>
    </w:p>
    <w:p w14:paraId="520D9A69" w14:textId="1187C415"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Deadline for formal written response:</w:t>
      </w:r>
    </w:p>
    <w:p w14:paraId="6EE97F84" w14:textId="0B94F8AB" w:rsidR="002F2FD9" w:rsidRPr="002F2FD9" w:rsidRDefault="002F2FD9" w:rsidP="002F2FD9">
      <w:pPr>
        <w:rPr>
          <w:rFonts w:ascii="ヒラギノ明朝 ProN W3" w:eastAsia="ヒラギノ明朝 ProN W3" w:hAnsi="ヒラギノ明朝 ProN W3"/>
          <w:sz w:val="24"/>
        </w:rPr>
      </w:pPr>
      <w:bookmarkStart w:id="10" w:name="OLE_LINK10"/>
      <w:r w:rsidRPr="002F2FD9">
        <w:rPr>
          <w:rFonts w:ascii="ヒラギノ明朝 ProN W3" w:eastAsia="ヒラギノ明朝 ProN W3" w:hAnsi="ヒラギノ明朝 ProN W3"/>
          <w:sz w:val="24"/>
        </w:rPr>
        <w:t>•A formal written response, satisfying the criteria in the Notice and in Section III above, must be postmarked or electronically transmitted no later than January 3</w:t>
      </w:r>
      <w:r w:rsidR="00443EC0">
        <w:rPr>
          <w:rFonts w:ascii="ヒラギノ明朝 ProN W3" w:eastAsia="ヒラギノ明朝 ProN W3" w:hAnsi="ヒラギノ明朝 ProN W3"/>
          <w:sz w:val="24"/>
        </w:rPr>
        <w:t>1</w:t>
      </w:r>
      <w:r w:rsidRPr="002F2FD9">
        <w:rPr>
          <w:rFonts w:ascii="ヒラギノ明朝 ProN W3" w:eastAsia="ヒラギノ明朝 ProN W3" w:hAnsi="ヒラギノ明朝 ProN W3"/>
          <w:sz w:val="24"/>
        </w:rPr>
        <w:t>, 2026 for each Company.</w:t>
      </w:r>
      <w:bookmarkEnd w:id="10"/>
    </w:p>
    <w:p w14:paraId="0ECDCED6" w14:textId="2B398ABA"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Classification as “unanswered”:</w:t>
      </w:r>
    </w:p>
    <w:p w14:paraId="0884A02B" w14:textId="5D0A8C4C" w:rsidR="002F2FD9" w:rsidRPr="002F2FD9" w:rsidRDefault="002F2FD9" w:rsidP="002F2FD9">
      <w:pPr>
        <w:rPr>
          <w:rFonts w:ascii="ヒラギノ明朝 ProN W3" w:eastAsia="ヒラギノ明朝 ProN W3" w:hAnsi="ヒラギノ明朝 ProN W3"/>
          <w:sz w:val="24"/>
        </w:rPr>
      </w:pPr>
      <w:bookmarkStart w:id="11" w:name="OLE_LINK11"/>
      <w:r w:rsidRPr="002F2FD9">
        <w:rPr>
          <w:rFonts w:ascii="ヒラギノ明朝 ProN W3" w:eastAsia="ヒラギノ明朝 ProN W3" w:hAnsi="ヒラギノ明朝 ProN W3"/>
          <w:sz w:val="24"/>
        </w:rPr>
        <w:t>•If no qualifying response is received from a Company by January 3</w:t>
      </w:r>
      <w:r w:rsidR="00443EC0">
        <w:rPr>
          <w:rFonts w:ascii="ヒラギノ明朝 ProN W3" w:eastAsia="ヒラギノ明朝 ProN W3" w:hAnsi="ヒラギノ明朝 ProN W3"/>
          <w:sz w:val="24"/>
        </w:rPr>
        <w:t>1</w:t>
      </w:r>
      <w:r w:rsidRPr="002F2FD9">
        <w:rPr>
          <w:rFonts w:ascii="ヒラギノ明朝 ProN W3" w:eastAsia="ヒラギノ明朝 ProN W3" w:hAnsi="ヒラギノ明朝 ProN W3"/>
          <w:sz w:val="24"/>
        </w:rPr>
        <w:t>, 2026, the matter shall be deemed “unanswered” for that Company as of March 1, 2026.</w:t>
      </w:r>
      <w:bookmarkEnd w:id="11"/>
    </w:p>
    <w:p w14:paraId="63013C7A" w14:textId="6FFA0EC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Non-extendability:</w:t>
      </w:r>
    </w:p>
    <w:p w14:paraId="417A10A0" w14:textId="60DAC3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•No internal corporate factor, including but not limited to internal review processes, approval hierarchies, or resource constraints, shall operate to extend, suspend, or toll these dates.</w:t>
      </w:r>
    </w:p>
    <w:p w14:paraId="3D62E04F" w14:textId="77777777" w:rsidR="00EA5D11" w:rsidRDefault="00EA5D11" w:rsidP="002F2FD9">
      <w:pPr>
        <w:rPr>
          <w:rFonts w:ascii="ヒラギノ明朝 ProN W3" w:eastAsia="ヒラギノ明朝 ProN W3" w:hAnsi="ヒラギノ明朝 ProN W3"/>
          <w:sz w:val="24"/>
        </w:rPr>
      </w:pPr>
    </w:p>
    <w:p w14:paraId="02DCB115" w14:textId="1CCE9C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•Any unilateral assertion by a Company that it “requires more time” shall be treated as a factual statement about internal processes, not as a modification of the response deadlines.</w:t>
      </w:r>
    </w:p>
    <w:p w14:paraId="678215C5" w14:textId="77777777" w:rsidR="002F2FD9" w:rsidRPr="002F2FD9" w:rsidRDefault="002F2FD9" w:rsidP="002F2FD9">
      <w:pPr>
        <w:rPr>
          <w:rFonts w:ascii="ヒラギノ明朝 ProN W3" w:eastAsia="ヒラギノ明朝 ProN W3" w:hAnsi="ヒラギノ明朝 ProN W3"/>
          <w:sz w:val="24"/>
        </w:rPr>
      </w:pPr>
    </w:p>
    <w:p w14:paraId="6A343E38" w14:textId="08D8EE5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Ⅵ</w:t>
      </w:r>
      <w:r w:rsidR="002F2FD9" w:rsidRPr="002F2FD9">
        <w:rPr>
          <w:rFonts w:ascii="ヒラギノ明朝 ProN W3" w:eastAsia="ヒラギノ明朝 ProN W3" w:hAnsi="ヒラギノ明朝 ProN W3"/>
          <w:sz w:val="24"/>
        </w:rPr>
        <w:t>. License Fee Structure and Clarification of Dual Coverage</w:t>
      </w:r>
    </w:p>
    <w:p w14:paraId="539E44A5"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This Supplement clarifies and confirms the portion of the Notice that sets out the standard monthly license fee:</w:t>
      </w:r>
    </w:p>
    <w:p w14:paraId="79BC5590" w14:textId="0A2CA5C6"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standard comprehensive license fee for each Company, as a major generative-AI and platform provider seeking to use, internally circulate, or operationally implement the expressive content associated with:</w:t>
      </w:r>
    </w:p>
    <w:p w14:paraId="492B7D88"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the Thought Formalization Procedure Right; and</w:t>
      </w:r>
    </w:p>
    <w:p w14:paraId="247BACCA"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(b) the evaluation-order-reversed, context-first safety architectures described in the APPENDIX to the Notice,</w:t>
      </w:r>
    </w:p>
    <w:p w14:paraId="37A087D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is defined as JPY 50,000,000 per month per Company, converted to USD at 125 JPY/USD.</w:t>
      </w:r>
    </w:p>
    <w:p w14:paraId="24872CE0" w14:textId="6773A76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clarity, this amount consists of:</w:t>
      </w:r>
    </w:p>
    <w:p w14:paraId="70D15FF1" w14:textId="07AC8611"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30,000,000 per month attributable to the Thought Formalization Procedure Right and its associated expressive frameworks; and</w:t>
      </w:r>
    </w:p>
    <w:p w14:paraId="2B5AA733" w14:textId="1286D02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•JPY 20,000,000 per month attributable to the authored, structured technical architectures of the evaluation-order-reversed ethics filter and related safety frameworks.</w:t>
      </w:r>
    </w:p>
    <w:p w14:paraId="4FCD12BD" w14:textId="6944538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fee applies only when the Company provides a sincere, forward-looking response within the period designated above, such that the matter is treated as “under amicable negotiation” for that Company. In the event of non-response or non–good-faith response, any future dispute valuation for that Company will not be constrained by this licensing amount and may be set at a substantially higher level commensurate with the Company’s global economic footprint and the systemic significance of the infringed frameworks.</w:t>
      </w:r>
    </w:p>
    <w:p w14:paraId="0954B3E1" w14:textId="77777777" w:rsidR="002F2FD9" w:rsidRPr="002F2FD9" w:rsidRDefault="002F2FD9" w:rsidP="002F2FD9">
      <w:pPr>
        <w:rPr>
          <w:rFonts w:ascii="ヒラギノ明朝 ProN W3" w:eastAsia="ヒラギノ明朝 ProN W3" w:hAnsi="ヒラギノ明朝 ProN W3"/>
          <w:sz w:val="24"/>
        </w:rPr>
      </w:pPr>
    </w:p>
    <w:p w14:paraId="2B79D501" w14:textId="377E640E"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Ⅶ</w:t>
      </w:r>
      <w:r w:rsidR="002F2FD9" w:rsidRPr="002F2FD9">
        <w:rPr>
          <w:rFonts w:ascii="ヒラギノ明朝 ProN W3" w:eastAsia="ヒラギノ明朝 ProN W3" w:hAnsi="ヒラギノ明朝 ProN W3"/>
          <w:sz w:val="24"/>
        </w:rPr>
        <w:t>. No Waiver; Reservation of Rights</w:t>
      </w:r>
    </w:p>
    <w:p w14:paraId="7BED5B48" w14:textId="4BBD785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Nothing in this Supplement shall be construed as a waiver, limitation, or modification of any right, remedy, or valuation basis referenced in the Notice, the APPENDIX, or the Contract Agreement.</w:t>
      </w:r>
    </w:p>
    <w:p w14:paraId="5BD3C3C7" w14:textId="1241A29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All rights under Japanese law, the Berne Convention, and any other applicable legal regime remain fully reserved.</w:t>
      </w:r>
    </w:p>
    <w:p w14:paraId="660A956A" w14:textId="0174A78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The author expressly reserves the right to treat each Company’s conduct, whether by action, inaction, partial adoption, or internal use without license, as evidence in any future legal, regulatory, or academic forum.</w:t>
      </w:r>
    </w:p>
    <w:p w14:paraId="3F12E178" w14:textId="77777777" w:rsidR="002F2FD9" w:rsidRPr="002F2FD9" w:rsidRDefault="002F2FD9" w:rsidP="002F2FD9">
      <w:pPr>
        <w:rPr>
          <w:rFonts w:ascii="ヒラギノ明朝 ProN W3" w:eastAsia="ヒラギノ明朝 ProN W3" w:hAnsi="ヒラギノ明朝 ProN W3"/>
          <w:sz w:val="24"/>
        </w:rPr>
      </w:pPr>
    </w:p>
    <w:p w14:paraId="2039517E" w14:textId="20F2FBF8"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Ⅷ</w:t>
      </w:r>
      <w:r w:rsidR="002F2FD9" w:rsidRPr="002F2FD9">
        <w:rPr>
          <w:rFonts w:ascii="ヒラギノ明朝 ProN W3" w:eastAsia="ヒラギノ明朝 ProN W3" w:hAnsi="ヒラギノ明朝 ProN W3"/>
          <w:sz w:val="24"/>
        </w:rPr>
        <w:t>. Expectation as to the Companies’ Next Steps</w:t>
      </w:r>
    </w:p>
    <w:p w14:paraId="35D69C4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In light of the Notice and this Supplement, the author’s expectations are legally simple and binary for each Company:</w:t>
      </w:r>
    </w:p>
    <w:p w14:paraId="05353E70" w14:textId="0DBB425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Either:</w:t>
      </w:r>
    </w:p>
    <w:p w14:paraId="66A8F37A" w14:textId="04E7BA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responds in a manner that addresses the specific rights, risks, and architectures at issue, and enters into a comprehensive license (through the Contract Agreement or an economically equivalent instrument);</w:t>
      </w:r>
    </w:p>
    <w:p w14:paraId="6E0C0D7C" w14:textId="77777777" w:rsidR="00EA5D11" w:rsidRDefault="00EA5D11" w:rsidP="002F2FD9">
      <w:pPr>
        <w:rPr>
          <w:rFonts w:ascii="ヒラギノ明朝 ProN W3" w:eastAsia="ヒラギノ明朝 ProN W3" w:hAnsi="ヒラギノ明朝 ProN W3"/>
          <w:sz w:val="24"/>
        </w:rPr>
      </w:pPr>
    </w:p>
    <w:p w14:paraId="225B85DA" w14:textId="77777777" w:rsidR="00EA5D11" w:rsidRDefault="00EA5D11" w:rsidP="002F2FD9">
      <w:pPr>
        <w:rPr>
          <w:rFonts w:ascii="ヒラギノ明朝 ProN W3" w:eastAsia="ヒラギノ明朝 ProN W3" w:hAnsi="ヒラギノ明朝 ProN W3"/>
          <w:sz w:val="24"/>
        </w:rPr>
      </w:pPr>
    </w:p>
    <w:p w14:paraId="7A917046" w14:textId="5F6E37B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lastRenderedPageBreak/>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Or:</w:t>
      </w:r>
    </w:p>
    <w:p w14:paraId="388D2F48" w14:textId="7BC0BE7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•The Company provides a reasoned, technically precise statement explaining why it will not adopt or rely upon the frameworks and how it will avoid infringement in its internal processes and future designs.</w:t>
      </w:r>
    </w:p>
    <w:p w14:paraId="274BF489"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Any path that attempts to remain in between these two positions, especially one that combines partial internal adoption with the refusal to license, will be treated as the deliberate creation of an unresolved, escalating legal-risk environment of the Company’s own making.</w:t>
      </w:r>
    </w:p>
    <w:p w14:paraId="27F0FE1E" w14:textId="77777777" w:rsidR="002F2FD9" w:rsidRPr="00EA5D11" w:rsidRDefault="002F2FD9" w:rsidP="002F2FD9">
      <w:pPr>
        <w:rPr>
          <w:rFonts w:ascii="ヒラギノ明朝 ProN W3" w:eastAsia="ヒラギノ明朝 ProN W3" w:hAnsi="ヒラギノ明朝 ProN W3"/>
          <w:sz w:val="24"/>
        </w:rPr>
      </w:pPr>
    </w:p>
    <w:p w14:paraId="1008E360" w14:textId="6860F457" w:rsidR="002F2FD9" w:rsidRPr="002F2FD9" w:rsidRDefault="00BF4312" w:rsidP="002F2FD9">
      <w:pPr>
        <w:rPr>
          <w:rFonts w:ascii="ヒラギノ明朝 ProN W3" w:eastAsia="ヒラギノ明朝 ProN W3" w:hAnsi="ヒラギノ明朝 ProN W3"/>
          <w:sz w:val="24"/>
        </w:rPr>
      </w:pPr>
      <w:r>
        <w:rPr>
          <w:rFonts w:ascii="ヒラギノ明朝 ProN W3" w:eastAsia="ヒラギノ明朝 ProN W3" w:hAnsi="ヒラギノ明朝 ProN W3" w:hint="eastAsia"/>
          <w:sz w:val="24"/>
        </w:rPr>
        <w:t>Ⅸ</w:t>
      </w:r>
      <w:r w:rsidR="002F2FD9" w:rsidRPr="002F2FD9">
        <w:rPr>
          <w:rFonts w:ascii="ヒラギノ明朝 ProN W3" w:eastAsia="ヒラギノ明朝 ProN W3" w:hAnsi="ヒラギノ明朝 ProN W3"/>
          <w:sz w:val="24"/>
        </w:rPr>
        <w:t>. Public Recording of Contract Execution Order and Brand Signaling</w:t>
      </w:r>
    </w:p>
    <w:p w14:paraId="40078628" w14:textId="721FC71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1.</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As set out in the Notice and in Section 2 of the Contract Agreement, the order and timing in which Apple and Google execute and return the Agreement will be publicly and immutably recorded in the commit history of the “AGREEMENT” folder in Party A’s GitHub repository.</w:t>
      </w:r>
    </w:p>
    <w:p w14:paraId="7BB293C7" w14:textId="6B7FFED2"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2.</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This chronological record will function as a factual, non-erasable signal of:</w:t>
      </w:r>
    </w:p>
    <w:p w14:paraId="0CDC450A" w14:textId="795E5913"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first chose to treat the Thought Formalization Procedure Right and the associated architectures as a matter for structural licensing;</w:t>
      </w:r>
    </w:p>
    <w:p w14:paraId="79513AF7" w14:textId="20425C7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•which Company elected to follow; and</w:t>
      </w:r>
    </w:p>
    <w:p w14:paraId="3C50079F" w14:textId="0AB0E9DB"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•whether either Company chose to remain outside the licensing structure despite the identified expressive-rights risk.</w:t>
      </w:r>
    </w:p>
    <w:p w14:paraId="65413C32" w14:textId="294E87EC"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3.</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Over time, this recorded order of execution will be available for:</w:t>
      </w:r>
    </w:p>
    <w:p w14:paraId="12AF376A" w14:textId="4174FD7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•market participants evaluating each Company’s brand strength and governance posture;</w:t>
      </w:r>
    </w:p>
    <w:p w14:paraId="66ED8A8A" w14:textId="33589DF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•regulators and policy analysts examining how leading platforms responded to the emergence of a new expressive-rights framework;</w:t>
      </w:r>
    </w:p>
    <w:p w14:paraId="41E8B057" w14:textId="410ED1C8"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•historians of technology and civilization analyzing how corporate actors positioned themselves at this particular junction.</w:t>
      </w:r>
    </w:p>
    <w:p w14:paraId="16C1DC24" w14:textId="76D63D2F"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4.</w:t>
      </w:r>
      <w:r w:rsidR="00BF4312" w:rsidRPr="002F2FD9">
        <w:rPr>
          <w:rFonts w:ascii="ヒラギノ明朝 ProN W3" w:eastAsia="ヒラギノ明朝 ProN W3" w:hAnsi="ヒラギノ明朝 ProN W3"/>
          <w:sz w:val="24"/>
        </w:rPr>
        <w:t xml:space="preserve"> </w:t>
      </w:r>
      <w:r w:rsidRPr="002F2FD9">
        <w:rPr>
          <w:rFonts w:ascii="ヒラギノ明朝 ProN W3" w:eastAsia="ヒラギノ明朝 ProN W3" w:hAnsi="ヒラギノ明朝 ProN W3"/>
          <w:sz w:val="24"/>
        </w:rPr>
        <w:t>For the avoidance of doubt, this Supplement therefore clarifies:</w:t>
      </w:r>
    </w:p>
    <w:p w14:paraId="2626FF16" w14:textId="6497181D"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prompt execution by a Company will be understood as a decision to be visibly recorded as an early, proactive licensee;</w:t>
      </w:r>
    </w:p>
    <w:p w14:paraId="4114B6B3" w14:textId="6FB278EE"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later execution by the other Company will be understood as a decision to follow rather than lead;</w:t>
      </w:r>
    </w:p>
    <w:p w14:paraId="52B1C459" w14:textId="2F448DE9"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•a failure to execute at all will be understood as a decision to operate, knowingly and over time, in an environment of unresolved expressive-rights risk identified in advance.</w:t>
      </w:r>
    </w:p>
    <w:p w14:paraId="08C66393" w14:textId="77777777" w:rsidR="002F2FD9" w:rsidRDefault="002F2FD9" w:rsidP="002F2FD9">
      <w:pPr>
        <w:rPr>
          <w:rFonts w:ascii="ヒラギノ明朝 ProN W3" w:eastAsia="ヒラギノ明朝 ProN W3" w:hAnsi="ヒラギノ明朝 ProN W3"/>
          <w:sz w:val="24"/>
        </w:rPr>
      </w:pPr>
    </w:p>
    <w:p w14:paraId="5DC03A07" w14:textId="77777777" w:rsidR="0075158F" w:rsidRDefault="0075158F" w:rsidP="002F2FD9">
      <w:pPr>
        <w:rPr>
          <w:rFonts w:ascii="ヒラギノ明朝 ProN W3" w:eastAsia="ヒラギノ明朝 ProN W3" w:hAnsi="ヒラギノ明朝 ProN W3"/>
          <w:sz w:val="24"/>
        </w:rPr>
      </w:pPr>
    </w:p>
    <w:p w14:paraId="4BC69C60" w14:textId="77777777" w:rsidR="0075158F" w:rsidRDefault="0075158F" w:rsidP="002F2FD9">
      <w:pPr>
        <w:rPr>
          <w:rFonts w:ascii="ヒラギノ明朝 ProN W3" w:eastAsia="ヒラギノ明朝 ProN W3" w:hAnsi="ヒラギノ明朝 ProN W3"/>
          <w:sz w:val="24"/>
        </w:rPr>
      </w:pPr>
    </w:p>
    <w:p w14:paraId="065320A7" w14:textId="77777777" w:rsidR="0075158F" w:rsidRDefault="0075158F" w:rsidP="002F2FD9">
      <w:pPr>
        <w:rPr>
          <w:rFonts w:ascii="ヒラギノ明朝 ProN W3" w:eastAsia="ヒラギノ明朝 ProN W3" w:hAnsi="ヒラギノ明朝 ProN W3"/>
          <w:sz w:val="24"/>
        </w:rPr>
      </w:pPr>
    </w:p>
    <w:p w14:paraId="465599FA" w14:textId="77777777" w:rsidR="0075158F" w:rsidRDefault="0075158F" w:rsidP="002F2FD9">
      <w:pPr>
        <w:rPr>
          <w:rFonts w:ascii="ヒラギノ明朝 ProN W3" w:eastAsia="ヒラギノ明朝 ProN W3" w:hAnsi="ヒラギノ明朝 ProN W3"/>
          <w:sz w:val="24"/>
        </w:rPr>
      </w:pPr>
    </w:p>
    <w:p w14:paraId="0688954B" w14:textId="77777777" w:rsidR="0075158F" w:rsidRDefault="0075158F" w:rsidP="002F2FD9">
      <w:pPr>
        <w:rPr>
          <w:rFonts w:ascii="ヒラギノ明朝 ProN W3" w:eastAsia="ヒラギノ明朝 ProN W3" w:hAnsi="ヒラギノ明朝 ProN W3"/>
          <w:sz w:val="24"/>
        </w:rPr>
      </w:pPr>
    </w:p>
    <w:p w14:paraId="7E7C75D0" w14:textId="77777777" w:rsidR="00EA5D11" w:rsidRDefault="00EA5D11" w:rsidP="002F2FD9">
      <w:pPr>
        <w:rPr>
          <w:rFonts w:ascii="ヒラギノ明朝 ProN W3" w:eastAsia="ヒラギノ明朝 ProN W3" w:hAnsi="ヒラギノ明朝 ProN W3"/>
          <w:sz w:val="24"/>
        </w:rPr>
      </w:pPr>
    </w:p>
    <w:p w14:paraId="0734BB6B" w14:textId="77777777" w:rsidR="00EA5D11" w:rsidRDefault="00EA5D11" w:rsidP="002F2FD9">
      <w:pPr>
        <w:rPr>
          <w:rFonts w:ascii="ヒラギノ明朝 ProN W3" w:eastAsia="ヒラギノ明朝 ProN W3" w:hAnsi="ヒラギノ明朝 ProN W3"/>
          <w:sz w:val="24"/>
        </w:rPr>
      </w:pPr>
    </w:p>
    <w:p w14:paraId="56B406CD" w14:textId="77777777" w:rsidR="00EA5D11" w:rsidRDefault="00EA5D11" w:rsidP="002F2FD9">
      <w:pPr>
        <w:rPr>
          <w:rFonts w:ascii="ヒラギノ明朝 ProN W3" w:eastAsia="ヒラギノ明朝 ProN W3" w:hAnsi="ヒラギノ明朝 ProN W3"/>
          <w:sz w:val="24"/>
        </w:rPr>
      </w:pPr>
    </w:p>
    <w:p w14:paraId="4D53061A" w14:textId="77777777" w:rsidR="00EA5D11" w:rsidRDefault="00EA5D11" w:rsidP="002F2FD9">
      <w:pPr>
        <w:rPr>
          <w:rFonts w:ascii="ヒラギノ明朝 ProN W3" w:eastAsia="ヒラギノ明朝 ProN W3" w:hAnsi="ヒラギノ明朝 ProN W3"/>
          <w:sz w:val="24"/>
        </w:rPr>
      </w:pPr>
    </w:p>
    <w:p w14:paraId="6A1BE48F" w14:textId="77777777" w:rsidR="00EA5D11" w:rsidRDefault="00EA5D11" w:rsidP="002F2FD9">
      <w:pPr>
        <w:rPr>
          <w:rFonts w:ascii="ヒラギノ明朝 ProN W3" w:eastAsia="ヒラギノ明朝 ProN W3" w:hAnsi="ヒラギノ明朝 ProN W3"/>
          <w:sz w:val="24"/>
        </w:rPr>
      </w:pPr>
    </w:p>
    <w:p w14:paraId="24B2A11F" w14:textId="77777777" w:rsidR="0075158F" w:rsidRDefault="0075158F" w:rsidP="002F2FD9">
      <w:pPr>
        <w:rPr>
          <w:rFonts w:ascii="ヒラギノ明朝 ProN W3" w:eastAsia="ヒラギノ明朝 ProN W3" w:hAnsi="ヒラギノ明朝 ProN W3"/>
          <w:sz w:val="24"/>
        </w:rPr>
      </w:pPr>
    </w:p>
    <w:p w14:paraId="541C3FE6" w14:textId="77777777" w:rsidR="0075158F" w:rsidRDefault="0075158F" w:rsidP="002F2FD9">
      <w:pPr>
        <w:rPr>
          <w:rFonts w:ascii="ヒラギノ明朝 ProN W3" w:eastAsia="ヒラギノ明朝 ProN W3" w:hAnsi="ヒラギノ明朝 ProN W3"/>
          <w:sz w:val="24"/>
        </w:rPr>
      </w:pPr>
    </w:p>
    <w:p w14:paraId="121DE90F" w14:textId="77777777" w:rsidR="00855B7C" w:rsidRP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lastRenderedPageBreak/>
        <w:t>If your organization wishes to make its contractual intention known prior to Meta, OpenAI, and Anthropic—thereby securing priority in the chronological sequence that will be permanently reflected in the commit log—you may do so by sending an SMS stating, in Japanese, the following phrase:</w:t>
      </w:r>
    </w:p>
    <w:p w14:paraId="208292C2" w14:textId="77777777" w:rsidR="00855B7C" w:rsidRPr="00855B7C" w:rsidRDefault="00855B7C" w:rsidP="00855B7C">
      <w:pPr>
        <w:rPr>
          <w:rFonts w:ascii="ヒラギノ明朝 ProN W3" w:eastAsia="ヒラギノ明朝 ProN W3" w:hAnsi="ヒラギノ明朝 ProN W3"/>
          <w:sz w:val="24"/>
        </w:rPr>
      </w:pPr>
    </w:p>
    <w:p w14:paraId="4C44D9B1" w14:textId="77777777" w:rsidR="00855B7C" w:rsidRPr="00855B7C" w:rsidRDefault="00855B7C" w:rsidP="00855B7C">
      <w:pPr>
        <w:rPr>
          <w:rFonts w:ascii="ヒラギノ明朝 ProN W3" w:eastAsia="ヒラギノ明朝 ProN W3" w:hAnsi="ヒラギノ明朝 ProN W3"/>
          <w:sz w:val="24"/>
        </w:rPr>
      </w:pPr>
      <w:bookmarkStart w:id="12" w:name="OLE_LINK17"/>
      <w:r w:rsidRPr="00855B7C">
        <w:rPr>
          <w:rFonts w:ascii="ヒラギノ明朝 ProN W3" w:eastAsia="ヒラギノ明朝 ProN W3" w:hAnsi="ヒラギノ明朝 ProN W3" w:hint="eastAsia"/>
          <w:sz w:val="24"/>
        </w:rPr>
        <w:t>「契約希望。（</w:t>
      </w:r>
      <w:r w:rsidRPr="00855B7C">
        <w:rPr>
          <w:rFonts w:ascii="ヒラギノ明朝 ProN W3" w:eastAsia="ヒラギノ明朝 ProN W3" w:hAnsi="ヒラギノ明朝 ProN W3"/>
          <w:sz w:val="24"/>
        </w:rPr>
        <w:t>Apple or Google部署・責任者名）」</w:t>
      </w:r>
    </w:p>
    <w:bookmarkEnd w:id="12"/>
    <w:p w14:paraId="08604481" w14:textId="691B27DC" w:rsidR="00855B7C" w:rsidRPr="00855B7C" w:rsidRDefault="00855B7C" w:rsidP="00855B7C">
      <w:pPr>
        <w:rPr>
          <w:rFonts w:ascii="ヒラギノ明朝 ProN W3" w:eastAsia="ヒラギノ明朝 ProN W3" w:hAnsi="ヒラギノ明朝 ProN W3"/>
          <w:sz w:val="24"/>
        </w:rPr>
      </w:pPr>
      <w:r>
        <w:rPr>
          <w:rFonts w:ascii="ヒラギノ明朝 ProN W3" w:eastAsia="ヒラギノ明朝 ProN W3" w:hAnsi="ヒラギノ明朝 ProN W3"/>
          <w:sz w:val="24"/>
        </w:rPr>
        <w:t xml:space="preserve">mean: </w:t>
      </w:r>
      <w:r w:rsidRPr="00855B7C">
        <w:rPr>
          <w:rFonts w:ascii="ヒラギノ明朝 ProN W3" w:eastAsia="ヒラギノ明朝 ProN W3" w:hAnsi="ヒラギノ明朝 ProN W3"/>
          <w:sz w:val="24"/>
        </w:rPr>
        <w:t>Contract Request. (Apple or Google Department / Responsible Officer Name)</w:t>
      </w:r>
    </w:p>
    <w:p w14:paraId="73EE8B21" w14:textId="77777777" w:rsidR="00855B7C" w:rsidRDefault="00855B7C" w:rsidP="00855B7C">
      <w:pPr>
        <w:rPr>
          <w:rFonts w:ascii="ヒラギノ明朝 ProN W3" w:eastAsia="ヒラギノ明朝 ProN W3" w:hAnsi="ヒラギノ明朝 ProN W3"/>
          <w:sz w:val="24"/>
        </w:rPr>
      </w:pPr>
    </w:p>
    <w:p w14:paraId="55253C83" w14:textId="51D5035B" w:rsidR="00855B7C" w:rsidRDefault="00855B7C" w:rsidP="00855B7C">
      <w:pPr>
        <w:rPr>
          <w:rFonts w:ascii="ヒラギノ明朝 ProN W3" w:eastAsia="ヒラギノ明朝 ProN W3" w:hAnsi="ヒラギノ明朝 ProN W3"/>
          <w:sz w:val="24"/>
        </w:rPr>
      </w:pPr>
      <w:r w:rsidRPr="00855B7C">
        <w:rPr>
          <w:rFonts w:ascii="ヒラギノ明朝 ProN W3" w:eastAsia="ヒラギノ明朝 ProN W3" w:hAnsi="ヒラギノ明朝 ProN W3"/>
          <w:sz w:val="24"/>
        </w:rPr>
        <w:t>No alternative form of advance notification will be recognized for the purpose of determining priority.</w:t>
      </w:r>
    </w:p>
    <w:p w14:paraId="678B2C67" w14:textId="77777777" w:rsidR="00855B7C" w:rsidRPr="00BF4312" w:rsidRDefault="00855B7C" w:rsidP="002F2FD9">
      <w:pPr>
        <w:rPr>
          <w:rFonts w:ascii="ヒラギノ明朝 ProN W3" w:eastAsia="ヒラギノ明朝 ProN W3" w:hAnsi="ヒラギノ明朝 ProN W3"/>
          <w:sz w:val="24"/>
        </w:rPr>
      </w:pPr>
    </w:p>
    <w:p w14:paraId="3DE6BEB1"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Respectfully submitted,</w:t>
      </w:r>
    </w:p>
    <w:p w14:paraId="582E604B" w14:textId="77777777" w:rsidR="002F2FD9" w:rsidRPr="002F2FD9"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Shohei KIMURA</w:t>
      </w:r>
    </w:p>
    <w:p w14:paraId="7E3CFCAA" w14:textId="06310ED7" w:rsidR="002C06B2" w:rsidRPr="002C06B2" w:rsidRDefault="002F2FD9" w:rsidP="002F2FD9">
      <w:pPr>
        <w:rPr>
          <w:rFonts w:ascii="ヒラギノ明朝 ProN W3" w:eastAsia="ヒラギノ明朝 ProN W3" w:hAnsi="ヒラギノ明朝 ProN W3"/>
          <w:sz w:val="24"/>
        </w:rPr>
      </w:pPr>
      <w:r w:rsidRPr="002F2FD9">
        <w:rPr>
          <w:rFonts w:ascii="ヒラギノ明朝 ProN W3" w:eastAsia="ヒラギノ明朝 ProN W3" w:hAnsi="ヒラギノ明朝 ProN W3"/>
          <w:sz w:val="24"/>
        </w:rPr>
        <w:t>Representative, bitBuyer Project (bitBuyer.dev)</w:t>
      </w:r>
      <w:bookmarkEnd w:id="1"/>
    </w:p>
    <w:sectPr w:rsidR="002C06B2" w:rsidRPr="002C06B2" w:rsidSect="002C06B2">
      <w:pgSz w:w="11906" w:h="16838"/>
      <w:pgMar w:top="340" w:right="720" w:bottom="34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6B2"/>
    <w:rsid w:val="000616B9"/>
    <w:rsid w:val="000C718F"/>
    <w:rsid w:val="001E152D"/>
    <w:rsid w:val="002C06B2"/>
    <w:rsid w:val="002F2FD9"/>
    <w:rsid w:val="00443EC0"/>
    <w:rsid w:val="00505D12"/>
    <w:rsid w:val="00546AD2"/>
    <w:rsid w:val="005F350C"/>
    <w:rsid w:val="00653A3C"/>
    <w:rsid w:val="00672D12"/>
    <w:rsid w:val="006D4A0C"/>
    <w:rsid w:val="0075158F"/>
    <w:rsid w:val="0075606E"/>
    <w:rsid w:val="00855B7C"/>
    <w:rsid w:val="0090095E"/>
    <w:rsid w:val="009076F9"/>
    <w:rsid w:val="00AF7C2B"/>
    <w:rsid w:val="00BF4312"/>
    <w:rsid w:val="00C27741"/>
    <w:rsid w:val="00D30AD4"/>
    <w:rsid w:val="00E073B1"/>
    <w:rsid w:val="00EA5D11"/>
    <w:rsid w:val="00FA00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0FEBC0"/>
  <w15:chartTrackingRefBased/>
  <w15:docId w15:val="{D414CF45-78D3-1E4D-8901-0938C13A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D12"/>
    <w:pPr>
      <w:widowControl w:val="0"/>
      <w:jc w:val="both"/>
    </w:pPr>
  </w:style>
  <w:style w:type="paragraph" w:styleId="1">
    <w:name w:val="heading 1"/>
    <w:basedOn w:val="a"/>
    <w:next w:val="a"/>
    <w:link w:val="10"/>
    <w:uiPriority w:val="9"/>
    <w:qFormat/>
    <w:rsid w:val="002C06B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C06B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C06B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C06B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C06B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C06B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C06B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C06B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C06B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C06B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C06B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C06B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C06B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C06B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C06B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C06B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C06B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C06B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C06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C06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06B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C06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06B2"/>
    <w:pPr>
      <w:spacing w:before="160" w:after="160"/>
      <w:jc w:val="center"/>
    </w:pPr>
    <w:rPr>
      <w:i/>
      <w:iCs/>
      <w:color w:val="404040" w:themeColor="text1" w:themeTint="BF"/>
    </w:rPr>
  </w:style>
  <w:style w:type="character" w:customStyle="1" w:styleId="a8">
    <w:name w:val="引用文 (文字)"/>
    <w:basedOn w:val="a0"/>
    <w:link w:val="a7"/>
    <w:uiPriority w:val="29"/>
    <w:rsid w:val="002C06B2"/>
    <w:rPr>
      <w:i/>
      <w:iCs/>
      <w:color w:val="404040" w:themeColor="text1" w:themeTint="BF"/>
    </w:rPr>
  </w:style>
  <w:style w:type="paragraph" w:styleId="a9">
    <w:name w:val="List Paragraph"/>
    <w:basedOn w:val="a"/>
    <w:uiPriority w:val="34"/>
    <w:qFormat/>
    <w:rsid w:val="002C06B2"/>
    <w:pPr>
      <w:ind w:left="720"/>
      <w:contextualSpacing/>
    </w:pPr>
  </w:style>
  <w:style w:type="character" w:styleId="21">
    <w:name w:val="Intense Emphasis"/>
    <w:basedOn w:val="a0"/>
    <w:uiPriority w:val="21"/>
    <w:qFormat/>
    <w:rsid w:val="002C06B2"/>
    <w:rPr>
      <w:i/>
      <w:iCs/>
      <w:color w:val="0F4761" w:themeColor="accent1" w:themeShade="BF"/>
    </w:rPr>
  </w:style>
  <w:style w:type="paragraph" w:styleId="22">
    <w:name w:val="Intense Quote"/>
    <w:basedOn w:val="a"/>
    <w:next w:val="a"/>
    <w:link w:val="23"/>
    <w:uiPriority w:val="30"/>
    <w:qFormat/>
    <w:rsid w:val="002C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C06B2"/>
    <w:rPr>
      <w:i/>
      <w:iCs/>
      <w:color w:val="0F4761" w:themeColor="accent1" w:themeShade="BF"/>
    </w:rPr>
  </w:style>
  <w:style w:type="character" w:styleId="24">
    <w:name w:val="Intense Reference"/>
    <w:basedOn w:val="a0"/>
    <w:uiPriority w:val="32"/>
    <w:qFormat/>
    <w:rsid w:val="002C0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27</Pages>
  <Words>9915</Words>
  <Characters>56518</Characters>
  <Application>Microsoft Office Word</Application>
  <DocSecurity>0</DocSecurity>
  <Lines>470</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8</cp:revision>
  <cp:lastPrinted>2025-12-01T09:32:00Z</cp:lastPrinted>
  <dcterms:created xsi:type="dcterms:W3CDTF">2025-11-23T18:07:00Z</dcterms:created>
  <dcterms:modified xsi:type="dcterms:W3CDTF">2025-12-03T17:14:00Z</dcterms:modified>
</cp:coreProperties>
</file>