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rPr>
          <w:rFonts w:ascii="Times New Roman" w:hAnsi="Times New Roman"/>
        </w:rPr>
        <w:t>FORMAL DEMAND FOR A COMPLETE, ACCURATE, AND INTERNALLY CONSISTENT EXPLANATION; REQUEST FOR FULL DISCLOSURE OF ACCOUNT-SPECIFIC INTERNAL SYSTEM INFORMATION; AND NOTICE TO PRESERVE EVIDENCE</w:t>
      </w:r>
    </w:p>
    <w:p>
      <w:pPr>
        <w:pStyle w:val="Subtitle"/>
        <w:jc w:val="center"/>
      </w:pPr>
      <w:r>
        <w:rPr>
          <w:rFonts w:ascii="Times New Roman" w:hAnsi="Times New Roman"/>
        </w:rPr>
        <w:t>Wrongful Permanent Suspension (July 23, 2025) • Silent Restoration • July 19, 2026 Multi-System Restriction • Meta Verified Plus Support Failure</w:t>
      </w:r>
    </w:p>
    <w:p>
      <w:pPr>
        <w:spacing w:after="180"/>
        <w:jc w:val="center"/>
      </w:pPr>
      <w:r>
        <w:rPr>
          <w:rFonts w:ascii="Arial" w:hAnsi="Arial"/>
          <w:b/>
          <w:sz w:val="20"/>
        </w:rPr>
        <w:t>Date: July 19, 2026</w:t>
      </w:r>
    </w:p>
    <w:tbl>
      <w:tblPr>
        <w:tblW w:type="dxa" w:w="9288"/>
        <w:jc w:val="center"/>
        <w:tblLayout w:type="fixed"/>
        <w:tblLook w:firstColumn="1" w:firstRow="1" w:lastColumn="0" w:lastRow="0" w:noHBand="0" w:noVBand="1" w:val="04A0"/>
      </w:tblPr>
      <w:tblGrid>
        <w:gridCol w:w="1224"/>
        <w:gridCol w:w="8063"/>
      </w:tblGrid>
      <w:tr>
        <w:trPr>
          <w:trHeight w:hRule="atLeast"/>
          <w:cantSplit/>
        </w:trPr>
        <w:tc>
          <w:tcPr>
            <w:tcW w:type="dxa" w:w="1224"/>
            <w:vAlign w:val="top"/>
            <w:shd w:fill="D9EAF7"/>
            <w:tcMar>
              <w:top w:w="90" w:type="dxa"/>
              <w:start w:w="110" w:type="dxa"/>
              <w:bottom w:w="90" w:type="dxa"/>
              <w:end w:w="110" w:type="dxa"/>
            </w:tcMar>
          </w:tcPr>
          <w:p>
            <w:r>
              <w:rPr>
                <w:rFonts w:ascii="Arial" w:hAnsi="Arial"/>
                <w:b/>
                <w:sz w:val="18"/>
              </w:rPr>
              <w:t>TO</w:t>
            </w:r>
          </w:p>
        </w:tc>
        <w:tc>
          <w:tcPr>
            <w:tcW w:type="dxa" w:w="8063"/>
            <w:vAlign w:val="top"/>
            <w:tcMar>
              <w:top w:w="90" w:type="dxa"/>
              <w:start w:w="110" w:type="dxa"/>
              <w:bottom w:w="90" w:type="dxa"/>
              <w:end w:w="110" w:type="dxa"/>
            </w:tcMar>
          </w:tcPr>
          <w:p>
            <w:pPr>
              <w:spacing w:after="0"/>
            </w:pPr>
            <w:r>
              <w:t>Meta Platforms, Inc.</w:t>
            </w:r>
            <w:r>
              <w:br/>
            </w:r>
            <w:r>
              <w:t>Attn: Legal Department; Privacy Operations; Integrity Operations; Account Review; Meta Verified Support</w:t>
            </w:r>
            <w:r>
              <w:br/>
            </w:r>
            <w:r>
              <w:t>1 Meta Way</w:t>
            </w:r>
            <w:r>
              <w:br/>
            </w:r>
            <w:r>
              <w:t>Menlo Park, California 94025</w:t>
            </w:r>
            <w:r>
              <w:br/>
            </w:r>
            <w:r>
              <w:t>United States</w:t>
            </w:r>
          </w:p>
        </w:tc>
      </w:tr>
      <w:tr>
        <w:trPr>
          <w:trHeight w:hRule="atLeast"/>
          <w:cantSplit/>
        </w:trPr>
        <w:tc>
          <w:tcPr>
            <w:tcW w:type="dxa" w:w="1224"/>
            <w:vAlign w:val="top"/>
            <w:shd w:fill="D9EAF7"/>
            <w:tcMar>
              <w:top w:w="90" w:type="dxa"/>
              <w:start w:w="110" w:type="dxa"/>
              <w:bottom w:w="90" w:type="dxa"/>
              <w:end w:w="110" w:type="dxa"/>
            </w:tcMar>
          </w:tcPr>
          <w:p>
            <w:r>
              <w:rPr>
                <w:rFonts w:ascii="Arial" w:hAnsi="Arial"/>
                <w:b/>
                <w:sz w:val="18"/>
              </w:rPr>
              <w:t>FROM</w:t>
            </w:r>
          </w:p>
        </w:tc>
        <w:tc>
          <w:tcPr>
            <w:tcW w:type="dxa" w:w="8063"/>
            <w:vAlign w:val="top"/>
            <w:tcMar>
              <w:top w:w="90" w:type="dxa"/>
              <w:start w:w="110" w:type="dxa"/>
              <w:bottom w:w="90" w:type="dxa"/>
              <w:end w:w="110" w:type="dxa"/>
            </w:tcMar>
          </w:tcPr>
          <w:p>
            <w:pPr>
              <w:spacing w:after="0"/>
            </w:pPr>
            <w:r>
              <w:t>Shohei KIMURA</w:t>
            </w:r>
            <w:r>
              <w:br/>
            </w:r>
            <w:r>
              <w:t>Representative, bitBuyer Project</w:t>
            </w:r>
            <w:r>
              <w:br/>
            </w:r>
            <w:r>
              <w:t>Meta Verified Plus subscriber</w:t>
            </w:r>
          </w:p>
        </w:tc>
      </w:tr>
      <w:tr>
        <w:trPr>
          <w:trHeight w:hRule="atLeast"/>
          <w:cantSplit/>
        </w:trPr>
        <w:tc>
          <w:tcPr>
            <w:tcW w:type="dxa" w:w="1224"/>
            <w:vAlign w:val="top"/>
            <w:shd w:fill="D9EAF7"/>
            <w:tcMar>
              <w:top w:w="90" w:type="dxa"/>
              <w:start w:w="110" w:type="dxa"/>
              <w:bottom w:w="90" w:type="dxa"/>
              <w:end w:w="110" w:type="dxa"/>
            </w:tcMar>
          </w:tcPr>
          <w:p>
            <w:r>
              <w:rPr>
                <w:rFonts w:ascii="Arial" w:hAnsi="Arial"/>
                <w:b/>
                <w:sz w:val="18"/>
              </w:rPr>
              <w:t>ACCOUNT</w:t>
            </w:r>
          </w:p>
        </w:tc>
        <w:tc>
          <w:tcPr>
            <w:tcW w:type="dxa" w:w="8063"/>
            <w:vAlign w:val="top"/>
            <w:tcMar>
              <w:top w:w="90" w:type="dxa"/>
              <w:start w:w="110" w:type="dxa"/>
              <w:bottom w:w="90" w:type="dxa"/>
              <w:end w:w="110" w:type="dxa"/>
            </w:tcMar>
          </w:tcPr>
          <w:p>
            <w:pPr>
              <w:spacing w:after="0"/>
            </w:pPr>
            <w:r>
              <w:t>Facebook account URL:</w:t>
            </w:r>
            <w:r>
              <w:br/>
            </w:r>
            <w:r>
              <w:t>https://www.facebook.com/profile.php?id=61572398409812</w:t>
            </w:r>
          </w:p>
        </w:tc>
      </w:tr>
      <w:tr>
        <w:trPr>
          <w:trHeight w:hRule="atLeast"/>
          <w:cantSplit/>
        </w:trPr>
        <w:tc>
          <w:tcPr>
            <w:tcW w:type="dxa" w:w="1224"/>
            <w:vAlign w:val="top"/>
            <w:shd w:fill="D9EAF7"/>
            <w:tcMar>
              <w:top w:w="90" w:type="dxa"/>
              <w:start w:w="110" w:type="dxa"/>
              <w:bottom w:w="90" w:type="dxa"/>
              <w:end w:w="110" w:type="dxa"/>
            </w:tcMar>
          </w:tcPr>
          <w:p>
            <w:r>
              <w:rPr>
                <w:rFonts w:ascii="Arial" w:hAnsi="Arial"/>
                <w:b/>
                <w:sz w:val="18"/>
              </w:rPr>
              <w:t>CONTACT</w:t>
            </w:r>
          </w:p>
        </w:tc>
        <w:tc>
          <w:tcPr>
            <w:tcW w:type="dxa" w:w="8063"/>
            <w:vAlign w:val="top"/>
            <w:tcMar>
              <w:top w:w="90" w:type="dxa"/>
              <w:start w:w="110" w:type="dxa"/>
              <w:bottom w:w="90" w:type="dxa"/>
              <w:end w:w="110" w:type="dxa"/>
            </w:tcMar>
          </w:tcPr>
          <w:p>
            <w:pPr>
              <w:spacing w:after="0"/>
            </w:pPr>
            <w:r>
              <w:t>Email: ak4dy1@gmail.com</w:t>
            </w:r>
            <w:r>
              <w:br/>
            </w:r>
            <w:r>
              <w:t>Delivery requested by registered/certified mail and electronic submission</w:t>
            </w:r>
          </w:p>
        </w:tc>
      </w:tr>
    </w:tbl>
    <w:p>
      <w:pPr>
        <w:spacing w:before="160" w:after="140"/>
      </w:pPr>
      <w:r>
        <w:rPr>
          <w:rFonts w:ascii="Arial" w:hAnsi="Arial"/>
          <w:b/>
        </w:rPr>
        <w:t xml:space="preserve">SUBJECT: </w:t>
      </w:r>
      <w:r>
        <w:rPr>
          <w:rFonts w:ascii="Times New Roman" w:hAnsi="Times New Roman"/>
        </w:rPr>
        <w:t>Demand for a complete, accurate, and internally consistent explanation of Meta’s actions; full disclosure of all account-specific internal system information; correction of inaccurate account states; and preservation of all relevant evidence.</w:t>
      </w:r>
    </w:p>
    <w:p>
      <w:pPr>
        <w:spacing w:after="140" w:line="259" w:lineRule="auto"/>
      </w:pPr>
      <w:r>
        <w:rPr>
          <w:rFonts w:ascii="Times New Roman" w:hAnsi="Times New Roman"/>
          <w:i/>
        </w:rPr>
        <w:t>To the Legal Department and responsible executive, privacy, integrity, account-review, and Meta Verified support teams of Meta Platforms, Inc.:</w:t>
      </w:r>
    </w:p>
    <w:p>
      <w:pPr>
        <w:pStyle w:val="Heading1"/>
        <w:keepNext/>
      </w:pPr>
      <w:r>
        <w:rPr>
          <w:rFonts w:ascii="Times New Roman" w:hAnsi="Times New Roman"/>
        </w:rPr>
        <w:t>1. Purpose and Nature of This Notice</w:t>
      </w:r>
    </w:p>
    <w:p>
      <w:pPr>
        <w:spacing w:after="100" w:line="259" w:lineRule="auto"/>
      </w:pPr>
      <w:r>
        <w:rPr>
          <w:rFonts w:ascii="Times New Roman" w:hAnsi="Times New Roman"/>
          <w:i w:val="0"/>
        </w:rPr>
        <w:t>I submit this formal notice and demand concerning (i) the wrongful “permanent suspension” of my Facebook account on July 23, 2025; (ii) the unexplained and unannounced restoration of that account in early September 2025; (iii) the multi-system restriction and related irregularities observed on July 19, 2026; and (iv) the failure of the paid Meta Verified Plus support channel at the moment assistance was required.</w:t>
      </w:r>
    </w:p>
    <w:p>
      <w:pPr>
        <w:spacing w:after="100" w:line="259" w:lineRule="auto"/>
      </w:pPr>
      <w:r>
        <w:rPr>
          <w:rFonts w:ascii="Times New Roman" w:hAnsi="Times New Roman"/>
          <w:i w:val="0"/>
        </w:rPr>
        <w:t>I require Meta to provide one complete narrative that is factually accurate, technically meaningful, and internally consistent. Meta must not answer each symptom in isolation while avoiding the relationship among the events. The response must identify what happened, when it happened, which system or person caused each action, what evidence and policy were relied upon, why later system states contradicted earlier states, and what corrective measures have been taken.</w:t>
      </w:r>
    </w:p>
    <w:p>
      <w:pPr>
        <w:spacing w:after="100" w:line="259" w:lineRule="auto"/>
      </w:pPr>
      <w:r>
        <w:rPr>
          <w:rFonts w:ascii="Times New Roman" w:hAnsi="Times New Roman"/>
          <w:i w:val="0"/>
        </w:rPr>
        <w:t>I also demand disclosure, to the fullest extent legally permissible, of all account-specific internal information relevant to my account and the events described in this notice. This request does not seek Meta’s source code, model weights, unrelated third-party personal data, or generalized trade secrets. It seeks every account-specific input, output, label, score, status, event, case record, note, audit trail, decision, restriction, notification, and human-review action that affected or described my account.</w:t>
      </w:r>
    </w:p>
    <w:p>
      <w:pPr>
        <w:pStyle w:val="Heading1"/>
        <w:keepNext/>
      </w:pPr>
      <w:r>
        <w:rPr>
          <w:rFonts w:ascii="Times New Roman" w:hAnsi="Times New Roman"/>
        </w:rPr>
        <w:t>2. Account and Status Requiring Heightened Review</w:t>
      </w:r>
    </w:p>
    <w:p>
      <w:pPr>
        <w:spacing w:after="100" w:line="259" w:lineRule="auto"/>
      </w:pPr>
      <w:r>
        <w:rPr>
          <w:rFonts w:ascii="Times New Roman" w:hAnsi="Times New Roman"/>
          <w:i w:val="0"/>
        </w:rPr>
        <w:t>I am Shohei KIMURA, representative of the bitBuyer Project and the holder of the Facebook account identified above. I currently pay for Meta Verified Plus. My identity has been verified by Meta, and Meta has accepted recurring payment for an enhanced verification and support service. Those facts make unexplained enforcement, contradictory account states, silent restoration, delayed publication, abnormal distribution data, and failure of the paid support pathway especially serious.</w:t>
      </w:r>
    </w:p>
    <w:p>
      <w:pPr>
        <w:spacing w:after="100" w:line="259" w:lineRule="auto"/>
      </w:pPr>
      <w:r>
        <w:rPr>
          <w:rFonts w:ascii="Times New Roman" w:hAnsi="Times New Roman"/>
          <w:i w:val="0"/>
        </w:rPr>
        <w:t>Meta must confirm my account’s present status in every relevant system, including whether any residual enforcement marker, elevated-risk flag, integrity hold, spam classification, cybersecurity label, distribution limitation, support-entitlement defect, or hidden restriction remains active or retained in historical systems.</w:t>
      </w:r>
    </w:p>
    <w:p>
      <w:pPr>
        <w:pStyle w:val="Heading1"/>
        <w:keepNext/>
      </w:pPr>
      <w:r>
        <w:rPr>
          <w:rFonts w:ascii="Times New Roman" w:hAnsi="Times New Roman"/>
        </w:rPr>
        <w:t>3. Factual Chronology</w:t>
      </w:r>
    </w:p>
    <w:p>
      <w:pPr>
        <w:pStyle w:val="Heading2"/>
        <w:keepNext/>
      </w:pPr>
      <w:r>
        <w:rPr>
          <w:rFonts w:ascii="Times New Roman" w:hAnsi="Times New Roman"/>
        </w:rPr>
        <w:t>3.1 Wrongful “Permanent Suspension” on July 23, 2025</w:t>
      </w:r>
    </w:p>
    <w:p>
      <w:pPr>
        <w:spacing w:after="100" w:line="259" w:lineRule="auto"/>
      </w:pPr>
      <w:r>
        <w:rPr>
          <w:rFonts w:ascii="Times New Roman" w:hAnsi="Times New Roman"/>
          <w:i w:val="0"/>
        </w:rPr>
        <w:t>On July 23, 2025 (Japan Standard Time), Meta permanently suspended my Facebook account. The account interface stated, in substance, that Meta had reviewed the account, found that it continued to violate Community Standards concerning cybersecurity, and would not permit another review.</w:t>
      </w:r>
    </w:p>
    <w:p>
      <w:pPr>
        <w:spacing w:after="100" w:line="259" w:lineRule="auto"/>
      </w:pPr>
      <w:r>
        <w:rPr>
          <w:rFonts w:ascii="Times New Roman" w:hAnsi="Times New Roman"/>
          <w:i w:val="0"/>
        </w:rPr>
        <w:t>I had not engaged in conduct that constituted a cybersecurity threat or justified permanent suspension. The appeal mechanism made available to me was not a meaningful opportunity to answer a specific cybersecurity allegation. It was effectively limited to identity verification. This mismatch created a fundamental contradiction: Meta asserted a cybersecurity violation while providing a process centered on confirming identity rather than identifying or adjudicating the alleged conduct.</w:t>
      </w:r>
    </w:p>
    <w:p>
      <w:pPr>
        <w:spacing w:after="100" w:line="259" w:lineRule="auto"/>
      </w:pPr>
      <w:r>
        <w:rPr>
          <w:rFonts w:ascii="Times New Roman" w:hAnsi="Times New Roman"/>
          <w:i w:val="0"/>
        </w:rPr>
        <w:t>I sent Meta a formal protest demanding review by a senior officer, written disclosure of the specific grounds for suspension, and restoration of the account. Meta did not provide a complete explanation.</w:t>
      </w:r>
    </w:p>
    <w:p>
      <w:pPr>
        <w:pStyle w:val="Heading2"/>
        <w:keepNext/>
      </w:pPr>
      <w:r>
        <w:rPr>
          <w:rFonts w:ascii="Times New Roman" w:hAnsi="Times New Roman"/>
        </w:rPr>
        <w:t>3.2 Silent Restoration in Early September 2025</w:t>
      </w:r>
    </w:p>
    <w:p>
      <w:pPr>
        <w:spacing w:after="100" w:line="259" w:lineRule="auto"/>
      </w:pPr>
      <w:r>
        <w:rPr>
          <w:rFonts w:ascii="Times New Roman" w:hAnsi="Times New Roman"/>
          <w:i w:val="0"/>
        </w:rPr>
        <w:t>In early September 2025, the account was restored without prior notice, a correction notice, an apology, an explanation of the original decision, an explanation of the restoration decision, identification of the responsible system or reviewer, or any statement describing measures taken to prevent recurrence.</w:t>
      </w:r>
    </w:p>
    <w:p>
      <w:pPr>
        <w:spacing w:after="100" w:line="259" w:lineRule="auto"/>
      </w:pPr>
      <w:r>
        <w:rPr>
          <w:rFonts w:ascii="Times New Roman" w:hAnsi="Times New Roman"/>
          <w:i w:val="0"/>
        </w:rPr>
        <w:t>The restoration itself is evidence that the supposedly permanent state was later reversed. Yet Meta did not state whether the original suspension had been erroneous, whether a third-party report had been false, whether an automated system had misclassified the account, whether a human reviewer had corrected the result, or whether the restoration occurred through a bulk or systemic remediation process. Meta must explain this silent reversal precisely.</w:t>
      </w:r>
    </w:p>
    <w:p>
      <w:pPr>
        <w:pStyle w:val="Heading2"/>
        <w:keepNext/>
      </w:pPr>
      <w:r>
        <w:rPr>
          <w:rFonts w:ascii="Times New Roman" w:hAnsi="Times New Roman"/>
        </w:rPr>
        <w:t>3.3 July 19, 2026 Publication Sequence and Restriction</w:t>
      </w:r>
    </w:p>
    <w:p>
      <w:pPr>
        <w:spacing w:after="100" w:line="259" w:lineRule="auto"/>
      </w:pPr>
      <w:r>
        <w:rPr>
          <w:rFonts w:ascii="Times New Roman" w:hAnsi="Times New Roman"/>
          <w:i w:val="0"/>
        </w:rPr>
        <w:t>On July 19, 2026, approaching the first anniversary of the wrongful suspension, I republished records concerning the event. The sequence included a Homo Deus commentary post linking to the protest-letter PDF preserved on GitHub; reshared photo-card posts carrying the same URL; a reshared Reel containing four iPhone screenshots from the wrongful suspension; and the bitBuyer Project’s official protest statement reshared in Japanese, English, and Spanish.</w:t>
      </w:r>
    </w:p>
    <w:p>
      <w:pPr>
        <w:spacing w:after="100" w:line="259" w:lineRule="auto"/>
      </w:pPr>
      <w:r>
        <w:rPr>
          <w:rFonts w:ascii="Times New Roman" w:hAnsi="Times New Roman"/>
          <w:i w:val="0"/>
        </w:rPr>
        <w:t>Approximately one hour after the final group of posts, Facebook in a browser displayed a generic message stating that the account was temporarily unavailable due to a site problem and was expected to recover. The message later changed to a more specific restriction stating that the feature had been temporarily blocked because it was being used too quickly.</w:t>
      </w:r>
    </w:p>
    <w:p>
      <w:pPr>
        <w:spacing w:after="100" w:line="259" w:lineRule="auto"/>
      </w:pPr>
      <w:r>
        <w:rPr>
          <w:rFonts w:ascii="Times New Roman" w:hAnsi="Times New Roman"/>
          <w:i w:val="0"/>
        </w:rPr>
        <w:t>The restriction occurred at approximately 18 posts, which was three-quarters of the first 24-post set but only 37.5 percent of a normal 48-post operating pattern that my account has previously completed together with one scheduled Reel. Accordingly, a simple explanation based only on ordinary posting volume or ordinary posting speed is not consistent with my established account history.</w:t>
      </w:r>
    </w:p>
    <w:p>
      <w:pPr>
        <w:pStyle w:val="Heading2"/>
        <w:keepNext/>
      </w:pPr>
      <w:r>
        <w:rPr>
          <w:rFonts w:ascii="Times New Roman" w:hAnsi="Times New Roman"/>
        </w:rPr>
        <w:t>3.4 Browser Restriction, Mobile Availability, and Synchronized Screenshot Posting</w:t>
      </w:r>
    </w:p>
    <w:p>
      <w:pPr>
        <w:spacing w:after="100" w:line="259" w:lineRule="auto"/>
      </w:pPr>
      <w:r>
        <w:rPr>
          <w:rFonts w:ascii="Times New Roman" w:hAnsi="Times New Roman"/>
          <w:i w:val="0"/>
        </w:rPr>
        <w:t>During the restriction, the Facebook iPhone application remained usable at the interface level. I synced to my iPhone the screenshot showing that Facebook was unavailable in the browser and posted that screenshot to Facebook through the Facebook application, which was still operating normally. This demonstrated that different access surfaces were presenting different operational states for the same account at the same time.</w:t>
      </w:r>
    </w:p>
    <w:p>
      <w:pPr>
        <w:pStyle w:val="Heading2"/>
        <w:keepNext/>
      </w:pPr>
      <w:r>
        <w:rPr>
          <w:rFonts w:ascii="Times New Roman" w:hAnsi="Times New Roman"/>
        </w:rPr>
        <w:t>3.5 Zero-View Insight Anomaly</w:t>
      </w:r>
    </w:p>
    <w:p>
      <w:pPr>
        <w:spacing w:after="100" w:line="259" w:lineRule="auto"/>
      </w:pPr>
      <w:r>
        <w:rPr>
          <w:rFonts w:ascii="Times New Roman" w:hAnsi="Times New Roman"/>
          <w:i w:val="0"/>
        </w:rPr>
        <w:t>Approximately 50 minutes after the screenshot post was published, its insights displayed zero views. Given the ordinary initial reach of my account, this was highly anomalous. The post was visible to me and was not shown as deleted, yet the reported view count remained zero. Meta must identify whether the post was held from distribution, excluded from feeds or recommendations, placed in review, subject to an integrity or abuse hold, published only to the author, affected by an analytics-pipeline error, or placed in another nonstandard state.</w:t>
      </w:r>
    </w:p>
    <w:p>
      <w:pPr>
        <w:pStyle w:val="Heading2"/>
        <w:keepNext/>
      </w:pPr>
      <w:r>
        <w:rPr>
          <w:rFonts w:ascii="Times New Roman" w:hAnsi="Times New Roman"/>
        </w:rPr>
        <w:t>3.6 Meta Verified Plus Support Failure</w:t>
      </w:r>
    </w:p>
    <w:p>
      <w:pPr>
        <w:spacing w:after="100" w:line="259" w:lineRule="auto"/>
      </w:pPr>
      <w:r>
        <w:rPr>
          <w:rFonts w:ascii="Times New Roman" w:hAnsi="Times New Roman"/>
          <w:i w:val="0"/>
        </w:rPr>
        <w:t>I attempted to report the incident through the live-support function included with my Meta Verified Plus subscription. When I tapped “Get Support,” the screen closed instead of opening the support channel. The billing and subscription systems remained available, but the paid support entry point failed at the moment assistance was required. Meta must explain whether this resulted from an account-specific entitlement state, application defect, support-surface restriction, crash, feature flag, temporary outage, or another cause.</w:t>
      </w:r>
    </w:p>
    <w:p>
      <w:pPr>
        <w:pStyle w:val="Heading2"/>
        <w:keepNext/>
      </w:pPr>
      <w:r>
        <w:rPr>
          <w:rFonts w:ascii="Times New Roman" w:hAnsi="Times New Roman"/>
        </w:rPr>
        <w:t>3.7 Scheduled Reel Delayed Until the Exact Time of Browser Recovery</w:t>
      </w:r>
    </w:p>
    <w:p>
      <w:pPr>
        <w:spacing w:after="100" w:line="259" w:lineRule="auto"/>
      </w:pPr>
      <w:r>
        <w:rPr>
          <w:rFonts w:ascii="Times New Roman" w:hAnsi="Times New Roman"/>
          <w:i w:val="0"/>
        </w:rPr>
        <w:t>A separate Reel had been scheduled on the previous day for automatic publication at 6:00 p.m. on July 19, 2026. It did not publish at 6:00 p.m. The browser became available again at 6:23 p.m., and the delayed scheduled Reel was published at the same time, 6:23 p.m.</w:t>
      </w:r>
    </w:p>
    <w:p>
      <w:pPr>
        <w:spacing w:after="100" w:line="259" w:lineRule="auto"/>
      </w:pPr>
      <w:r>
        <w:rPr>
          <w:rFonts w:ascii="Times New Roman" w:hAnsi="Times New Roman"/>
          <w:i w:val="0"/>
        </w:rPr>
        <w:t>From the first observed restriction until recovery, the observed restriction period was approximately one hour and twenty-three minutes. The identical recovery and publication time strongly indicates that the incident was not limited to a browser display problem. At minimum, the scheduled-publication pipeline was also affected by a shared account, permission, integrity, or enforcement state. Meta must disclose the precise relationship between the browser restriction and the delayed scheduled Reel.</w:t>
      </w:r>
    </w:p>
    <w:p>
      <w:pPr>
        <w:pStyle w:val="Heading1"/>
        <w:keepNext/>
      </w:pPr>
      <w:r>
        <w:rPr>
          <w:rFonts w:ascii="Times New Roman" w:hAnsi="Times New Roman"/>
        </w:rPr>
        <w:t>4. Contradictions That Meta Must Resolve</w:t>
      </w:r>
    </w:p>
    <w:p>
      <w:pPr>
        <w:spacing w:after="100" w:line="259" w:lineRule="auto"/>
        <w:ind w:left="259" w:hanging="259"/>
      </w:pPr>
      <w:r>
        <w:rPr>
          <w:rFonts w:ascii="Times New Roman" w:hAnsi="Times New Roman"/>
          <w:b/>
        </w:rPr>
        <w:t xml:space="preserve">1. Cybersecurity allegation versus identity-only process: </w:t>
      </w:r>
      <w:r>
        <w:rPr>
          <w:rFonts w:ascii="Times New Roman" w:hAnsi="Times New Roman"/>
        </w:rPr>
        <w:t>Why did Meta state that the account violated cybersecurity standards while providing an appeal path that did not identify the alleged conduct and was effectively limited to identity verification?</w:t>
      </w:r>
    </w:p>
    <w:p>
      <w:pPr>
        <w:spacing w:after="100" w:line="259" w:lineRule="auto"/>
        <w:ind w:left="259" w:hanging="259"/>
      </w:pPr>
      <w:r>
        <w:rPr>
          <w:rFonts w:ascii="Times New Roman" w:hAnsi="Times New Roman"/>
          <w:b/>
        </w:rPr>
        <w:t xml:space="preserve">2. Permanent suspension versus silent restoration: </w:t>
      </w:r>
      <w:r>
        <w:rPr>
          <w:rFonts w:ascii="Times New Roman" w:hAnsi="Times New Roman"/>
        </w:rPr>
        <w:t>What exact event, review, system decision, or remediation changed the account from permanently suspended to restored, and why was no correction or explanation sent?</w:t>
      </w:r>
    </w:p>
    <w:p>
      <w:pPr>
        <w:spacing w:after="100" w:line="259" w:lineRule="auto"/>
        <w:ind w:left="259" w:hanging="259"/>
      </w:pPr>
      <w:r>
        <w:rPr>
          <w:rFonts w:ascii="Times New Roman" w:hAnsi="Times New Roman"/>
          <w:b/>
        </w:rPr>
        <w:t xml:space="preserve">3. Normal operating history versus “too quickly” restriction: </w:t>
      </w:r>
      <w:r>
        <w:rPr>
          <w:rFonts w:ascii="Times New Roman" w:hAnsi="Times New Roman"/>
        </w:rPr>
        <w:t>Why did the restriction occur near 18 posts when the same account has previously completed approximately 48 posts and one scheduled Reel within its ordinary operating pattern?</w:t>
      </w:r>
    </w:p>
    <w:p>
      <w:pPr>
        <w:spacing w:after="100" w:line="259" w:lineRule="auto"/>
        <w:ind w:left="259" w:hanging="259"/>
      </w:pPr>
      <w:r>
        <w:rPr>
          <w:rFonts w:ascii="Times New Roman" w:hAnsi="Times New Roman"/>
          <w:b/>
        </w:rPr>
        <w:t xml:space="preserve">4. Browser restriction versus mobile-interface availability: </w:t>
      </w:r>
      <w:r>
        <w:rPr>
          <w:rFonts w:ascii="Times New Roman" w:hAnsi="Times New Roman"/>
        </w:rPr>
        <w:t>Which account permissions, surfaces, sessions, and backend services were restricted, and why did the iPhone application remain accessible while browser access was blocked?</w:t>
      </w:r>
    </w:p>
    <w:p>
      <w:pPr>
        <w:spacing w:after="100" w:line="259" w:lineRule="auto"/>
        <w:ind w:left="259" w:hanging="259"/>
      </w:pPr>
      <w:r>
        <w:rPr>
          <w:rFonts w:ascii="Times New Roman" w:hAnsi="Times New Roman"/>
          <w:b/>
        </w:rPr>
        <w:t xml:space="preserve">5. User-speed explanation versus delayed automated publication: </w:t>
      </w:r>
      <w:r>
        <w:rPr>
          <w:rFonts w:ascii="Times New Roman" w:hAnsi="Times New Roman"/>
        </w:rPr>
        <w:t>Why was a Reel scheduled the previous day for automatic publication at 6:00 p.m. delayed until 6:23 p.m. if the stated reason concerned the user operating a feature too quickly?</w:t>
      </w:r>
    </w:p>
    <w:p>
      <w:pPr>
        <w:spacing w:after="100" w:line="259" w:lineRule="auto"/>
        <w:ind w:left="259" w:hanging="259"/>
      </w:pPr>
      <w:r>
        <w:rPr>
          <w:rFonts w:ascii="Times New Roman" w:hAnsi="Times New Roman"/>
          <w:b/>
        </w:rPr>
        <w:t xml:space="preserve">6. Existing post versus zero views: </w:t>
      </w:r>
      <w:r>
        <w:rPr>
          <w:rFonts w:ascii="Times New Roman" w:hAnsi="Times New Roman"/>
        </w:rPr>
        <w:t>What exact distribution, visibility, eligibility, review, or analytics state caused the screenshot post to show zero views approximately 50 minutes after publication?</w:t>
      </w:r>
    </w:p>
    <w:p>
      <w:pPr>
        <w:spacing w:after="100" w:line="259" w:lineRule="auto"/>
        <w:ind w:left="259" w:hanging="259"/>
      </w:pPr>
      <w:r>
        <w:rPr>
          <w:rFonts w:ascii="Times New Roman" w:hAnsi="Times New Roman"/>
          <w:b/>
        </w:rPr>
        <w:t xml:space="preserve">7. Paid support entitlement versus closing support screen: </w:t>
      </w:r>
      <w:r>
        <w:rPr>
          <w:rFonts w:ascii="Times New Roman" w:hAnsi="Times New Roman"/>
        </w:rPr>
        <w:t>Why did the Meta Verified Plus support screen close when “Get Support” was tapped, and was that failure related to the account restriction or another internal state?</w:t>
      </w:r>
    </w:p>
    <w:p>
      <w:pPr>
        <w:spacing w:after="100" w:line="259" w:lineRule="auto"/>
        <w:ind w:left="259" w:hanging="259"/>
      </w:pPr>
      <w:r>
        <w:rPr>
          <w:rFonts w:ascii="Times New Roman" w:hAnsi="Times New Roman"/>
          <w:b/>
        </w:rPr>
        <w:t xml:space="preserve">8. Billing continuity versus support discontinuity: </w:t>
      </w:r>
      <w:r>
        <w:rPr>
          <w:rFonts w:ascii="Times New Roman" w:hAnsi="Times New Roman"/>
        </w:rPr>
        <w:t>Why did the paid subscription remain active and billable while the associated support pathway failed?</w:t>
      </w:r>
    </w:p>
    <w:p>
      <w:pPr>
        <w:pStyle w:val="Heading1"/>
        <w:keepNext/>
      </w:pPr>
      <w:r>
        <w:rPr>
          <w:rFonts w:ascii="Times New Roman" w:hAnsi="Times New Roman"/>
        </w:rPr>
        <w:t>5. Required Complete Explanation</w:t>
      </w:r>
    </w:p>
    <w:p>
      <w:pPr>
        <w:spacing w:after="100" w:line="259" w:lineRule="auto"/>
      </w:pPr>
      <w:r>
        <w:rPr>
          <w:rFonts w:ascii="Times New Roman" w:hAnsi="Times New Roman"/>
          <w:i w:val="0"/>
        </w:rPr>
        <w:t>Meta must provide a single, coherent explanation addressing all events and contradictions above. A generic statement that Meta continually improves its systems, protects users, or cannot disclose internal processes will not be responsive. The explanation must be sufficiently specific to permit an informed person to understand the actual cause, scope, duration, and consequences of each action.</w:t>
      </w:r>
    </w:p>
    <w:p>
      <w:pPr>
        <w:spacing w:after="100" w:line="259" w:lineRule="auto"/>
      </w:pPr>
      <w:r>
        <w:rPr>
          <w:rFonts w:ascii="Times New Roman" w:hAnsi="Times New Roman"/>
          <w:i w:val="0"/>
        </w:rPr>
        <w:t>For every enforcement action, restriction, restoration, hold, delayed publication, distribution anomaly, support failure, and account-state transition, Meta must identify:</w:t>
      </w:r>
    </w:p>
    <w:p>
      <w:pPr>
        <w:pStyle w:val="ListBullet"/>
        <w:spacing w:after="60" w:line="254" w:lineRule="auto"/>
      </w:pPr>
      <w:r>
        <w:rPr>
          <w:rFonts w:ascii="Times New Roman" w:hAnsi="Times New Roman"/>
        </w:rPr>
        <w:t>the exact start and end time in both Coordinated Universal Time (UTC) and Japan Standard Time (JST);</w:t>
      </w:r>
    </w:p>
    <w:p>
      <w:pPr>
        <w:pStyle w:val="ListBullet"/>
        <w:spacing w:after="60" w:line="254" w:lineRule="auto"/>
      </w:pPr>
      <w:r>
        <w:rPr>
          <w:rFonts w:ascii="Times New Roman" w:hAnsi="Times New Roman"/>
        </w:rPr>
        <w:t>the initiating system, product surface, rule, model, workflow, employee, contractor, or external report;</w:t>
      </w:r>
    </w:p>
    <w:p>
      <w:pPr>
        <w:pStyle w:val="ListBullet"/>
        <w:spacing w:after="60" w:line="254" w:lineRule="auto"/>
      </w:pPr>
      <w:r>
        <w:rPr>
          <w:rFonts w:ascii="Times New Roman" w:hAnsi="Times New Roman"/>
        </w:rPr>
        <w:t>the applicable policy name, policy version, rule category, and account-specific factual basis;</w:t>
      </w:r>
    </w:p>
    <w:p>
      <w:pPr>
        <w:pStyle w:val="ListBullet"/>
        <w:spacing w:after="60" w:line="254" w:lineRule="auto"/>
      </w:pPr>
      <w:r>
        <w:rPr>
          <w:rFonts w:ascii="Times New Roman" w:hAnsi="Times New Roman"/>
        </w:rPr>
        <w:t>whether the action was automated, human-initiated, human-confirmed, human-overridden, or generated by a combined workflow;</w:t>
      </w:r>
    </w:p>
    <w:p>
      <w:pPr>
        <w:pStyle w:val="ListBullet"/>
        <w:spacing w:after="60" w:line="254" w:lineRule="auto"/>
      </w:pPr>
      <w:r>
        <w:rPr>
          <w:rFonts w:ascii="Times New Roman" w:hAnsi="Times New Roman"/>
        </w:rPr>
        <w:t>the event ID, case ID, enforcement ID, review ID, appeal ID, support ID, or other internal identifier;</w:t>
      </w:r>
    </w:p>
    <w:p>
      <w:pPr>
        <w:pStyle w:val="ListBullet"/>
        <w:spacing w:after="60" w:line="254" w:lineRule="auto"/>
      </w:pPr>
      <w:r>
        <w:rPr>
          <w:rFonts w:ascii="Times New Roman" w:hAnsi="Times New Roman"/>
        </w:rPr>
        <w:t>the account status before, during, and after the event;</w:t>
      </w:r>
    </w:p>
    <w:p>
      <w:pPr>
        <w:pStyle w:val="ListBullet"/>
        <w:spacing w:after="60" w:line="254" w:lineRule="auto"/>
      </w:pPr>
      <w:r>
        <w:rPr>
          <w:rFonts w:ascii="Times New Roman" w:hAnsi="Times New Roman"/>
        </w:rPr>
        <w:t>the user-facing notice that was generated, whether it was actually delivered, and any reason it was suppressed or omitted;</w:t>
      </w:r>
    </w:p>
    <w:p>
      <w:pPr>
        <w:pStyle w:val="ListBullet"/>
        <w:spacing w:after="60" w:line="254" w:lineRule="auto"/>
      </w:pPr>
      <w:r>
        <w:rPr>
          <w:rFonts w:ascii="Times New Roman" w:hAnsi="Times New Roman"/>
        </w:rPr>
        <w:t>the specific corrective action taken and the reason it was taken;</w:t>
      </w:r>
    </w:p>
    <w:p>
      <w:pPr>
        <w:pStyle w:val="ListBullet"/>
        <w:spacing w:after="60" w:line="254" w:lineRule="auto"/>
      </w:pPr>
      <w:r>
        <w:rPr>
          <w:rFonts w:ascii="Times New Roman" w:hAnsi="Times New Roman"/>
        </w:rPr>
        <w:t>whether inaccurate data, labels, or flags remain stored after correction; and</w:t>
      </w:r>
    </w:p>
    <w:p>
      <w:pPr>
        <w:pStyle w:val="ListBullet"/>
        <w:spacing w:after="60" w:line="254" w:lineRule="auto"/>
      </w:pPr>
      <w:r>
        <w:rPr>
          <w:rFonts w:ascii="Times New Roman" w:hAnsi="Times New Roman"/>
        </w:rPr>
        <w:t>the measures adopted to prevent the same false positive, silent restoration, unexplained restriction, publication delay, distribution anomaly, or support failure from recurring.</w:t>
      </w:r>
    </w:p>
    <w:p>
      <w:pPr>
        <w:pStyle w:val="Heading1"/>
        <w:keepNext/>
      </w:pPr>
      <w:r>
        <w:rPr>
          <w:rFonts w:ascii="Times New Roman" w:hAnsi="Times New Roman"/>
        </w:rPr>
        <w:t>6. Demand for Full Disclosure of Account-Specific Internal System Information</w:t>
      </w:r>
    </w:p>
    <w:p>
      <w:pPr>
        <w:spacing w:after="100" w:line="259" w:lineRule="auto"/>
      </w:pPr>
      <w:r>
        <w:rPr>
          <w:rFonts w:ascii="Times New Roman" w:hAnsi="Times New Roman"/>
          <w:i w:val="0"/>
        </w:rPr>
        <w:t>The requested production period is July 1, 2025 through the date of Meta’s complete response, together with any earlier records, profile features, reports, or historical signals that were relied upon during that period. Meta must disclose the following categories in full, subject only to legally required redaction of unrelated third-party personal data. Any redaction or withholding must be identified in a detailed withholding log stating the category withheld, date, custodian or system, reason, and asserted legal basis.</w:t>
      </w:r>
    </w:p>
    <w:p>
      <w:pPr>
        <w:spacing w:after="100" w:line="259" w:lineRule="auto"/>
        <w:ind w:left="259" w:hanging="259"/>
      </w:pPr>
      <w:r>
        <w:rPr>
          <w:rFonts w:ascii="Times New Roman" w:hAnsi="Times New Roman"/>
          <w:b/>
        </w:rPr>
        <w:t xml:space="preserve">1. Account-state history: </w:t>
      </w:r>
      <w:r>
        <w:rPr>
          <w:rFonts w:ascii="Times New Roman" w:hAnsi="Times New Roman"/>
        </w:rPr>
        <w:t>Every account status, sub-status, integrity state, enforcement state, risk state, trust tier, support-entitlement state, distribution state, and feature-access state, including all transitions and timestamps.</w:t>
      </w:r>
    </w:p>
    <w:p>
      <w:pPr>
        <w:spacing w:after="100" w:line="259" w:lineRule="auto"/>
        <w:ind w:left="259" w:hanging="259"/>
      </w:pPr>
      <w:r>
        <w:rPr>
          <w:rFonts w:ascii="Times New Roman" w:hAnsi="Times New Roman"/>
          <w:b/>
        </w:rPr>
        <w:t xml:space="preserve">2. Enforcement and review records: </w:t>
      </w:r>
      <w:r>
        <w:rPr>
          <w:rFonts w:ascii="Times New Roman" w:hAnsi="Times New Roman"/>
        </w:rPr>
        <w:t>All case files, event records, case IDs, enforcement IDs, appeal records, review records, escalation records, restoration records, internal notes, reviewer decisions, reason codes, policy mappings, and disposition codes.</w:t>
      </w:r>
    </w:p>
    <w:p>
      <w:pPr>
        <w:spacing w:after="100" w:line="259" w:lineRule="auto"/>
        <w:ind w:left="259" w:hanging="259"/>
      </w:pPr>
      <w:r>
        <w:rPr>
          <w:rFonts w:ascii="Times New Roman" w:hAnsi="Times New Roman"/>
          <w:b/>
        </w:rPr>
        <w:t xml:space="preserve">3. Automated classification outputs: </w:t>
      </w:r>
      <w:r>
        <w:rPr>
          <w:rFonts w:ascii="Times New Roman" w:hAnsi="Times New Roman"/>
        </w:rPr>
        <w:t>All account-specific labels, risk scores, confidence scores, spam scores, automation-likelihood scores, cybersecurity classifications, impersonation classifications, integrity labels, behavior classifications, anomaly scores, link-reputation results, and false-positive indicators.</w:t>
      </w:r>
    </w:p>
    <w:p>
      <w:pPr>
        <w:spacing w:after="100" w:line="259" w:lineRule="auto"/>
        <w:ind w:left="259" w:hanging="259"/>
      </w:pPr>
      <w:r>
        <w:rPr>
          <w:rFonts w:ascii="Times New Roman" w:hAnsi="Times New Roman"/>
          <w:b/>
        </w:rPr>
        <w:t xml:space="preserve">4. Rule and threshold outcomes: </w:t>
      </w:r>
      <w:r>
        <w:rPr>
          <w:rFonts w:ascii="Times New Roman" w:hAnsi="Times New Roman"/>
        </w:rPr>
        <w:t>The names, versions, categories, and account-specific outcomes of every rule, threshold, rate limit, velocity limit, abuse detector, integrity detector, or policy workflow that evaluated the account. Meta need not disclose source code or model weights, but must disclose the account-specific trigger, threshold category, measured value, and decision outcome.</w:t>
      </w:r>
    </w:p>
    <w:p>
      <w:pPr>
        <w:spacing w:after="100" w:line="259" w:lineRule="auto"/>
        <w:ind w:left="259" w:hanging="259"/>
      </w:pPr>
      <w:r>
        <w:rPr>
          <w:rFonts w:ascii="Times New Roman" w:hAnsi="Times New Roman"/>
          <w:b/>
        </w:rPr>
        <w:t xml:space="preserve">5. Third-party reports and complaints: </w:t>
      </w:r>
      <w:r>
        <w:rPr>
          <w:rFonts w:ascii="Times New Roman" w:hAnsi="Times New Roman"/>
        </w:rPr>
        <w:t>All reports, complaints, claims, impersonation reports, cybersecurity reports, copyright reports, safety reports, or other submissions concerning the account, with third-party identifying information redacted where legally necessary. The production must include date, category, credibility assessment, disposition, and whether the report influenced any decision.</w:t>
      </w:r>
    </w:p>
    <w:p>
      <w:pPr>
        <w:spacing w:after="100" w:line="259" w:lineRule="auto"/>
        <w:ind w:left="259" w:hanging="259"/>
      </w:pPr>
      <w:r>
        <w:rPr>
          <w:rFonts w:ascii="Times New Roman" w:hAnsi="Times New Roman"/>
          <w:b/>
        </w:rPr>
        <w:t xml:space="preserve">6. Identity-verification records: </w:t>
      </w:r>
      <w:r>
        <w:rPr>
          <w:rFonts w:ascii="Times New Roman" w:hAnsi="Times New Roman"/>
        </w:rPr>
        <w:t>All records relating to identity checks, selfie-video checks, document checks, Meta Verified verification, successful or failed verification results, tokens, status codes, review times, and the connection between identity verification and enforcement decisions.</w:t>
      </w:r>
    </w:p>
    <w:p>
      <w:pPr>
        <w:spacing w:after="100" w:line="259" w:lineRule="auto"/>
        <w:ind w:left="259" w:hanging="259"/>
      </w:pPr>
      <w:r>
        <w:rPr>
          <w:rFonts w:ascii="Times New Roman" w:hAnsi="Times New Roman"/>
          <w:b/>
        </w:rPr>
        <w:t xml:space="preserve">7. July 23, 2025 suspension data: </w:t>
      </w:r>
      <w:r>
        <w:rPr>
          <w:rFonts w:ascii="Times New Roman" w:hAnsi="Times New Roman"/>
        </w:rPr>
        <w:t>All inputs, outputs, policies, evidence, system events, notices, human actions, review actions, and account-state changes that produced the permanent suspension and the statement concerning cybersecurity.</w:t>
      </w:r>
    </w:p>
    <w:p>
      <w:pPr>
        <w:spacing w:after="100" w:line="259" w:lineRule="auto"/>
        <w:ind w:left="259" w:hanging="259"/>
      </w:pPr>
      <w:r>
        <w:rPr>
          <w:rFonts w:ascii="Times New Roman" w:hAnsi="Times New Roman"/>
          <w:b/>
        </w:rPr>
        <w:t xml:space="preserve">8. Early September 2025 restoration data: </w:t>
      </w:r>
      <w:r>
        <w:rPr>
          <w:rFonts w:ascii="Times New Roman" w:hAnsi="Times New Roman"/>
        </w:rPr>
        <w:t>The precise date and time of restoration, the initiating system or person, the reason for restoration, any remediation campaign or batch process, the decision record, the responsible organization, and the reason no notice, apology, or correction was sent.</w:t>
      </w:r>
    </w:p>
    <w:p>
      <w:pPr>
        <w:spacing w:after="100" w:line="259" w:lineRule="auto"/>
        <w:ind w:left="259" w:hanging="259"/>
      </w:pPr>
      <w:r>
        <w:rPr>
          <w:rFonts w:ascii="Times New Roman" w:hAnsi="Times New Roman"/>
          <w:b/>
        </w:rPr>
        <w:t xml:space="preserve">9. July 19, 2026 restriction data: </w:t>
      </w:r>
      <w:r>
        <w:rPr>
          <w:rFonts w:ascii="Times New Roman" w:hAnsi="Times New Roman"/>
        </w:rPr>
        <w:t>The exact internal start and end time, affected features and surfaces, trigger, threshold, reason code, system event, status code, account-level hold, session-level restriction, product-surface restriction, and the basis for the “too quickly” message.</w:t>
      </w:r>
    </w:p>
    <w:p>
      <w:pPr>
        <w:spacing w:after="100" w:line="259" w:lineRule="auto"/>
        <w:ind w:left="259" w:hanging="259"/>
      </w:pPr>
      <w:r>
        <w:rPr>
          <w:rFonts w:ascii="Times New Roman" w:hAnsi="Times New Roman"/>
          <w:b/>
        </w:rPr>
        <w:t xml:space="preserve">10. Posting-history comparison: </w:t>
      </w:r>
      <w:r>
        <w:rPr>
          <w:rFonts w:ascii="Times New Roman" w:hAnsi="Times New Roman"/>
        </w:rPr>
        <w:t>The account-specific data used to determine that activity was too fast, including the time window, action count, weighting, repetition measure, content-similarity measure, URL-repetition measure, link-domain reputation, and any comparison to the account’s established historical behavior.</w:t>
      </w:r>
    </w:p>
    <w:p>
      <w:pPr>
        <w:spacing w:after="100" w:line="259" w:lineRule="auto"/>
        <w:ind w:left="259" w:hanging="259"/>
      </w:pPr>
      <w:r>
        <w:rPr>
          <w:rFonts w:ascii="Times New Roman" w:hAnsi="Times New Roman"/>
          <w:b/>
        </w:rPr>
        <w:t xml:space="preserve">11. GitHub URL and content treatment: </w:t>
      </w:r>
      <w:r>
        <w:rPr>
          <w:rFonts w:ascii="Times New Roman" w:hAnsi="Times New Roman"/>
        </w:rPr>
        <w:t>All account-specific link scans, reputation checks, domain classifications, URL classifications, content similarity results, spam or abuse labels, and enforcement consequences concerning the GitHub-hosted protest PDF and its repeated use.</w:t>
      </w:r>
    </w:p>
    <w:p>
      <w:pPr>
        <w:spacing w:after="100" w:line="259" w:lineRule="auto"/>
        <w:ind w:left="259" w:hanging="259"/>
      </w:pPr>
      <w:r>
        <w:rPr>
          <w:rFonts w:ascii="Times New Roman" w:hAnsi="Times New Roman"/>
          <w:b/>
        </w:rPr>
        <w:t xml:space="preserve">12. Browser and session records: </w:t>
      </w:r>
      <w:r>
        <w:rPr>
          <w:rFonts w:ascii="Times New Roman" w:hAnsi="Times New Roman"/>
        </w:rPr>
        <w:t>All browser-session status codes, account locks, cookies or authentication-state errors, session invalidations, web-surface access decisions, device/session risk results, and logs explaining the generic site-error message and subsequent feature-block message.</w:t>
      </w:r>
    </w:p>
    <w:p>
      <w:pPr>
        <w:spacing w:after="100" w:line="259" w:lineRule="auto"/>
        <w:ind w:left="259" w:hanging="259"/>
      </w:pPr>
      <w:r>
        <w:rPr>
          <w:rFonts w:ascii="Times New Roman" w:hAnsi="Times New Roman"/>
          <w:b/>
        </w:rPr>
        <w:t xml:space="preserve">13. Mobile application records: </w:t>
      </w:r>
      <w:r>
        <w:rPr>
          <w:rFonts w:ascii="Times New Roman" w:hAnsi="Times New Roman"/>
        </w:rPr>
        <w:t>All account-specific iPhone application state records, feature availability decisions, API responses, posting permissions, and reasons the application interface remained usable while browser access and scheduled publication were affected.</w:t>
      </w:r>
    </w:p>
    <w:p>
      <w:pPr>
        <w:spacing w:after="100" w:line="259" w:lineRule="auto"/>
        <w:ind w:left="259" w:hanging="259"/>
      </w:pPr>
      <w:r>
        <w:rPr>
          <w:rFonts w:ascii="Times New Roman" w:hAnsi="Times New Roman"/>
          <w:b/>
        </w:rPr>
        <w:t xml:space="preserve">14. Scheduled Reel pipeline records: </w:t>
      </w:r>
      <w:r>
        <w:rPr>
          <w:rFonts w:ascii="Times New Roman" w:hAnsi="Times New Roman"/>
        </w:rPr>
        <w:t>The scheduled Reel’s creation time, scheduled time, queue-entry time, expected dispatch time, actual dispatch time, hold status, hold reason, retry events, queue status codes, release event, and the exact reason publication occurred at 6:23 p.m. rather than 6:00 p.m.</w:t>
      </w:r>
    </w:p>
    <w:p>
      <w:pPr>
        <w:spacing w:after="100" w:line="259" w:lineRule="auto"/>
        <w:ind w:left="259" w:hanging="259"/>
      </w:pPr>
      <w:r>
        <w:rPr>
          <w:rFonts w:ascii="Times New Roman" w:hAnsi="Times New Roman"/>
          <w:b/>
        </w:rPr>
        <w:t xml:space="preserve">15. Distribution and visibility records: </w:t>
      </w:r>
      <w:r>
        <w:rPr>
          <w:rFonts w:ascii="Times New Roman" w:hAnsi="Times New Roman"/>
        </w:rPr>
        <w:t>All feed eligibility, recommendation eligibility, audience eligibility, distribution holds, review holds, de-ranking states, integrity filters, visibility scopes, reach limitations, and publication-completion states applied to the screenshot post and other posts in the relevant sequence.</w:t>
      </w:r>
    </w:p>
    <w:p>
      <w:pPr>
        <w:spacing w:after="100" w:line="259" w:lineRule="auto"/>
        <w:ind w:left="259" w:hanging="259"/>
      </w:pPr>
      <w:r>
        <w:rPr>
          <w:rFonts w:ascii="Times New Roman" w:hAnsi="Times New Roman"/>
          <w:b/>
        </w:rPr>
        <w:t xml:space="preserve">16. Insights and analytics records: </w:t>
      </w:r>
      <w:r>
        <w:rPr>
          <w:rFonts w:ascii="Times New Roman" w:hAnsi="Times New Roman"/>
        </w:rPr>
        <w:t>The raw or account-specific records underlying the zero-view insight, the analytics-pipeline status, ingestion times, processing delays, errors, corrections, and whether the displayed zero represented actual distribution, delayed measurement, or another state.</w:t>
      </w:r>
    </w:p>
    <w:p>
      <w:pPr>
        <w:spacing w:after="100" w:line="259" w:lineRule="auto"/>
        <w:ind w:left="259" w:hanging="259"/>
      </w:pPr>
      <w:r>
        <w:rPr>
          <w:rFonts w:ascii="Times New Roman" w:hAnsi="Times New Roman"/>
          <w:b/>
        </w:rPr>
        <w:t xml:space="preserve">17. Meta Verified Plus support records: </w:t>
      </w:r>
      <w:r>
        <w:rPr>
          <w:rFonts w:ascii="Times New Roman" w:hAnsi="Times New Roman"/>
        </w:rPr>
        <w:t>All entitlement flags, feature flags, support-routing records, crash or error logs, API responses, session states, support-ticket creation attempts, support availability decisions, and reasons the support interface closed when “Get Support” was tapped.</w:t>
      </w:r>
    </w:p>
    <w:p>
      <w:pPr>
        <w:spacing w:after="100" w:line="259" w:lineRule="auto"/>
        <w:ind w:left="259" w:hanging="259"/>
      </w:pPr>
      <w:r>
        <w:rPr>
          <w:rFonts w:ascii="Times New Roman" w:hAnsi="Times New Roman"/>
          <w:b/>
        </w:rPr>
        <w:t xml:space="preserve">18. Human access and intervention: </w:t>
      </w:r>
      <w:r>
        <w:rPr>
          <w:rFonts w:ascii="Times New Roman" w:hAnsi="Times New Roman"/>
        </w:rPr>
        <w:t>The date, time, team, role, and purpose of every human access, review, escalation, moderation action, integrity action, legal review, privacy review, support review, or manual override affecting the account during the production period, with personal names replaced by unique role identifiers if necessary.</w:t>
      </w:r>
    </w:p>
    <w:p>
      <w:pPr>
        <w:spacing w:after="100" w:line="259" w:lineRule="auto"/>
        <w:ind w:left="259" w:hanging="259"/>
      </w:pPr>
      <w:r>
        <w:rPr>
          <w:rFonts w:ascii="Times New Roman" w:hAnsi="Times New Roman"/>
          <w:b/>
        </w:rPr>
        <w:t xml:space="preserve">19. Notifications and communications: </w:t>
      </w:r>
      <w:r>
        <w:rPr>
          <w:rFonts w:ascii="Times New Roman" w:hAnsi="Times New Roman"/>
        </w:rPr>
        <w:t>Every notice, email, in-product message, support message, review result, internal communication intended for the user, delivery status, suppression reason, and record of whether the message was generated but not delivered.</w:t>
      </w:r>
    </w:p>
    <w:p>
      <w:pPr>
        <w:spacing w:after="100" w:line="259" w:lineRule="auto"/>
        <w:ind w:left="259" w:hanging="259"/>
      </w:pPr>
      <w:r>
        <w:rPr>
          <w:rFonts w:ascii="Times New Roman" w:hAnsi="Times New Roman"/>
          <w:b/>
        </w:rPr>
        <w:t xml:space="preserve">20. Data modification and deletion: </w:t>
      </w:r>
      <w:r>
        <w:rPr>
          <w:rFonts w:ascii="Times New Roman" w:hAnsi="Times New Roman"/>
        </w:rPr>
        <w:t>All account-level data resets, deletions, rollbacks, follow-list modifications, reaction resets, relationship-data changes, integrity-state modifications, and records of any data altered or removed as a consequence of enforcement or restoration.</w:t>
      </w:r>
    </w:p>
    <w:p>
      <w:pPr>
        <w:spacing w:after="100" w:line="259" w:lineRule="auto"/>
        <w:ind w:left="259" w:hanging="259"/>
      </w:pPr>
      <w:r>
        <w:rPr>
          <w:rFonts w:ascii="Times New Roman" w:hAnsi="Times New Roman"/>
          <w:b/>
        </w:rPr>
        <w:t xml:space="preserve">21. Current residual state: </w:t>
      </w:r>
      <w:r>
        <w:rPr>
          <w:rFonts w:ascii="Times New Roman" w:hAnsi="Times New Roman"/>
        </w:rPr>
        <w:t>All currently retained historical flags, risk labels, enforcement markers, account annotations, restrictions, watch states, heightened-review states, or other records capable of influencing future enforcement, distribution, support, or product access.</w:t>
      </w:r>
    </w:p>
    <w:p>
      <w:pPr>
        <w:pStyle w:val="Heading1"/>
        <w:keepNext/>
      </w:pPr>
      <w:r>
        <w:rPr>
          <w:rFonts w:ascii="Times New Roman" w:hAnsi="Times New Roman"/>
        </w:rPr>
        <w:t>7. Required Corrections and Confirmations</w:t>
      </w:r>
    </w:p>
    <w:p>
      <w:pPr>
        <w:pStyle w:val="ListBullet"/>
        <w:spacing w:after="60" w:line="254" w:lineRule="auto"/>
      </w:pPr>
      <w:r>
        <w:rPr>
          <w:rFonts w:ascii="Times New Roman" w:hAnsi="Times New Roman"/>
        </w:rPr>
        <w:t>Remove every inaccurate cybersecurity, impersonation, spam, automation, abuse, or integrity label that is not supported by a documented factual basis.</w:t>
      </w:r>
    </w:p>
    <w:p>
      <w:pPr>
        <w:pStyle w:val="ListBullet"/>
        <w:spacing w:after="60" w:line="254" w:lineRule="auto"/>
      </w:pPr>
      <w:r>
        <w:rPr>
          <w:rFonts w:ascii="Times New Roman" w:hAnsi="Times New Roman"/>
        </w:rPr>
        <w:t>Correct the account’s internal history to state clearly where a prior enforcement decision was erroneous, reversed, or unsupported.</w:t>
      </w:r>
    </w:p>
    <w:p>
      <w:pPr>
        <w:pStyle w:val="ListBullet"/>
        <w:spacing w:after="60" w:line="254" w:lineRule="auto"/>
      </w:pPr>
      <w:r>
        <w:rPr>
          <w:rFonts w:ascii="Times New Roman" w:hAnsi="Times New Roman"/>
        </w:rPr>
        <w:t>Confirm in writing that no residual restriction, distribution limitation, elevated-risk state, hidden enforcement marker, or support-entitlement defect remains active.</w:t>
      </w:r>
    </w:p>
    <w:p>
      <w:pPr>
        <w:pStyle w:val="ListBullet"/>
        <w:spacing w:after="60" w:line="254" w:lineRule="auto"/>
      </w:pPr>
      <w:r>
        <w:rPr>
          <w:rFonts w:ascii="Times New Roman" w:hAnsi="Times New Roman"/>
        </w:rPr>
        <w:t>Confirm that the account will not be penalized merely for publishing criticism, legal correspondence, evidence, or links to preserved protest documents.</w:t>
      </w:r>
    </w:p>
    <w:p>
      <w:pPr>
        <w:pStyle w:val="ListBullet"/>
        <w:spacing w:after="60" w:line="254" w:lineRule="auto"/>
      </w:pPr>
      <w:r>
        <w:rPr>
          <w:rFonts w:ascii="Times New Roman" w:hAnsi="Times New Roman"/>
        </w:rPr>
        <w:t>Restore or correct any data, relationships, visibility, scheduled-publication status, analytics, or support access affected by erroneous enforcement or restrictions.</w:t>
      </w:r>
    </w:p>
    <w:p>
      <w:pPr>
        <w:pStyle w:val="ListBullet"/>
        <w:spacing w:after="60" w:line="254" w:lineRule="auto"/>
      </w:pPr>
      <w:r>
        <w:rPr>
          <w:rFonts w:ascii="Times New Roman" w:hAnsi="Times New Roman"/>
        </w:rPr>
        <w:t>Provide a named corporate office or accountable team for future escalation, together with a reliable case reference that will not disappear when a product surface closes.</w:t>
      </w:r>
    </w:p>
    <w:p>
      <w:pPr>
        <w:pStyle w:val="Heading1"/>
        <w:keepNext/>
      </w:pPr>
      <w:r>
        <w:rPr>
          <w:rFonts w:ascii="Times New Roman" w:hAnsi="Times New Roman"/>
        </w:rPr>
        <w:t>8. Production Format and Completeness Requirements</w:t>
      </w:r>
    </w:p>
    <w:p>
      <w:pPr>
        <w:spacing w:after="100" w:line="259" w:lineRule="auto"/>
      </w:pPr>
      <w:r>
        <w:rPr>
          <w:rFonts w:ascii="Times New Roman" w:hAnsi="Times New Roman"/>
          <w:i w:val="0"/>
        </w:rPr>
        <w:t>Meta must produce the requested information in a reasonably accessible, machine-readable form. PDF may be used for narrative explanations, but structured logs and event histories must also be provided in CSV, JSON, or another searchable format that preserves fields, timestamps, identifiers, and status values.</w:t>
      </w:r>
    </w:p>
    <w:p>
      <w:pPr>
        <w:pStyle w:val="ListBullet"/>
        <w:spacing w:after="60" w:line="254" w:lineRule="auto"/>
      </w:pPr>
      <w:r>
        <w:rPr>
          <w:rFonts w:ascii="Times New Roman" w:hAnsi="Times New Roman"/>
        </w:rPr>
        <w:t>Provide timestamps in UTC and JST, including milliseconds where retained.</w:t>
      </w:r>
    </w:p>
    <w:p>
      <w:pPr>
        <w:pStyle w:val="ListBullet"/>
        <w:spacing w:after="60" w:line="254" w:lineRule="auto"/>
      </w:pPr>
      <w:r>
        <w:rPr>
          <w:rFonts w:ascii="Times New Roman" w:hAnsi="Times New Roman"/>
        </w:rPr>
        <w:t>Define every code, abbreviation, label, score, state, and status appearing in the production.</w:t>
      </w:r>
    </w:p>
    <w:p>
      <w:pPr>
        <w:pStyle w:val="ListBullet"/>
        <w:spacing w:after="60" w:line="254" w:lineRule="auto"/>
      </w:pPr>
      <w:r>
        <w:rPr>
          <w:rFonts w:ascii="Times New Roman" w:hAnsi="Times New Roman"/>
        </w:rPr>
        <w:t>Preserve relationships among records by including event IDs, case IDs, parent-child identifiers, and source-system names.</w:t>
      </w:r>
    </w:p>
    <w:p>
      <w:pPr>
        <w:pStyle w:val="ListBullet"/>
        <w:spacing w:after="60" w:line="254" w:lineRule="auto"/>
      </w:pPr>
      <w:r>
        <w:rPr>
          <w:rFonts w:ascii="Times New Roman" w:hAnsi="Times New Roman"/>
        </w:rPr>
        <w:t>Do not replace account-specific information with generic policy summaries.</w:t>
      </w:r>
    </w:p>
    <w:p>
      <w:pPr>
        <w:pStyle w:val="ListBullet"/>
        <w:spacing w:after="60" w:line="254" w:lineRule="auto"/>
      </w:pPr>
      <w:r>
        <w:rPr>
          <w:rFonts w:ascii="Times New Roman" w:hAnsi="Times New Roman"/>
        </w:rPr>
        <w:t>If records no longer exist, identify what was deleted, when, under which retention rule, and by which system or process.</w:t>
      </w:r>
    </w:p>
    <w:p>
      <w:pPr>
        <w:pStyle w:val="ListBullet"/>
        <w:spacing w:after="60" w:line="254" w:lineRule="auto"/>
      </w:pPr>
      <w:r>
        <w:rPr>
          <w:rFonts w:ascii="Times New Roman" w:hAnsi="Times New Roman"/>
        </w:rPr>
        <w:t>If Meta contends that a requested category cannot be disclosed, provide the account-specific facts and decision outcome in plain language and produce a detailed withholding log.</w:t>
      </w:r>
    </w:p>
    <w:p>
      <w:pPr>
        <w:pStyle w:val="ListBullet"/>
        <w:spacing w:after="60" w:line="254" w:lineRule="auto"/>
      </w:pPr>
      <w:r>
        <w:rPr>
          <w:rFonts w:ascii="Times New Roman" w:hAnsi="Times New Roman"/>
        </w:rPr>
        <w:t>Identify each system searched, the date range searched, the search method, and the person or team responsible for collection.</w:t>
      </w:r>
    </w:p>
    <w:p>
      <w:pPr>
        <w:pStyle w:val="Heading1"/>
        <w:keepNext/>
      </w:pPr>
      <w:r>
        <w:rPr>
          <w:rFonts w:ascii="Times New Roman" w:hAnsi="Times New Roman"/>
        </w:rPr>
        <w:t>9. Notice to Preserve Evidence</w:t>
      </w:r>
    </w:p>
    <w:p>
      <w:pPr>
        <w:spacing w:after="100" w:line="259" w:lineRule="auto"/>
      </w:pPr>
      <w:r>
        <w:rPr>
          <w:rFonts w:ascii="Times New Roman" w:hAnsi="Times New Roman"/>
          <w:i w:val="0"/>
        </w:rPr>
        <w:t>Meta is hereby placed on notice to preserve all potentially relevant evidence. No relevant data may be deleted, overwritten, anonymized beyond recoverability, allowed to expire, or excluded through routine retention processes while this matter remains unresolved. The preservation obligation includes live systems, historical systems, data warehouses, review tools, integrity tools, support systems, audit logs, messaging systems, backups, snapshots, model-output stores, rate-limit records, scheduled-publication queues, analytics pipelines, and records held by contractors or service providers.</w:t>
      </w:r>
    </w:p>
    <w:p>
      <w:pPr>
        <w:spacing w:after="100" w:line="259" w:lineRule="auto"/>
      </w:pPr>
      <w:r>
        <w:rPr>
          <w:rFonts w:ascii="Times New Roman" w:hAnsi="Times New Roman"/>
          <w:i w:val="0"/>
        </w:rPr>
        <w:t>Preservation must include all records relating to the account, the July 23, 2025 suspension, the early September 2025 restoration, the July 19, 2026 restriction, the zero-view anomaly, the Meta Verified Plus support failure, the scheduled Reel delayed from 6:00 p.m. to 6:23 p.m., and all internal discussion or review of my protest documents and public posts.</w:t>
      </w:r>
    </w:p>
    <w:p>
      <w:pPr>
        <w:pStyle w:val="Heading1"/>
        <w:keepNext/>
      </w:pPr>
      <w:r>
        <w:rPr>
          <w:rFonts w:ascii="Times New Roman" w:hAnsi="Times New Roman"/>
        </w:rPr>
        <w:t>10. Response Deadline and Responsible Signatory</w:t>
      </w:r>
    </w:p>
    <w:p>
      <w:pPr>
        <w:spacing w:after="100" w:line="259" w:lineRule="auto"/>
      </w:pPr>
      <w:r>
        <w:rPr>
          <w:rFonts w:ascii="Times New Roman" w:hAnsi="Times New Roman"/>
          <w:i w:val="0"/>
        </w:rPr>
        <w:t>Meta must acknowledge receipt of this notice within seven business days of receipt. A complete substantive response and full production must be sent no later than August 31, 2026.</w:t>
      </w:r>
    </w:p>
    <w:p>
      <w:pPr>
        <w:spacing w:after="100" w:line="259" w:lineRule="auto"/>
      </w:pPr>
      <w:r>
        <w:rPr>
          <w:rFonts w:ascii="Times New Roman" w:hAnsi="Times New Roman"/>
          <w:i w:val="0"/>
        </w:rPr>
        <w:t>The substantive response must be signed by an officer, senior legal representative, senior privacy representative, or senior integrity/account-review representative who has authority to certify that the response is complete and accurate after reasonable inquiry. The signatory must identify the Meta teams and systems consulted.</w:t>
      </w:r>
    </w:p>
    <w:p>
      <w:pPr>
        <w:spacing w:after="100" w:line="259" w:lineRule="auto"/>
      </w:pPr>
      <w:r>
        <w:rPr>
          <w:rFonts w:ascii="Times New Roman" w:hAnsi="Times New Roman"/>
          <w:i w:val="0"/>
        </w:rPr>
        <w:t>If Meta cannot complete production by the deadline, it must, before the deadline, provide the completed portions, identify every outstanding category, explain the specific reason for delay, state the collection steps already taken, and provide a firm completion date. A generic extension request will not be treated as a substantive response.</w:t>
      </w:r>
    </w:p>
    <w:p>
      <w:pPr>
        <w:pStyle w:val="Heading1"/>
        <w:keepNext/>
      </w:pPr>
      <w:r>
        <w:rPr>
          <w:rFonts w:ascii="Times New Roman" w:hAnsi="Times New Roman"/>
        </w:rPr>
        <w:t>11. No Retaliation, No Further Adverse Action, and Continuity of Service</w:t>
      </w:r>
    </w:p>
    <w:p>
      <w:pPr>
        <w:spacing w:after="100" w:line="259" w:lineRule="auto"/>
      </w:pPr>
      <w:r>
        <w:rPr>
          <w:rFonts w:ascii="Times New Roman" w:hAnsi="Times New Roman"/>
          <w:i w:val="0"/>
        </w:rPr>
        <w:t>Meta must ensure that submission, publication, or preservation of this notice and related evidence does not trigger retaliation, adverse classification, reduced distribution, support denial, account restriction, or further enforcement. Legitimate legal correspondence, criticism of Meta, preservation of evidence, multilingual publication, and repeated sharing of a lawful external URL must not be treated as malicious automation or abuse without a documented and account-specific factual basis.</w:t>
      </w:r>
    </w:p>
    <w:p>
      <w:pPr>
        <w:pStyle w:val="Heading1"/>
        <w:keepNext/>
      </w:pPr>
      <w:r>
        <w:rPr>
          <w:rFonts w:ascii="Times New Roman" w:hAnsi="Times New Roman"/>
        </w:rPr>
        <w:t>12. Reservation of Rights and No Waiver</w:t>
      </w:r>
    </w:p>
    <w:p>
      <w:pPr>
        <w:spacing w:after="100" w:line="259" w:lineRule="auto"/>
      </w:pPr>
      <w:r>
        <w:rPr>
          <w:rFonts w:ascii="Times New Roman" w:hAnsi="Times New Roman"/>
          <w:i w:val="0"/>
        </w:rPr>
        <w:t>Nothing in this notice waives any right, claim, remedy, complaint, regulatory submission, contractual position, data-access request, privacy right, consumer-protection right, tort claim, or other legal or equitable remedy available under applicable law. I expressly reserve the right to supplement this notice as additional evidence becomes available.</w:t>
      </w:r>
    </w:p>
    <w:p>
      <w:pPr>
        <w:spacing w:after="100" w:line="259" w:lineRule="auto"/>
      </w:pPr>
      <w:r>
        <w:rPr>
          <w:rFonts w:ascii="Times New Roman" w:hAnsi="Times New Roman"/>
          <w:i w:val="0"/>
        </w:rPr>
        <w:t>A silent restoration, automatic expiration of a restriction, eventual publication of a delayed post, correction of an analytics display, or later restoration of support access will not by itself resolve the matter. Resolution requires a complete, accurate, and internally consistent explanation, disclosure of the account-specific system record, correction of inaccurate internal states, and confirmation of effective preventive measures.</w:t>
      </w:r>
    </w:p>
    <w:p>
      <w:pPr>
        <w:pStyle w:val="Heading1"/>
        <w:keepNext/>
      </w:pPr>
      <w:r>
        <w:rPr>
          <w:rFonts w:ascii="Times New Roman" w:hAnsi="Times New Roman"/>
        </w:rPr>
        <w:t>13. Requested Written Certification</w:t>
      </w:r>
    </w:p>
    <w:p>
      <w:pPr>
        <w:spacing w:after="100" w:line="259" w:lineRule="auto"/>
      </w:pPr>
      <w:r>
        <w:rPr>
          <w:rFonts w:ascii="Times New Roman" w:hAnsi="Times New Roman"/>
          <w:i w:val="0"/>
        </w:rPr>
        <w:t>Meta’s response must include the following certification, signed by the responsible representative:</w:t>
      </w:r>
    </w:p>
    <w:tbl>
      <w:tblPr>
        <w:tblW w:type="auto" w:w="0"/>
        <w:jc w:val="center"/>
        <w:tblLook w:firstColumn="1" w:firstRow="1" w:lastColumn="0" w:lastRow="0" w:noHBand="0" w:noVBand="1" w:val="04A0"/>
      </w:tblPr>
      <w:tblGrid>
        <w:gridCol w:w="9878"/>
      </w:tblGrid>
      <w:tr>
        <w:trPr>
          <w:cantSplit/>
        </w:trPr>
        <w:tc>
          <w:tcPr>
            <w:tcW w:type="dxa" w:w="9878"/>
            <w:shd w:fill="F2F2F2"/>
            <w:tcMar>
              <w:top w:w="150" w:type="dxa"/>
              <w:start w:w="170" w:type="dxa"/>
              <w:bottom w:w="150" w:type="dxa"/>
              <w:end w:w="170" w:type="dxa"/>
            </w:tcMar>
          </w:tcPr>
          <w:p>
            <w:pPr>
              <w:spacing w:after="0"/>
            </w:pPr>
            <w:r>
              <w:rPr>
                <w:i/>
              </w:rPr>
              <w:t>“After reasonable inquiry, I certify that Meta’s response identifies all material account-specific facts known to Meta concerning the events described in this notice, that the disclosed chronology is internally consistent, that all responsive systems and teams were reasonably searched, that all withheld categories are identified, and that no known material account-specific fact has been omitted or represented in a misleading manner.”</w:t>
            </w:r>
          </w:p>
        </w:tc>
      </w:tr>
    </w:tbl>
    <w:p>
      <w:pPr>
        <w:spacing w:after="180" w:line="259" w:lineRule="auto"/>
      </w:pPr>
      <w:r>
        <w:rPr>
          <w:rFonts w:ascii="Times New Roman" w:hAnsi="Times New Roman"/>
          <w:i w:val="0"/>
        </w:rPr>
        <w:t>I expect Meta to treat this matter as an executive, legal, integrity, privacy, and paid-service accountability issue rather than as a routine support inquiry.</w:t>
      </w:r>
    </w:p>
    <w:p>
      <w:pPr>
        <w:spacing w:before="160" w:after="0"/>
      </w:pPr>
      <w:r>
        <w:rPr>
          <w:rFonts w:ascii="Times New Roman" w:hAnsi="Times New Roman"/>
          <w:i/>
        </w:rPr>
        <w:t>Sincerely,</w:t>
      </w:r>
    </w:p>
    <w:p>
      <w:pPr>
        <w:spacing w:after="0"/>
      </w:pPr>
      <w:r>
        <w:rPr>
          <w:rFonts w:ascii="Times New Roman" w:hAnsi="Times New Roman"/>
          <w:b/>
          <w:sz w:val="23"/>
        </w:rPr>
        <w:t>Shohei KIMURA</w:t>
      </w:r>
    </w:p>
    <w:p>
      <w:pPr>
        <w:spacing w:after="0"/>
      </w:pPr>
      <w:r>
        <w:rPr>
          <w:rFonts w:ascii="Times New Roman" w:hAnsi="Times New Roman"/>
        </w:rPr>
        <w:t>Representative, bitBuyer Project</w:t>
      </w:r>
    </w:p>
    <w:p>
      <w:pPr>
        <w:spacing w:after="0"/>
      </w:pPr>
      <w:r>
        <w:rPr>
          <w:rFonts w:ascii="Times New Roman" w:hAnsi="Times New Roman"/>
        </w:rPr>
        <w:t>Meta Verified Plus subscriber</w:t>
      </w:r>
    </w:p>
    <w:p>
      <w:pPr>
        <w:spacing w:after="0"/>
      </w:pPr>
      <w:r>
        <w:rPr>
          <w:rFonts w:ascii="Times New Roman" w:hAnsi="Times New Roman"/>
        </w:rPr>
        <w:t>Email: ak4dy1@gmail.com</w:t>
      </w:r>
    </w:p>
    <w:p>
      <w:pPr>
        <w:spacing w:after="0"/>
      </w:pPr>
      <w:r>
        <w:rPr>
          <w:rFonts w:ascii="Times New Roman" w:hAnsi="Times New Roman"/>
        </w:rPr>
        <w:t xml:space="preserve">Facebook Account: </w:t>
      </w:r>
      <w:hyperlink r:id="rId11">
        <w:r>
          <w:rPr>
            <w:color w:val="1F4E79"/>
            <w:u w:val="single"/>
          </w:rPr>
          <w:t>https://www.facebook.com/profile.php?id=61572398409812</w:t>
        </w:r>
      </w:hyperlink>
    </w:p>
    <w:p>
      <w:r>
        <w:rPr>
          <w:rFonts w:ascii="Times New Roman" w:hAnsi="Times New Roman"/>
        </w:rPr>
        <w:br w:type="page"/>
      </w:r>
    </w:p>
    <w:p>
      <w:pPr>
        <w:pStyle w:val="Heading1"/>
        <w:keepNext/>
      </w:pPr>
      <w:r>
        <w:rPr>
          <w:rFonts w:ascii="Times New Roman" w:hAnsi="Times New Roman"/>
        </w:rPr>
        <w:t>APPENDIX A — EVIDENCE INDEX</w:t>
      </w:r>
    </w:p>
    <w:p>
      <w:pPr>
        <w:spacing w:after="140" w:line="259" w:lineRule="auto"/>
      </w:pPr>
      <w:r>
        <w:rPr>
          <w:rFonts w:ascii="Times New Roman" w:hAnsi="Times New Roman"/>
          <w:i w:val="0"/>
        </w:rPr>
        <w:t>The following evidence should accompany or be made available in connection with this notice. The descriptions below are intended to preserve the chronology and enable Meta to match user-facing evidence to internal events.</w:t>
      </w:r>
    </w:p>
    <w:tbl>
      <w:tblPr>
        <w:tblStyle w:val="TableGrid"/>
        <w:tblW w:type="dxa" w:w="9288"/>
        <w:jc w:val="center"/>
        <w:tblLayout w:type="fixed"/>
        <w:tblLook w:firstColumn="1" w:firstRow="1" w:lastColumn="0" w:lastRow="0" w:noHBand="0" w:noVBand="1" w:val="04A0"/>
      </w:tblPr>
      <w:tblGrid>
        <w:gridCol w:w="1007"/>
        <w:gridCol w:w="1944"/>
        <w:gridCol w:w="6336"/>
      </w:tblGrid>
      <w:tr>
        <w:trPr>
          <w:tblHeader w:val="true"/>
          <w:cantSplit/>
        </w:trPr>
        <w:tc>
          <w:tcPr>
            <w:tcW w:type="dxa" w:w="1007"/>
            <w:shd w:fill="1F4E79"/>
            <w:tcMar>
              <w:top w:w="90" w:type="dxa"/>
              <w:start w:w="110" w:type="dxa"/>
              <w:bottom w:w="90" w:type="dxa"/>
              <w:end w:w="110" w:type="dxa"/>
            </w:tcMar>
          </w:tcPr>
          <w:p>
            <w:pPr>
              <w:jc w:val="center"/>
            </w:pPr>
            <w:r>
              <w:rPr>
                <w:rFonts w:ascii="Arial" w:hAnsi="Arial"/>
                <w:b/>
                <w:color w:val="FFFFFF"/>
                <w:sz w:val="17"/>
              </w:rPr>
              <w:t>Exhibit</w:t>
            </w:r>
          </w:p>
        </w:tc>
        <w:tc>
          <w:tcPr>
            <w:tcW w:type="dxa" w:w="1944"/>
            <w:shd w:fill="1F4E79"/>
            <w:tcMar>
              <w:top w:w="90" w:type="dxa"/>
              <w:start w:w="110" w:type="dxa"/>
              <w:bottom w:w="90" w:type="dxa"/>
              <w:end w:w="110" w:type="dxa"/>
            </w:tcMar>
          </w:tcPr>
          <w:p>
            <w:pPr>
              <w:jc w:val="center"/>
            </w:pPr>
            <w:r>
              <w:rPr>
                <w:rFonts w:ascii="Arial" w:hAnsi="Arial"/>
                <w:b/>
                <w:color w:val="FFFFFF"/>
                <w:sz w:val="17"/>
              </w:rPr>
              <w:t>Date / Period</w:t>
            </w:r>
          </w:p>
        </w:tc>
        <w:tc>
          <w:tcPr>
            <w:tcW w:type="dxa" w:w="6336"/>
            <w:shd w:fill="1F4E79"/>
            <w:tcMar>
              <w:top w:w="90" w:type="dxa"/>
              <w:start w:w="110" w:type="dxa"/>
              <w:bottom w:w="90" w:type="dxa"/>
              <w:end w:w="110" w:type="dxa"/>
            </w:tcMar>
          </w:tcPr>
          <w:p>
            <w:pPr>
              <w:jc w:val="center"/>
            </w:pPr>
            <w:r>
              <w:rPr>
                <w:rFonts w:ascii="Arial" w:hAnsi="Arial"/>
                <w:b/>
                <w:color w:val="FFFFFF"/>
                <w:sz w:val="17"/>
              </w:rPr>
              <w:t>Description</w:t>
            </w:r>
          </w:p>
        </w:tc>
      </w:tr>
      <w:tr>
        <w:trPr>
          <w:cantSplit/>
        </w:trPr>
        <w:tc>
          <w:tcPr>
            <w:tcW w:type="dxa" w:w="1007"/>
            <w:vAlign w:val="top"/>
            <w:tcMar>
              <w:top w:w="65" w:type="dxa"/>
              <w:start w:w="80" w:type="dxa"/>
              <w:bottom w:w="65" w:type="dxa"/>
              <w:end w:w="80" w:type="dxa"/>
            </w:tcMar>
          </w:tcPr>
          <w:p>
            <w:pPr>
              <w:spacing w:after="0" w:line="240" w:lineRule="auto"/>
            </w:pPr>
            <w:r>
              <w:rPr>
                <w:b/>
                <w:sz w:val="17"/>
              </w:rPr>
              <w:t>A-1</w:t>
            </w:r>
          </w:p>
        </w:tc>
        <w:tc>
          <w:tcPr>
            <w:tcW w:type="dxa" w:w="1944"/>
            <w:vAlign w:val="top"/>
            <w:tcMar>
              <w:top w:w="65" w:type="dxa"/>
              <w:start w:w="80" w:type="dxa"/>
              <w:bottom w:w="65" w:type="dxa"/>
              <w:end w:w="80" w:type="dxa"/>
            </w:tcMar>
          </w:tcPr>
          <w:p>
            <w:pPr>
              <w:spacing w:after="0" w:line="240" w:lineRule="auto"/>
            </w:pPr>
            <w:r>
              <w:rPr>
                <w:sz w:val="17"/>
              </w:rPr>
              <w:t>July 23, 2025</w:t>
            </w:r>
          </w:p>
        </w:tc>
        <w:tc>
          <w:tcPr>
            <w:tcW w:type="dxa" w:w="6336"/>
            <w:vAlign w:val="top"/>
            <w:tcMar>
              <w:top w:w="65" w:type="dxa"/>
              <w:start w:w="80" w:type="dxa"/>
              <w:bottom w:w="65" w:type="dxa"/>
              <w:end w:w="80" w:type="dxa"/>
            </w:tcMar>
          </w:tcPr>
          <w:p>
            <w:pPr>
              <w:spacing w:after="0" w:line="240" w:lineRule="auto"/>
            </w:pPr>
            <w:r>
              <w:rPr>
                <w:sz w:val="17"/>
              </w:rPr>
              <w:t>Screenshots of the “permanent suspension” and cybersecurity-related notice, including the statement that no further review was available.</w:t>
            </w:r>
          </w:p>
        </w:tc>
      </w:tr>
      <w:tr>
        <w:trPr>
          <w:cantSplit/>
        </w:trPr>
        <w:tc>
          <w:tcPr>
            <w:tcW w:type="dxa" w:w="1007"/>
            <w:vAlign w:val="top"/>
            <w:tcMar>
              <w:top w:w="65" w:type="dxa"/>
              <w:start w:w="80" w:type="dxa"/>
              <w:bottom w:w="65" w:type="dxa"/>
              <w:end w:w="80" w:type="dxa"/>
            </w:tcMar>
          </w:tcPr>
          <w:p>
            <w:pPr>
              <w:spacing w:after="0" w:line="240" w:lineRule="auto"/>
            </w:pPr>
            <w:r>
              <w:rPr>
                <w:b/>
                <w:sz w:val="17"/>
              </w:rPr>
              <w:t>A-2</w:t>
            </w:r>
          </w:p>
        </w:tc>
        <w:tc>
          <w:tcPr>
            <w:tcW w:type="dxa" w:w="1944"/>
            <w:vAlign w:val="top"/>
            <w:tcMar>
              <w:top w:w="65" w:type="dxa"/>
              <w:start w:w="80" w:type="dxa"/>
              <w:bottom w:w="65" w:type="dxa"/>
              <w:end w:w="80" w:type="dxa"/>
            </w:tcMar>
          </w:tcPr>
          <w:p>
            <w:pPr>
              <w:spacing w:after="0" w:line="240" w:lineRule="auto"/>
            </w:pPr>
            <w:r>
              <w:rPr>
                <w:sz w:val="17"/>
              </w:rPr>
              <w:t>July–August 2025</w:t>
            </w:r>
          </w:p>
        </w:tc>
        <w:tc>
          <w:tcPr>
            <w:tcW w:type="dxa" w:w="6336"/>
            <w:vAlign w:val="top"/>
            <w:tcMar>
              <w:top w:w="65" w:type="dxa"/>
              <w:start w:w="80" w:type="dxa"/>
              <w:bottom w:w="65" w:type="dxa"/>
              <w:end w:w="80" w:type="dxa"/>
            </w:tcMar>
          </w:tcPr>
          <w:p>
            <w:pPr>
              <w:spacing w:after="0" w:line="240" w:lineRule="auto"/>
            </w:pPr>
            <w:r>
              <w:rPr>
                <w:sz w:val="17"/>
              </w:rPr>
              <w:t>Formal protest letter to Meta Platforms, Inc. requesting senior review, a specific explanation, and restoration.</w:t>
            </w:r>
          </w:p>
        </w:tc>
      </w:tr>
      <w:tr>
        <w:trPr>
          <w:cantSplit/>
        </w:trPr>
        <w:tc>
          <w:tcPr>
            <w:tcW w:type="dxa" w:w="1007"/>
            <w:vAlign w:val="top"/>
            <w:tcMar>
              <w:top w:w="65" w:type="dxa"/>
              <w:start w:w="80" w:type="dxa"/>
              <w:bottom w:w="65" w:type="dxa"/>
              <w:end w:w="80" w:type="dxa"/>
            </w:tcMar>
          </w:tcPr>
          <w:p>
            <w:pPr>
              <w:spacing w:after="0" w:line="240" w:lineRule="auto"/>
            </w:pPr>
            <w:r>
              <w:rPr>
                <w:b/>
                <w:sz w:val="17"/>
              </w:rPr>
              <w:t>A-3</w:t>
            </w:r>
          </w:p>
        </w:tc>
        <w:tc>
          <w:tcPr>
            <w:tcW w:type="dxa" w:w="1944"/>
            <w:vAlign w:val="top"/>
            <w:tcMar>
              <w:top w:w="65" w:type="dxa"/>
              <w:start w:w="80" w:type="dxa"/>
              <w:bottom w:w="65" w:type="dxa"/>
              <w:end w:w="80" w:type="dxa"/>
            </w:tcMar>
          </w:tcPr>
          <w:p>
            <w:pPr>
              <w:spacing w:after="0" w:line="240" w:lineRule="auto"/>
            </w:pPr>
            <w:r>
              <w:rPr>
                <w:sz w:val="17"/>
              </w:rPr>
              <w:t>Early September 2025</w:t>
            </w:r>
          </w:p>
        </w:tc>
        <w:tc>
          <w:tcPr>
            <w:tcW w:type="dxa" w:w="6336"/>
            <w:vAlign w:val="top"/>
            <w:tcMar>
              <w:top w:w="65" w:type="dxa"/>
              <w:start w:w="80" w:type="dxa"/>
              <w:bottom w:w="65" w:type="dxa"/>
              <w:end w:w="80" w:type="dxa"/>
            </w:tcMar>
          </w:tcPr>
          <w:p>
            <w:pPr>
              <w:spacing w:after="0" w:line="240" w:lineRule="auto"/>
            </w:pPr>
            <w:r>
              <w:rPr>
                <w:sz w:val="17"/>
              </w:rPr>
              <w:t>Evidence that the account was restored without notice, explanation, correction, or apology.</w:t>
            </w:r>
          </w:p>
        </w:tc>
      </w:tr>
      <w:tr>
        <w:trPr>
          <w:cantSplit/>
        </w:trPr>
        <w:tc>
          <w:tcPr>
            <w:tcW w:type="dxa" w:w="1007"/>
            <w:vAlign w:val="top"/>
            <w:tcMar>
              <w:top w:w="65" w:type="dxa"/>
              <w:start w:w="80" w:type="dxa"/>
              <w:bottom w:w="65" w:type="dxa"/>
              <w:end w:w="80" w:type="dxa"/>
            </w:tcMar>
          </w:tcPr>
          <w:p>
            <w:pPr>
              <w:spacing w:after="0" w:line="240" w:lineRule="auto"/>
            </w:pPr>
            <w:r>
              <w:rPr>
                <w:b/>
                <w:sz w:val="17"/>
              </w:rPr>
              <w:t>A-4</w:t>
            </w:r>
          </w:p>
        </w:tc>
        <w:tc>
          <w:tcPr>
            <w:tcW w:type="dxa" w:w="1944"/>
            <w:vAlign w:val="top"/>
            <w:tcMar>
              <w:top w:w="65" w:type="dxa"/>
              <w:start w:w="80" w:type="dxa"/>
              <w:bottom w:w="65" w:type="dxa"/>
              <w:end w:w="80" w:type="dxa"/>
            </w:tcMar>
          </w:tcPr>
          <w:p>
            <w:pPr>
              <w:spacing w:after="0" w:line="240" w:lineRule="auto"/>
            </w:pPr>
            <w:r>
              <w:rPr>
                <w:sz w:val="17"/>
              </w:rPr>
              <w:t>July 19, 2026</w:t>
            </w:r>
          </w:p>
        </w:tc>
        <w:tc>
          <w:tcPr>
            <w:tcW w:type="dxa" w:w="6336"/>
            <w:vAlign w:val="top"/>
            <w:tcMar>
              <w:top w:w="65" w:type="dxa"/>
              <w:start w:w="80" w:type="dxa"/>
              <w:bottom w:w="65" w:type="dxa"/>
              <w:end w:w="80" w:type="dxa"/>
            </w:tcMar>
          </w:tcPr>
          <w:p>
            <w:pPr>
              <w:spacing w:after="0" w:line="240" w:lineRule="auto"/>
            </w:pPr>
            <w:r>
              <w:rPr>
                <w:sz w:val="17"/>
              </w:rPr>
              <w:t>Homo Deus post linking to the protest-letter PDF preserved on GitHub.</w:t>
            </w:r>
          </w:p>
        </w:tc>
      </w:tr>
      <w:tr>
        <w:trPr>
          <w:cantSplit/>
        </w:trPr>
        <w:tc>
          <w:tcPr>
            <w:tcW w:type="dxa" w:w="1007"/>
            <w:vAlign w:val="top"/>
            <w:tcMar>
              <w:top w:w="65" w:type="dxa"/>
              <w:start w:w="80" w:type="dxa"/>
              <w:bottom w:w="65" w:type="dxa"/>
              <w:end w:w="80" w:type="dxa"/>
            </w:tcMar>
          </w:tcPr>
          <w:p>
            <w:pPr>
              <w:spacing w:after="0" w:line="240" w:lineRule="auto"/>
            </w:pPr>
            <w:r>
              <w:rPr>
                <w:b/>
                <w:sz w:val="17"/>
              </w:rPr>
              <w:t>A-5</w:t>
            </w:r>
          </w:p>
        </w:tc>
        <w:tc>
          <w:tcPr>
            <w:tcW w:type="dxa" w:w="1944"/>
            <w:vAlign w:val="top"/>
            <w:tcMar>
              <w:top w:w="65" w:type="dxa"/>
              <w:start w:w="80" w:type="dxa"/>
              <w:bottom w:w="65" w:type="dxa"/>
              <w:end w:w="80" w:type="dxa"/>
            </w:tcMar>
          </w:tcPr>
          <w:p>
            <w:pPr>
              <w:spacing w:after="0" w:line="240" w:lineRule="auto"/>
            </w:pPr>
            <w:r>
              <w:rPr>
                <w:sz w:val="17"/>
              </w:rPr>
              <w:t>July 19, 2026</w:t>
            </w:r>
          </w:p>
        </w:tc>
        <w:tc>
          <w:tcPr>
            <w:tcW w:type="dxa" w:w="6336"/>
            <w:vAlign w:val="top"/>
            <w:tcMar>
              <w:top w:w="65" w:type="dxa"/>
              <w:start w:w="80" w:type="dxa"/>
              <w:bottom w:w="65" w:type="dxa"/>
              <w:end w:w="80" w:type="dxa"/>
            </w:tcMar>
          </w:tcPr>
          <w:p>
            <w:pPr>
              <w:spacing w:after="0" w:line="240" w:lineRule="auto"/>
            </w:pPr>
            <w:r>
              <w:rPr>
                <w:sz w:val="17"/>
              </w:rPr>
              <w:t>Reshared photo-card posts carrying the same GitHub PDF URL.</w:t>
            </w:r>
          </w:p>
        </w:tc>
      </w:tr>
      <w:tr>
        <w:trPr>
          <w:cantSplit/>
        </w:trPr>
        <w:tc>
          <w:tcPr>
            <w:tcW w:type="dxa" w:w="1007"/>
            <w:vAlign w:val="top"/>
            <w:tcMar>
              <w:top w:w="65" w:type="dxa"/>
              <w:start w:w="80" w:type="dxa"/>
              <w:bottom w:w="65" w:type="dxa"/>
              <w:end w:w="80" w:type="dxa"/>
            </w:tcMar>
          </w:tcPr>
          <w:p>
            <w:pPr>
              <w:spacing w:after="0" w:line="240" w:lineRule="auto"/>
            </w:pPr>
            <w:r>
              <w:rPr>
                <w:b/>
                <w:sz w:val="17"/>
              </w:rPr>
              <w:t>A-6</w:t>
            </w:r>
          </w:p>
        </w:tc>
        <w:tc>
          <w:tcPr>
            <w:tcW w:type="dxa" w:w="1944"/>
            <w:vAlign w:val="top"/>
            <w:tcMar>
              <w:top w:w="65" w:type="dxa"/>
              <w:start w:w="80" w:type="dxa"/>
              <w:bottom w:w="65" w:type="dxa"/>
              <w:end w:w="80" w:type="dxa"/>
            </w:tcMar>
          </w:tcPr>
          <w:p>
            <w:pPr>
              <w:spacing w:after="0" w:line="240" w:lineRule="auto"/>
            </w:pPr>
            <w:r>
              <w:rPr>
                <w:sz w:val="17"/>
              </w:rPr>
              <w:t>July 19, 2026</w:t>
            </w:r>
          </w:p>
        </w:tc>
        <w:tc>
          <w:tcPr>
            <w:tcW w:type="dxa" w:w="6336"/>
            <w:vAlign w:val="top"/>
            <w:tcMar>
              <w:top w:w="65" w:type="dxa"/>
              <w:start w:w="80" w:type="dxa"/>
              <w:bottom w:w="65" w:type="dxa"/>
              <w:end w:w="80" w:type="dxa"/>
            </w:tcMar>
          </w:tcPr>
          <w:p>
            <w:pPr>
              <w:spacing w:after="0" w:line="240" w:lineRule="auto"/>
            </w:pPr>
            <w:r>
              <w:rPr>
                <w:sz w:val="17"/>
              </w:rPr>
              <w:t>Reel containing four iPhone screenshots from the wrongful suspension.</w:t>
            </w:r>
          </w:p>
        </w:tc>
      </w:tr>
      <w:tr>
        <w:trPr>
          <w:cantSplit/>
        </w:trPr>
        <w:tc>
          <w:tcPr>
            <w:tcW w:type="dxa" w:w="1007"/>
            <w:vAlign w:val="top"/>
            <w:tcMar>
              <w:top w:w="65" w:type="dxa"/>
              <w:start w:w="80" w:type="dxa"/>
              <w:bottom w:w="65" w:type="dxa"/>
              <w:end w:w="80" w:type="dxa"/>
            </w:tcMar>
          </w:tcPr>
          <w:p>
            <w:pPr>
              <w:spacing w:after="0" w:line="240" w:lineRule="auto"/>
            </w:pPr>
            <w:r>
              <w:rPr>
                <w:b/>
                <w:sz w:val="17"/>
              </w:rPr>
              <w:t>A-7</w:t>
            </w:r>
          </w:p>
        </w:tc>
        <w:tc>
          <w:tcPr>
            <w:tcW w:type="dxa" w:w="1944"/>
            <w:vAlign w:val="top"/>
            <w:tcMar>
              <w:top w:w="65" w:type="dxa"/>
              <w:start w:w="80" w:type="dxa"/>
              <w:bottom w:w="65" w:type="dxa"/>
              <w:end w:w="80" w:type="dxa"/>
            </w:tcMar>
          </w:tcPr>
          <w:p>
            <w:pPr>
              <w:spacing w:after="0" w:line="240" w:lineRule="auto"/>
            </w:pPr>
            <w:r>
              <w:rPr>
                <w:sz w:val="17"/>
              </w:rPr>
              <w:t>July 19, 2026</w:t>
            </w:r>
          </w:p>
        </w:tc>
        <w:tc>
          <w:tcPr>
            <w:tcW w:type="dxa" w:w="6336"/>
            <w:vAlign w:val="top"/>
            <w:tcMar>
              <w:top w:w="65" w:type="dxa"/>
              <w:start w:w="80" w:type="dxa"/>
              <w:bottom w:w="65" w:type="dxa"/>
              <w:end w:w="80" w:type="dxa"/>
            </w:tcMar>
          </w:tcPr>
          <w:p>
            <w:pPr>
              <w:spacing w:after="0" w:line="240" w:lineRule="auto"/>
            </w:pPr>
            <w:r>
              <w:rPr>
                <w:sz w:val="17"/>
              </w:rPr>
              <w:t>bitBuyer Project official protest statement reshared in Japanese, English, and Spanish.</w:t>
            </w:r>
          </w:p>
        </w:tc>
      </w:tr>
      <w:tr>
        <w:trPr>
          <w:cantSplit/>
        </w:trPr>
        <w:tc>
          <w:tcPr>
            <w:tcW w:type="dxa" w:w="1007"/>
            <w:vAlign w:val="top"/>
            <w:tcMar>
              <w:top w:w="65" w:type="dxa"/>
              <w:start w:w="80" w:type="dxa"/>
              <w:bottom w:w="65" w:type="dxa"/>
              <w:end w:w="80" w:type="dxa"/>
            </w:tcMar>
          </w:tcPr>
          <w:p>
            <w:pPr>
              <w:spacing w:after="0" w:line="240" w:lineRule="auto"/>
            </w:pPr>
            <w:r>
              <w:rPr>
                <w:b/>
                <w:sz w:val="17"/>
              </w:rPr>
              <w:t>A-8</w:t>
            </w:r>
          </w:p>
        </w:tc>
        <w:tc>
          <w:tcPr>
            <w:tcW w:type="dxa" w:w="1944"/>
            <w:vAlign w:val="top"/>
            <w:tcMar>
              <w:top w:w="65" w:type="dxa"/>
              <w:start w:w="80" w:type="dxa"/>
              <w:bottom w:w="65" w:type="dxa"/>
              <w:end w:w="80" w:type="dxa"/>
            </w:tcMar>
          </w:tcPr>
          <w:p>
            <w:pPr>
              <w:spacing w:after="0" w:line="240" w:lineRule="auto"/>
            </w:pPr>
            <w:r>
              <w:rPr>
                <w:sz w:val="17"/>
              </w:rPr>
              <w:t>July 19, 2026</w:t>
            </w:r>
          </w:p>
        </w:tc>
        <w:tc>
          <w:tcPr>
            <w:tcW w:type="dxa" w:w="6336"/>
            <w:vAlign w:val="top"/>
            <w:tcMar>
              <w:top w:w="65" w:type="dxa"/>
              <w:start w:w="80" w:type="dxa"/>
              <w:bottom w:w="65" w:type="dxa"/>
              <w:end w:w="80" w:type="dxa"/>
            </w:tcMar>
          </w:tcPr>
          <w:p>
            <w:pPr>
              <w:spacing w:after="0" w:line="240" w:lineRule="auto"/>
            </w:pPr>
            <w:r>
              <w:rPr>
                <w:sz w:val="17"/>
              </w:rPr>
              <w:t>Browser screenshot stating that the account was temporarily unavailable due to a site problem.</w:t>
            </w:r>
          </w:p>
        </w:tc>
      </w:tr>
      <w:tr>
        <w:trPr>
          <w:cantSplit/>
        </w:trPr>
        <w:tc>
          <w:tcPr>
            <w:tcW w:type="dxa" w:w="1007"/>
            <w:vAlign w:val="top"/>
            <w:tcMar>
              <w:top w:w="65" w:type="dxa"/>
              <w:start w:w="80" w:type="dxa"/>
              <w:bottom w:w="65" w:type="dxa"/>
              <w:end w:w="80" w:type="dxa"/>
            </w:tcMar>
          </w:tcPr>
          <w:p>
            <w:pPr>
              <w:spacing w:after="0" w:line="240" w:lineRule="auto"/>
            </w:pPr>
            <w:r>
              <w:rPr>
                <w:b/>
                <w:sz w:val="17"/>
              </w:rPr>
              <w:t>A-9</w:t>
            </w:r>
          </w:p>
        </w:tc>
        <w:tc>
          <w:tcPr>
            <w:tcW w:type="dxa" w:w="1944"/>
            <w:vAlign w:val="top"/>
            <w:tcMar>
              <w:top w:w="65" w:type="dxa"/>
              <w:start w:w="80" w:type="dxa"/>
              <w:bottom w:w="65" w:type="dxa"/>
              <w:end w:w="80" w:type="dxa"/>
            </w:tcMar>
          </w:tcPr>
          <w:p>
            <w:pPr>
              <w:spacing w:after="0" w:line="240" w:lineRule="auto"/>
            </w:pPr>
            <w:r>
              <w:rPr>
                <w:sz w:val="17"/>
              </w:rPr>
              <w:t>July 19, 2026</w:t>
            </w:r>
          </w:p>
        </w:tc>
        <w:tc>
          <w:tcPr>
            <w:tcW w:type="dxa" w:w="6336"/>
            <w:vAlign w:val="top"/>
            <w:tcMar>
              <w:top w:w="65" w:type="dxa"/>
              <w:start w:w="80" w:type="dxa"/>
              <w:bottom w:w="65" w:type="dxa"/>
              <w:end w:w="80" w:type="dxa"/>
            </w:tcMar>
          </w:tcPr>
          <w:p>
            <w:pPr>
              <w:spacing w:after="0" w:line="240" w:lineRule="auto"/>
            </w:pPr>
            <w:r>
              <w:rPr>
                <w:sz w:val="17"/>
              </w:rPr>
              <w:t>Browser screenshot stating that the feature was temporarily blocked because it was being used too quickly.</w:t>
            </w:r>
          </w:p>
        </w:tc>
      </w:tr>
      <w:tr>
        <w:trPr>
          <w:cantSplit/>
        </w:trPr>
        <w:tc>
          <w:tcPr>
            <w:tcW w:type="dxa" w:w="1007"/>
            <w:vAlign w:val="top"/>
            <w:tcMar>
              <w:top w:w="65" w:type="dxa"/>
              <w:start w:w="80" w:type="dxa"/>
              <w:bottom w:w="65" w:type="dxa"/>
              <w:end w:w="80" w:type="dxa"/>
            </w:tcMar>
          </w:tcPr>
          <w:p>
            <w:pPr>
              <w:spacing w:after="0" w:line="240" w:lineRule="auto"/>
            </w:pPr>
            <w:r>
              <w:rPr>
                <w:b/>
                <w:sz w:val="17"/>
              </w:rPr>
              <w:t>A-10</w:t>
            </w:r>
          </w:p>
        </w:tc>
        <w:tc>
          <w:tcPr>
            <w:tcW w:type="dxa" w:w="1944"/>
            <w:vAlign w:val="top"/>
            <w:tcMar>
              <w:top w:w="65" w:type="dxa"/>
              <w:start w:w="80" w:type="dxa"/>
              <w:bottom w:w="65" w:type="dxa"/>
              <w:end w:w="80" w:type="dxa"/>
            </w:tcMar>
          </w:tcPr>
          <w:p>
            <w:pPr>
              <w:spacing w:after="0" w:line="240" w:lineRule="auto"/>
            </w:pPr>
            <w:r>
              <w:rPr>
                <w:sz w:val="17"/>
              </w:rPr>
              <w:t>July 19, 2026</w:t>
            </w:r>
          </w:p>
        </w:tc>
        <w:tc>
          <w:tcPr>
            <w:tcW w:type="dxa" w:w="6336"/>
            <w:vAlign w:val="top"/>
            <w:tcMar>
              <w:top w:w="65" w:type="dxa"/>
              <w:start w:w="80" w:type="dxa"/>
              <w:bottom w:w="65" w:type="dxa"/>
              <w:end w:w="80" w:type="dxa"/>
            </w:tcMar>
          </w:tcPr>
          <w:p>
            <w:pPr>
              <w:spacing w:after="0" w:line="240" w:lineRule="auto"/>
            </w:pPr>
            <w:r>
              <w:rPr>
                <w:sz w:val="17"/>
              </w:rPr>
              <w:t>Evidence that the iPhone application remained accessible during the browser restriction.</w:t>
            </w:r>
          </w:p>
        </w:tc>
      </w:tr>
      <w:tr>
        <w:trPr>
          <w:cantSplit/>
        </w:trPr>
        <w:tc>
          <w:tcPr>
            <w:tcW w:type="dxa" w:w="1007"/>
            <w:vAlign w:val="top"/>
            <w:tcMar>
              <w:top w:w="65" w:type="dxa"/>
              <w:start w:w="80" w:type="dxa"/>
              <w:bottom w:w="65" w:type="dxa"/>
              <w:end w:w="80" w:type="dxa"/>
            </w:tcMar>
          </w:tcPr>
          <w:p>
            <w:pPr>
              <w:spacing w:after="0" w:line="240" w:lineRule="auto"/>
            </w:pPr>
            <w:r>
              <w:rPr>
                <w:b/>
                <w:sz w:val="17"/>
              </w:rPr>
              <w:t>A-11</w:t>
            </w:r>
          </w:p>
        </w:tc>
        <w:tc>
          <w:tcPr>
            <w:tcW w:type="dxa" w:w="1944"/>
            <w:vAlign w:val="top"/>
            <w:tcMar>
              <w:top w:w="65" w:type="dxa"/>
              <w:start w:w="80" w:type="dxa"/>
              <w:bottom w:w="65" w:type="dxa"/>
              <w:end w:w="80" w:type="dxa"/>
            </w:tcMar>
          </w:tcPr>
          <w:p>
            <w:pPr>
              <w:spacing w:after="0" w:line="240" w:lineRule="auto"/>
            </w:pPr>
            <w:r>
              <w:rPr>
                <w:sz w:val="17"/>
              </w:rPr>
              <w:t>July 19, 2026</w:t>
            </w:r>
          </w:p>
        </w:tc>
        <w:tc>
          <w:tcPr>
            <w:tcW w:type="dxa" w:w="6336"/>
            <w:vAlign w:val="top"/>
            <w:tcMar>
              <w:top w:w="65" w:type="dxa"/>
              <w:start w:w="80" w:type="dxa"/>
              <w:bottom w:w="65" w:type="dxa"/>
              <w:end w:w="80" w:type="dxa"/>
            </w:tcMar>
          </w:tcPr>
          <w:p>
            <w:pPr>
              <w:spacing w:after="0" w:line="240" w:lineRule="auto"/>
            </w:pPr>
            <w:r>
              <w:rPr>
                <w:sz w:val="17"/>
              </w:rPr>
              <w:t>Screenshot/record showing zero views approximately 50 minutes after the restriction screenshot was posted.</w:t>
            </w:r>
          </w:p>
        </w:tc>
      </w:tr>
      <w:tr>
        <w:trPr>
          <w:cantSplit/>
        </w:trPr>
        <w:tc>
          <w:tcPr>
            <w:tcW w:type="dxa" w:w="1007"/>
            <w:vAlign w:val="top"/>
            <w:tcMar>
              <w:top w:w="65" w:type="dxa"/>
              <w:start w:w="80" w:type="dxa"/>
              <w:bottom w:w="65" w:type="dxa"/>
              <w:end w:w="80" w:type="dxa"/>
            </w:tcMar>
          </w:tcPr>
          <w:p>
            <w:pPr>
              <w:spacing w:after="0" w:line="240" w:lineRule="auto"/>
            </w:pPr>
            <w:r>
              <w:rPr>
                <w:b/>
                <w:sz w:val="17"/>
              </w:rPr>
              <w:t>A-12</w:t>
            </w:r>
          </w:p>
        </w:tc>
        <w:tc>
          <w:tcPr>
            <w:tcW w:type="dxa" w:w="1944"/>
            <w:vAlign w:val="top"/>
            <w:tcMar>
              <w:top w:w="65" w:type="dxa"/>
              <w:start w:w="80" w:type="dxa"/>
              <w:bottom w:w="65" w:type="dxa"/>
              <w:end w:w="80" w:type="dxa"/>
            </w:tcMar>
          </w:tcPr>
          <w:p>
            <w:pPr>
              <w:spacing w:after="0" w:line="240" w:lineRule="auto"/>
            </w:pPr>
            <w:r>
              <w:rPr>
                <w:sz w:val="17"/>
              </w:rPr>
              <w:t>July 19, 2026</w:t>
            </w:r>
          </w:p>
        </w:tc>
        <w:tc>
          <w:tcPr>
            <w:tcW w:type="dxa" w:w="6336"/>
            <w:vAlign w:val="top"/>
            <w:tcMar>
              <w:top w:w="65" w:type="dxa"/>
              <w:start w:w="80" w:type="dxa"/>
              <w:bottom w:w="65" w:type="dxa"/>
              <w:end w:w="80" w:type="dxa"/>
            </w:tcMar>
          </w:tcPr>
          <w:p>
            <w:pPr>
              <w:spacing w:after="0" w:line="240" w:lineRule="auto"/>
            </w:pPr>
            <w:r>
              <w:rPr>
                <w:sz w:val="17"/>
              </w:rPr>
              <w:t>Screen recording or screenshots showing that tapping “Get Support” under Meta Verified Plus closed the support screen.</w:t>
            </w:r>
          </w:p>
        </w:tc>
      </w:tr>
      <w:tr>
        <w:trPr>
          <w:cantSplit/>
        </w:trPr>
        <w:tc>
          <w:tcPr>
            <w:tcW w:type="dxa" w:w="1007"/>
            <w:vAlign w:val="top"/>
            <w:tcMar>
              <w:top w:w="65" w:type="dxa"/>
              <w:start w:w="80" w:type="dxa"/>
              <w:bottom w:w="65" w:type="dxa"/>
              <w:end w:w="80" w:type="dxa"/>
            </w:tcMar>
          </w:tcPr>
          <w:p>
            <w:pPr>
              <w:spacing w:after="0" w:line="240" w:lineRule="auto"/>
            </w:pPr>
            <w:r>
              <w:rPr>
                <w:b/>
                <w:sz w:val="17"/>
              </w:rPr>
              <w:t>A-13</w:t>
            </w:r>
          </w:p>
        </w:tc>
        <w:tc>
          <w:tcPr>
            <w:tcW w:type="dxa" w:w="1944"/>
            <w:vAlign w:val="top"/>
            <w:tcMar>
              <w:top w:w="65" w:type="dxa"/>
              <w:start w:w="80" w:type="dxa"/>
              <w:bottom w:w="65" w:type="dxa"/>
              <w:end w:w="80" w:type="dxa"/>
            </w:tcMar>
          </w:tcPr>
          <w:p>
            <w:pPr>
              <w:spacing w:after="0" w:line="240" w:lineRule="auto"/>
            </w:pPr>
            <w:r>
              <w:rPr>
                <w:sz w:val="17"/>
              </w:rPr>
              <w:t>July 19, 2026</w:t>
            </w:r>
          </w:p>
        </w:tc>
        <w:tc>
          <w:tcPr>
            <w:tcW w:type="dxa" w:w="6336"/>
            <w:vAlign w:val="top"/>
            <w:tcMar>
              <w:top w:w="65" w:type="dxa"/>
              <w:start w:w="80" w:type="dxa"/>
              <w:bottom w:w="65" w:type="dxa"/>
              <w:end w:w="80" w:type="dxa"/>
            </w:tcMar>
          </w:tcPr>
          <w:p>
            <w:pPr>
              <w:spacing w:after="0" w:line="240" w:lineRule="auto"/>
            </w:pPr>
            <w:r>
              <w:rPr>
                <w:sz w:val="17"/>
              </w:rPr>
              <w:t>Evidence that a Reel scheduled for 6:00 p.m. did not publish at 6:00 p.m.</w:t>
            </w:r>
          </w:p>
        </w:tc>
      </w:tr>
      <w:tr>
        <w:trPr>
          <w:cantSplit/>
        </w:trPr>
        <w:tc>
          <w:tcPr>
            <w:tcW w:type="dxa" w:w="1007"/>
            <w:vAlign w:val="top"/>
            <w:tcMar>
              <w:top w:w="65" w:type="dxa"/>
              <w:start w:w="80" w:type="dxa"/>
              <w:bottom w:w="65" w:type="dxa"/>
              <w:end w:w="80" w:type="dxa"/>
            </w:tcMar>
          </w:tcPr>
          <w:p>
            <w:pPr>
              <w:spacing w:after="0" w:line="240" w:lineRule="auto"/>
            </w:pPr>
            <w:r>
              <w:rPr>
                <w:b/>
                <w:sz w:val="17"/>
              </w:rPr>
              <w:t>A-14</w:t>
            </w:r>
          </w:p>
        </w:tc>
        <w:tc>
          <w:tcPr>
            <w:tcW w:type="dxa" w:w="1944"/>
            <w:vAlign w:val="top"/>
            <w:tcMar>
              <w:top w:w="65" w:type="dxa"/>
              <w:start w:w="80" w:type="dxa"/>
              <w:bottom w:w="65" w:type="dxa"/>
              <w:end w:w="80" w:type="dxa"/>
            </w:tcMar>
          </w:tcPr>
          <w:p>
            <w:pPr>
              <w:spacing w:after="0" w:line="240" w:lineRule="auto"/>
            </w:pPr>
            <w:r>
              <w:rPr>
                <w:sz w:val="17"/>
              </w:rPr>
              <w:t>July 19, 2026</w:t>
            </w:r>
          </w:p>
        </w:tc>
        <w:tc>
          <w:tcPr>
            <w:tcW w:type="dxa" w:w="6336"/>
            <w:vAlign w:val="top"/>
            <w:tcMar>
              <w:top w:w="65" w:type="dxa"/>
              <w:start w:w="80" w:type="dxa"/>
              <w:bottom w:w="65" w:type="dxa"/>
              <w:end w:w="80" w:type="dxa"/>
            </w:tcMar>
          </w:tcPr>
          <w:p>
            <w:pPr>
              <w:spacing w:after="0" w:line="240" w:lineRule="auto"/>
            </w:pPr>
            <w:r>
              <w:rPr>
                <w:sz w:val="17"/>
              </w:rPr>
              <w:t>Evidence that browser access returned at 6:23 p.m. and that the delayed scheduled Reel published at the same time.</w:t>
            </w:r>
          </w:p>
        </w:tc>
      </w:tr>
      <w:tr>
        <w:trPr>
          <w:cantSplit/>
        </w:trPr>
        <w:tc>
          <w:tcPr>
            <w:tcW w:type="dxa" w:w="1007"/>
            <w:vAlign w:val="top"/>
            <w:tcMar>
              <w:top w:w="65" w:type="dxa"/>
              <w:start w:w="80" w:type="dxa"/>
              <w:bottom w:w="65" w:type="dxa"/>
              <w:end w:w="80" w:type="dxa"/>
            </w:tcMar>
          </w:tcPr>
          <w:p>
            <w:pPr>
              <w:spacing w:after="0" w:line="240" w:lineRule="auto"/>
            </w:pPr>
            <w:r>
              <w:rPr>
                <w:b/>
                <w:sz w:val="17"/>
              </w:rPr>
              <w:t>A-15</w:t>
            </w:r>
          </w:p>
        </w:tc>
        <w:tc>
          <w:tcPr>
            <w:tcW w:type="dxa" w:w="1944"/>
            <w:vAlign w:val="top"/>
            <w:tcMar>
              <w:top w:w="65" w:type="dxa"/>
              <w:start w:w="80" w:type="dxa"/>
              <w:bottom w:w="65" w:type="dxa"/>
              <w:end w:w="80" w:type="dxa"/>
            </w:tcMar>
          </w:tcPr>
          <w:p>
            <w:pPr>
              <w:spacing w:after="0" w:line="240" w:lineRule="auto"/>
            </w:pPr>
            <w:r>
              <w:rPr>
                <w:sz w:val="17"/>
              </w:rPr>
              <w:t>Historical comparison</w:t>
            </w:r>
          </w:p>
        </w:tc>
        <w:tc>
          <w:tcPr>
            <w:tcW w:type="dxa" w:w="6336"/>
            <w:vAlign w:val="top"/>
            <w:tcMar>
              <w:top w:w="65" w:type="dxa"/>
              <w:start w:w="80" w:type="dxa"/>
              <w:bottom w:w="65" w:type="dxa"/>
              <w:end w:w="80" w:type="dxa"/>
            </w:tcMar>
          </w:tcPr>
          <w:p>
            <w:pPr>
              <w:spacing w:after="0" w:line="240" w:lineRule="auto"/>
            </w:pPr>
            <w:r>
              <w:rPr>
                <w:sz w:val="17"/>
              </w:rPr>
              <w:t>Account posting history showing normal completion of approximately 48 posts and one scheduled Reel within the established operating pattern.</w:t>
            </w:r>
          </w:p>
        </w:tc>
      </w:tr>
    </w:tbl>
    <w:p>
      <w:pPr>
        <w:pStyle w:val="Heading1"/>
        <w:keepNext/>
      </w:pPr>
      <w:r>
        <w:rPr>
          <w:rFonts w:ascii="Times New Roman" w:hAnsi="Times New Roman"/>
        </w:rPr>
        <w:t>APPENDIX B — RESPONSE CHECKLIST</w:t>
      </w:r>
    </w:p>
    <w:p>
      <w:pPr>
        <w:spacing w:after="60"/>
        <w:ind w:left="360" w:hanging="360"/>
      </w:pPr>
      <w:r>
        <w:rPr>
          <w:rFonts w:ascii="Arial Unicode MS" w:hAnsi="Arial Unicode MS"/>
        </w:rPr>
        <w:t xml:space="preserve">☐ </w:t>
      </w:r>
      <w:r>
        <w:rPr>
          <w:rFonts w:ascii="Times New Roman" w:hAnsi="Times New Roman"/>
        </w:rPr>
        <w:t>One unified factual and technical chronology covering July 2025 through the response date.</w:t>
      </w:r>
    </w:p>
    <w:p>
      <w:pPr>
        <w:spacing w:after="60"/>
        <w:ind w:left="360" w:hanging="360"/>
      </w:pPr>
      <w:r>
        <w:rPr>
          <w:rFonts w:ascii="Arial Unicode MS" w:hAnsi="Arial Unicode MS"/>
        </w:rPr>
        <w:t xml:space="preserve">☐ </w:t>
      </w:r>
      <w:r>
        <w:rPr>
          <w:rFonts w:ascii="Times New Roman" w:hAnsi="Times New Roman"/>
        </w:rPr>
        <w:t>Specific explanation of the July 23, 2025 cybersecurity determination.</w:t>
      </w:r>
    </w:p>
    <w:p>
      <w:pPr>
        <w:spacing w:after="60"/>
        <w:ind w:left="360" w:hanging="360"/>
      </w:pPr>
      <w:r>
        <w:rPr>
          <w:rFonts w:ascii="Arial Unicode MS" w:hAnsi="Arial Unicode MS"/>
        </w:rPr>
        <w:t xml:space="preserve">☐ </w:t>
      </w:r>
      <w:r>
        <w:rPr>
          <w:rFonts w:ascii="Times New Roman" w:hAnsi="Times New Roman"/>
        </w:rPr>
        <w:t>Specific explanation of the early September 2025 silent restoration.</w:t>
      </w:r>
    </w:p>
    <w:p>
      <w:pPr>
        <w:spacing w:after="60"/>
        <w:ind w:left="360" w:hanging="360"/>
      </w:pPr>
      <w:r>
        <w:rPr>
          <w:rFonts w:ascii="Arial Unicode MS" w:hAnsi="Arial Unicode MS"/>
        </w:rPr>
        <w:t xml:space="preserve">☐ </w:t>
      </w:r>
      <w:r>
        <w:rPr>
          <w:rFonts w:ascii="Times New Roman" w:hAnsi="Times New Roman"/>
        </w:rPr>
        <w:t>Specific explanation of the July 19, 2026 restriction and the account-specific trigger.</w:t>
      </w:r>
    </w:p>
    <w:p>
      <w:pPr>
        <w:spacing w:after="60"/>
        <w:ind w:left="360" w:hanging="360"/>
      </w:pPr>
      <w:r>
        <w:rPr>
          <w:rFonts w:ascii="Arial Unicode MS" w:hAnsi="Arial Unicode MS"/>
        </w:rPr>
        <w:t xml:space="preserve">☐ </w:t>
      </w:r>
      <w:r>
        <w:rPr>
          <w:rFonts w:ascii="Times New Roman" w:hAnsi="Times New Roman"/>
        </w:rPr>
        <w:t>Specific explanation of the delayed scheduled Reel and its release at 6:23 p.m.</w:t>
      </w:r>
    </w:p>
    <w:p>
      <w:pPr>
        <w:spacing w:after="60"/>
        <w:ind w:left="360" w:hanging="360"/>
      </w:pPr>
      <w:r>
        <w:rPr>
          <w:rFonts w:ascii="Arial Unicode MS" w:hAnsi="Arial Unicode MS"/>
        </w:rPr>
        <w:t xml:space="preserve">☐ </w:t>
      </w:r>
      <w:r>
        <w:rPr>
          <w:rFonts w:ascii="Times New Roman" w:hAnsi="Times New Roman"/>
        </w:rPr>
        <w:t>Specific explanation of the zero-view insight state.</w:t>
      </w:r>
    </w:p>
    <w:p>
      <w:pPr>
        <w:spacing w:after="60"/>
        <w:ind w:left="360" w:hanging="360"/>
      </w:pPr>
      <w:r>
        <w:rPr>
          <w:rFonts w:ascii="Arial Unicode MS" w:hAnsi="Arial Unicode MS"/>
        </w:rPr>
        <w:t xml:space="preserve">☐ </w:t>
      </w:r>
      <w:r>
        <w:rPr>
          <w:rFonts w:ascii="Times New Roman" w:hAnsi="Times New Roman"/>
        </w:rPr>
        <w:t>Specific explanation of the Meta Verified Plus support failure.</w:t>
      </w:r>
    </w:p>
    <w:p>
      <w:pPr>
        <w:spacing w:after="60"/>
        <w:ind w:left="360" w:hanging="360"/>
      </w:pPr>
      <w:r>
        <w:rPr>
          <w:rFonts w:ascii="Arial Unicode MS" w:hAnsi="Arial Unicode MS"/>
        </w:rPr>
        <w:t xml:space="preserve">☐ </w:t>
      </w:r>
      <w:r>
        <w:rPr>
          <w:rFonts w:ascii="Times New Roman" w:hAnsi="Times New Roman"/>
        </w:rPr>
        <w:t>Full production of account-specific system records and a withholding log.</w:t>
      </w:r>
    </w:p>
    <w:p>
      <w:pPr>
        <w:spacing w:after="60"/>
        <w:ind w:left="360" w:hanging="360"/>
      </w:pPr>
      <w:r>
        <w:rPr>
          <w:rFonts w:ascii="Arial Unicode MS" w:hAnsi="Arial Unicode MS"/>
        </w:rPr>
        <w:t xml:space="preserve">☐ </w:t>
      </w:r>
      <w:r>
        <w:rPr>
          <w:rFonts w:ascii="Times New Roman" w:hAnsi="Times New Roman"/>
        </w:rPr>
        <w:t>Written confirmation that inaccurate labels and residual restrictions have been removed.</w:t>
      </w:r>
    </w:p>
    <w:p>
      <w:pPr>
        <w:spacing w:after="60"/>
        <w:ind w:left="360" w:hanging="360"/>
      </w:pPr>
      <w:r>
        <w:rPr>
          <w:rFonts w:ascii="Arial Unicode MS" w:hAnsi="Arial Unicode MS"/>
        </w:rPr>
        <w:t xml:space="preserve">☐ </w:t>
      </w:r>
      <w:r>
        <w:rPr>
          <w:rFonts w:ascii="Times New Roman" w:hAnsi="Times New Roman"/>
        </w:rPr>
        <w:t>Signed certification of completeness and accuracy.</w:t>
      </w:r>
    </w:p>
    <w:p>
      <w:pPr>
        <w:spacing w:before="200" w:after="0"/>
      </w:pPr>
      <w:r>
        <w:rPr>
          <w:rFonts w:ascii="Times New Roman" w:hAnsi="Times New Roman"/>
          <w:b/>
          <w:sz w:val="16"/>
        </w:rPr>
        <w:t xml:space="preserve">Corporate address note: </w:t>
      </w:r>
      <w:r>
        <w:rPr>
          <w:rFonts w:ascii="Times New Roman" w:hAnsi="Times New Roman"/>
          <w:color w:val="5A5A5A"/>
          <w:sz w:val="16"/>
        </w:rPr>
        <w:t>Meta Platforms, Inc. identifies 1 Meta Way, Menlo Park, California 94025 as its principal executive offices in its 2025 Annual Report filed in 2026.</w:t>
      </w:r>
    </w:p>
    <w:sectPr w:rsidR="00FC693F" w:rsidRPr="0006063C" w:rsidSect="00034616">
      <w:headerReference w:type="default" r:id="rId9"/>
      <w:footerReference w:type="default" r:id="rId10"/>
      <w:pgSz w:w="12240" w:h="15840"/>
      <w:pgMar w:top="1037" w:right="1181" w:bottom="979" w:left="1181" w:header="403" w:footer="403"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Arial" w:hAnsi="Arial"/>
        <w:color w:val="646464"/>
        <w:sz w:val="16"/>
      </w:rPr>
      <w:t xml:space="preserve">Shohei KIMURA v. Meta Platforms, Inc. | Page </w:t>
    </w:r>
    <w:r>
      <w:fldChar w:fldCharType="begin"/>
      <w:instrText xml:space="preserve"> PAGE </w:instrText>
      <w:fldChar w:fldCharType="end"/>
    </w:r>
    <w:r>
      <w:t xml:space="preserve"> of </w:t>
    </w:r>
    <w:r>
      <w:fldChar w:fldCharType="begin"/>
      <w:instrText xml:space="preserve"> NUMPAGES </w:instrTex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Bdr>
        <w:bottom w:val="single" w:sz="4" w:space="3" w:color="A6A6A6"/>
      </w:pBdr>
    </w:pPr>
    <w:r>
      <w:rPr>
        <w:rFonts w:ascii="Arial" w:hAnsi="Arial"/>
        <w:b/>
        <w:color w:val="5A5A5A"/>
        <w:sz w:val="15"/>
      </w:rPr>
      <w:t>FORMAL NOTICE • ALL RIGHTS RESERVED • REQUEST FOR EXECUTIVE AND LEGAL REVIEW</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widowControl/>
      <w:spacing w:after="100" w:line="259" w:lineRule="auto"/>
    </w:pPr>
    <w:rPr>
      <w:rFonts w:ascii="Times New Roman" w:hAnsi="Times New Roman"/>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20" w:after="80"/>
      <w:outlineLvl w:val="0"/>
    </w:pPr>
    <w:rPr>
      <w:rFonts w:asciiTheme="majorHAnsi" w:eastAsiaTheme="majorEastAsia" w:hAnsiTheme="majorHAnsi" w:cstheme="majorBidi" w:ascii="Arial" w:hAnsi="Arial"/>
      <w:b/>
      <w:bCs/>
      <w:color w:val="1F4E79"/>
      <w:sz w:val="24"/>
      <w:szCs w:val="28"/>
    </w:rPr>
  </w:style>
  <w:style w:type="paragraph" w:styleId="Heading2">
    <w:name w:val="heading 2"/>
    <w:basedOn w:val="Normal"/>
    <w:next w:val="Normal"/>
    <w:link w:val="Heading2Char"/>
    <w:uiPriority w:val="9"/>
    <w:unhideWhenUsed/>
    <w:qFormat/>
    <w:rsid w:val="00FC693F"/>
    <w:pPr>
      <w:keepNext/>
      <w:keepLines/>
      <w:spacing w:before="140" w:after="60"/>
      <w:outlineLvl w:val="1"/>
    </w:pPr>
    <w:rPr>
      <w:rFonts w:asciiTheme="majorHAnsi" w:eastAsiaTheme="majorEastAsia" w:hAnsiTheme="majorHAnsi" w:cstheme="majorBidi" w:ascii="Arial" w:hAnsi="Arial"/>
      <w:b/>
      <w:bCs/>
      <w:color w:val="373737"/>
      <w:sz w:val="21"/>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rial" w:hAnsi="Arial"/>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120" w:line="240" w:lineRule="auto"/>
      <w:contextualSpacing/>
    </w:pPr>
    <w:rPr>
      <w:rFonts w:asciiTheme="majorHAnsi" w:eastAsiaTheme="majorEastAsia" w:hAnsiTheme="majorHAnsi" w:cstheme="majorBidi" w:ascii="Arial" w:hAnsi="Arial"/>
      <w:b/>
      <w:color w:val="183757"/>
      <w:spacing w:val="5"/>
      <w:kern w:val="28"/>
      <w:sz w:val="31"/>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ascii="Arial" w:hAnsi="Arial"/>
      <w:i/>
      <w:iCs/>
      <w:color w:val="565656"/>
      <w:spacing w:val="15"/>
      <w:sz w:val="21"/>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hyperlink" Target="https://www.facebook.com/profile.php?id=61572398409812"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Formal Demand to Meta for Complete Explanation and Full Account-System Disclosure</dc:title>
  <dc:subject>Wrongful suspension, silent restoration, July 2026 restriction, and account-specific system disclosure demand</dc:subject>
  <dc:creator>Shohei KIMURA</dc:creator>
  <cp:keywords>Meta, Facebook, wrongful suspension, account disclosure, system logs, Meta Verified Plus, evidence preservation</cp:keywords>
  <dc:description>Prepared as a formal editable Word notice.</dc:description>
  <cp:lastModifiedBy/>
  <cp:revision>1</cp:revision>
  <dcterms:created xsi:type="dcterms:W3CDTF">2013-12-23T23:15:00Z</dcterms:created>
  <dcterms:modified xsi:type="dcterms:W3CDTF">2013-12-23T23:15:00Z</dcterms:modified>
  <cp:category/>
</cp:coreProperties>
</file>