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r w:rsidRPr="00D30952">
              <w:rPr>
                <w:rFonts w:ascii="Noto Sans" w:hAnsi="Noto Sans" w:cs="Noto Sans"/>
                <w:i/>
                <w:color w:val="000000"/>
                <w:lang w:eastAsia="es-MX"/>
              </w:rPr>
              <w:t>dd/mm/aaaa</w:t>
            </w:r>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6A466258"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r w:rsidR="00E81A12">
        <w:rPr>
          <w:rFonts w:ascii="Noto Sans" w:hAnsi="Noto Sans" w:cs="Noto Sans"/>
          <w:b/>
          <w:color w:val="000000"/>
          <w:sz w:val="20"/>
          <w:lang w:eastAsia="es-MX"/>
        </w:rPr>
        <w:t>.</w:t>
      </w:r>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1FBFC212"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Subdirección General de Administración</w:t>
            </w:r>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058143D6" w:rsidR="00A81F22" w:rsidRDefault="00632BAB" w:rsidP="006C3CDE">
            <w:pPr>
              <w:suppressAutoHyphens w:val="0"/>
              <w:rPr>
                <w:rFonts w:ascii="Noto Sans" w:hAnsi="Noto Sans" w:cs="Noto Sans"/>
                <w:color w:val="000000"/>
                <w:lang w:eastAsia="es-MX"/>
              </w:rPr>
            </w:pPr>
            <w:r w:rsidRPr="00632BAB">
              <w:rPr>
                <w:rFonts w:ascii="Noto Sans" w:hAnsi="Noto Sans" w:cs="Noto Sans"/>
                <w:color w:val="000000"/>
                <w:lang w:eastAsia="es-MX"/>
              </w:rPr>
              <w:t>Gerencia de Tecnología de la Información y Comunicaciones</w:t>
            </w: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1EB06707" w:rsidR="00A81F22" w:rsidRDefault="00632BAB" w:rsidP="00172B6D">
            <w:pPr>
              <w:suppressAutoHyphens w:val="0"/>
              <w:rPr>
                <w:rFonts w:ascii="Noto Sans" w:hAnsi="Noto Sans" w:cs="Noto Sans"/>
                <w:color w:val="000000"/>
                <w:lang w:eastAsia="es-MX"/>
              </w:rPr>
            </w:pPr>
            <w:r w:rsidRPr="00632BAB">
              <w:rPr>
                <w:rFonts w:ascii="Noto Sans" w:hAnsi="Noto Sans" w:cs="Noto Sans"/>
                <w:color w:val="000000"/>
                <w:lang w:eastAsia="es-MX"/>
              </w:rPr>
              <w:t>Subgerencia de Sistemas</w:t>
            </w:r>
          </w:p>
        </w:tc>
      </w:tr>
    </w:tbl>
    <w:p w14:paraId="47815141" w14:textId="2C2D9F01" w:rsidR="002F4CA1" w:rsidRPr="00632BAB" w:rsidRDefault="002F4CA1" w:rsidP="00632BAB">
      <w:pPr>
        <w:suppressAutoHyphens w:val="0"/>
        <w:spacing w:before="240"/>
        <w:contextualSpacing/>
        <w:jc w:val="both"/>
        <w:rPr>
          <w:rFonts w:ascii="Noto Sans" w:hAnsi="Noto Sans" w:cs="Noto Sans"/>
          <w:i/>
          <w:color w:val="000000"/>
          <w:sz w:val="10"/>
          <w:lang w:eastAsia="es-MX"/>
        </w:rPr>
      </w:pPr>
    </w:p>
    <w:tbl>
      <w:tblPr>
        <w:tblStyle w:val="TableGrid"/>
        <w:tblW w:w="0" w:type="auto"/>
        <w:jc w:val="center"/>
        <w:tblLayout w:type="fixed"/>
        <w:tblLook w:val="04A0" w:firstRow="1" w:lastRow="0" w:firstColumn="1" w:lastColumn="0" w:noHBand="0" w:noVBand="1"/>
      </w:tblPr>
      <w:tblGrid>
        <w:gridCol w:w="3539"/>
        <w:gridCol w:w="7513"/>
      </w:tblGrid>
      <w:tr w:rsidR="00346D03" w14:paraId="0FCA2DD9" w14:textId="77777777" w:rsidTr="006C3CDE">
        <w:trPr>
          <w:trHeight w:val="454"/>
          <w:jc w:val="center"/>
        </w:trPr>
        <w:tc>
          <w:tcPr>
            <w:tcW w:w="11052" w:type="dxa"/>
            <w:gridSpan w:val="2"/>
            <w:vAlign w:val="center"/>
          </w:tcPr>
          <w:p w14:paraId="14AB6EE6" w14:textId="44DD1A77" w:rsidR="00346D03" w:rsidRPr="00FD7BDA" w:rsidRDefault="00346D03" w:rsidP="00DC3A6A">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w:t>
            </w:r>
            <w:r w:rsidR="00DC3A6A">
              <w:rPr>
                <w:rFonts w:ascii="Noto Sans" w:hAnsi="Noto Sans" w:cs="Noto Sans"/>
                <w:b/>
                <w:color w:val="000000"/>
                <w:lang w:val="es-ES" w:eastAsia="es-MX"/>
              </w:rPr>
              <w:t xml:space="preserve">de </w:t>
            </w:r>
            <w:r w:rsidR="00632BAB">
              <w:rPr>
                <w:rFonts w:ascii="Noto Sans" w:hAnsi="Noto Sans" w:cs="Noto Sans"/>
                <w:b/>
                <w:color w:val="000000"/>
                <w:lang w:val="es-ES" w:eastAsia="es-MX"/>
              </w:rPr>
              <w:t xml:space="preserve">la relación de </w:t>
            </w:r>
            <w:r w:rsidR="00E81A12">
              <w:rPr>
                <w:rFonts w:ascii="Noto Sans" w:hAnsi="Noto Sans" w:cs="Noto Sans"/>
                <w:b/>
                <w:color w:val="000000"/>
                <w:lang w:val="es-ES" w:eastAsia="es-MX"/>
              </w:rPr>
              <w:t>personal externo</w:t>
            </w: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1DC97C8B" w:rsidR="0070470A" w:rsidRPr="00E81A12" w:rsidRDefault="0070470A">
      <w:pPr>
        <w:rPr>
          <w:rFonts w:ascii="Noto Sans" w:hAnsi="Noto Sans" w:cs="Noto Sans"/>
          <w:b/>
          <w:color w:val="000000"/>
          <w:sz w:val="12"/>
          <w:szCs w:val="24"/>
          <w:lang w:val="es-ES" w:eastAsia="es-MX"/>
        </w:rPr>
      </w:pPr>
    </w:p>
    <w:tbl>
      <w:tblPr>
        <w:tblStyle w:val="TableGrid"/>
        <w:tblW w:w="11335" w:type="dxa"/>
        <w:jc w:val="center"/>
        <w:tblLayout w:type="fixed"/>
        <w:tblLook w:val="04A0" w:firstRow="1" w:lastRow="0" w:firstColumn="1" w:lastColumn="0" w:noHBand="0" w:noVBand="1"/>
      </w:tblPr>
      <w:tblGrid>
        <w:gridCol w:w="562"/>
        <w:gridCol w:w="2977"/>
        <w:gridCol w:w="3402"/>
        <w:gridCol w:w="2693"/>
        <w:gridCol w:w="993"/>
        <w:gridCol w:w="708"/>
      </w:tblGrid>
      <w:tr w:rsidR="00873EE7" w14:paraId="14371FED" w14:textId="0942C895" w:rsidTr="00873EE7">
        <w:trPr>
          <w:tblHeader/>
          <w:jc w:val="center"/>
        </w:trPr>
        <w:tc>
          <w:tcPr>
            <w:tcW w:w="11335" w:type="dxa"/>
            <w:gridSpan w:val="6"/>
            <w:vAlign w:val="center"/>
          </w:tcPr>
          <w:p w14:paraId="6215A94F" w14:textId="3F81D54F" w:rsidR="00873EE7" w:rsidRDefault="00873EE7" w:rsidP="003E3FD2">
            <w:pPr>
              <w:pStyle w:val="ListParagraph"/>
              <w:suppressAutoHyphens w:val="0"/>
              <w:spacing w:before="120" w:after="120"/>
              <w:ind w:left="0"/>
              <w:jc w:val="center"/>
              <w:rPr>
                <w:rFonts w:ascii="Noto Sans" w:hAnsi="Noto Sans" w:cs="Noto Sans"/>
                <w:b/>
                <w:color w:val="000000"/>
                <w:sz w:val="20"/>
                <w:szCs w:val="20"/>
                <w:lang w:eastAsia="es-MX"/>
              </w:rPr>
            </w:pPr>
            <w:r>
              <w:rPr>
                <w:rFonts w:ascii="Noto Sans" w:hAnsi="Noto Sans" w:cs="Noto Sans"/>
                <w:b/>
                <w:color w:val="000000"/>
                <w:sz w:val="20"/>
                <w:szCs w:val="20"/>
                <w:lang w:eastAsia="es-MX"/>
              </w:rPr>
              <w:t>Relación de Personal Externo</w:t>
            </w:r>
          </w:p>
        </w:tc>
      </w:tr>
      <w:tr w:rsidR="00E77369" w14:paraId="11FB640D" w14:textId="740D29D7" w:rsidTr="00873EE7">
        <w:trPr>
          <w:tblHeader/>
          <w:jc w:val="center"/>
        </w:trPr>
        <w:tc>
          <w:tcPr>
            <w:tcW w:w="562" w:type="dxa"/>
            <w:vAlign w:val="center"/>
          </w:tcPr>
          <w:p w14:paraId="0E6B3728" w14:textId="0D09C74E" w:rsidR="00E77369" w:rsidRPr="00C20A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20A69">
              <w:rPr>
                <w:rFonts w:ascii="Noto Sans" w:hAnsi="Noto Sans" w:cs="Noto Sans"/>
                <w:color w:val="000000"/>
                <w:sz w:val="18"/>
                <w:szCs w:val="20"/>
                <w:lang w:eastAsia="es-MX"/>
              </w:rPr>
              <w:t>IDU</w:t>
            </w:r>
          </w:p>
        </w:tc>
        <w:tc>
          <w:tcPr>
            <w:tcW w:w="2977" w:type="dxa"/>
            <w:vAlign w:val="center"/>
          </w:tcPr>
          <w:p w14:paraId="422FB852" w14:textId="4B2FA2AC" w:rsidR="00E77369" w:rsidRPr="003F2D6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Completo</w:t>
            </w:r>
          </w:p>
        </w:tc>
        <w:tc>
          <w:tcPr>
            <w:tcW w:w="3402" w:type="dxa"/>
            <w:vAlign w:val="center"/>
          </w:tcPr>
          <w:p w14:paraId="3BBF03DF" w14:textId="7D80882F"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Correo Electrónico</w:t>
            </w:r>
          </w:p>
        </w:tc>
        <w:tc>
          <w:tcPr>
            <w:tcW w:w="2693" w:type="dxa"/>
            <w:vAlign w:val="center"/>
          </w:tcPr>
          <w:p w14:paraId="2A0452F0" w14:textId="46F55BE6"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Nombre de la Empresa</w:t>
            </w:r>
          </w:p>
        </w:tc>
        <w:tc>
          <w:tcPr>
            <w:tcW w:w="993" w:type="dxa"/>
            <w:vAlign w:val="center"/>
          </w:tcPr>
          <w:p w14:paraId="02EE7B43" w14:textId="4DD364E4" w:rsidR="00E77369"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Equipo / Rol</w:t>
            </w:r>
          </w:p>
        </w:tc>
        <w:tc>
          <w:tcPr>
            <w:tcW w:w="708" w:type="dxa"/>
          </w:tcPr>
          <w:p w14:paraId="176D93EB" w14:textId="77777777" w:rsidR="00873EE7"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 xml:space="preserve"># </w:t>
            </w:r>
          </w:p>
          <w:p w14:paraId="380B1DC2" w14:textId="66C10F1C" w:rsidR="00E77369" w:rsidRDefault="00873EE7"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Servicios</w:t>
            </w:r>
          </w:p>
        </w:tc>
      </w:tr>
      <w:tr w:rsidR="00E77369" w14:paraId="1B416931" w14:textId="1D8170AC" w:rsidTr="00873EE7">
        <w:trPr>
          <w:jc w:val="center"/>
        </w:trPr>
        <w:tc>
          <w:tcPr>
            <w:tcW w:w="562" w:type="dxa"/>
            <w:vAlign w:val="center"/>
          </w:tcPr>
          <w:p w14:paraId="21D076F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2977" w:type="dxa"/>
            <w:vAlign w:val="center"/>
          </w:tcPr>
          <w:p w14:paraId="727C768A" w14:textId="5BAABD3C"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val="es-MX" w:eastAsia="es-MX"/>
              </w:rPr>
            </w:pPr>
          </w:p>
        </w:tc>
        <w:tc>
          <w:tcPr>
            <w:tcW w:w="3402" w:type="dxa"/>
            <w:vAlign w:val="center"/>
          </w:tcPr>
          <w:p w14:paraId="2BDC6EB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noWrap/>
            <w:vAlign w:val="center"/>
          </w:tcPr>
          <w:p w14:paraId="429123F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551ED7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9CC3E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0ABCC718" w14:textId="7B77D13F" w:rsidTr="00873EE7">
        <w:trPr>
          <w:jc w:val="center"/>
        </w:trPr>
        <w:tc>
          <w:tcPr>
            <w:tcW w:w="562" w:type="dxa"/>
            <w:vAlign w:val="center"/>
          </w:tcPr>
          <w:p w14:paraId="376D2C28"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2977" w:type="dxa"/>
            <w:vAlign w:val="center"/>
          </w:tcPr>
          <w:p w14:paraId="2E0C1FA3"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222669F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36BCC41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BC3EAB"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EA3619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3A804EAA" w14:textId="1CE4841A" w:rsidTr="00873EE7">
        <w:trPr>
          <w:jc w:val="center"/>
        </w:trPr>
        <w:tc>
          <w:tcPr>
            <w:tcW w:w="562" w:type="dxa"/>
            <w:vAlign w:val="center"/>
          </w:tcPr>
          <w:p w14:paraId="072E9434"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2977" w:type="dxa"/>
            <w:vAlign w:val="center"/>
          </w:tcPr>
          <w:p w14:paraId="6FC8BDD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0326E6A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066C361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064EA61"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05AC988A"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1328A942" w14:textId="4964975C" w:rsidTr="00873EE7">
        <w:trPr>
          <w:jc w:val="center"/>
        </w:trPr>
        <w:tc>
          <w:tcPr>
            <w:tcW w:w="562" w:type="dxa"/>
            <w:vAlign w:val="center"/>
          </w:tcPr>
          <w:p w14:paraId="6756AC9F"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2977" w:type="dxa"/>
            <w:vAlign w:val="center"/>
          </w:tcPr>
          <w:p w14:paraId="60BFE17D"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3C3A720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29351318"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742A3B0F"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330F8B39"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r w:rsidR="00E77369" w14:paraId="6EA477FF" w14:textId="765CEBA3" w:rsidTr="00873EE7">
        <w:trPr>
          <w:jc w:val="center"/>
        </w:trPr>
        <w:tc>
          <w:tcPr>
            <w:tcW w:w="562" w:type="dxa"/>
            <w:vAlign w:val="center"/>
          </w:tcPr>
          <w:p w14:paraId="19F217BB" w14:textId="77777777" w:rsidR="00E77369" w:rsidRPr="00CE3906" w:rsidRDefault="00E77369" w:rsidP="00E81A12">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2977" w:type="dxa"/>
            <w:vAlign w:val="center"/>
          </w:tcPr>
          <w:p w14:paraId="46DFF827"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3402" w:type="dxa"/>
            <w:vAlign w:val="center"/>
          </w:tcPr>
          <w:p w14:paraId="193FD3C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2693" w:type="dxa"/>
            <w:vAlign w:val="center"/>
          </w:tcPr>
          <w:p w14:paraId="40AB2F96"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993" w:type="dxa"/>
            <w:vAlign w:val="center"/>
          </w:tcPr>
          <w:p w14:paraId="024D683C"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c>
          <w:tcPr>
            <w:tcW w:w="708" w:type="dxa"/>
          </w:tcPr>
          <w:p w14:paraId="65C8B590" w14:textId="77777777" w:rsidR="00E77369" w:rsidRPr="00C20A69" w:rsidRDefault="00E77369" w:rsidP="00E81A12">
            <w:pPr>
              <w:pStyle w:val="ListParagraph"/>
              <w:suppressAutoHyphens w:val="0"/>
              <w:spacing w:before="120" w:after="120"/>
              <w:ind w:left="0"/>
              <w:jc w:val="both"/>
              <w:rPr>
                <w:rFonts w:ascii="Noto Sans" w:hAnsi="Noto Sans" w:cs="Noto Sans"/>
                <w:color w:val="000000"/>
                <w:sz w:val="16"/>
                <w:szCs w:val="20"/>
                <w:lang w:eastAsia="es-MX"/>
              </w:rPr>
            </w:pPr>
          </w:p>
        </w:tc>
      </w:tr>
    </w:tbl>
    <w:p w14:paraId="662101F5" w14:textId="77777777" w:rsidR="00C20A69" w:rsidRPr="00970CA5" w:rsidRDefault="00C20A69" w:rsidP="00C20A69">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1B550D77" w14:textId="4E8645E5"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w:t>
      </w:r>
      <w:r w:rsidR="00E81A12">
        <w:rPr>
          <w:rFonts w:ascii="Noto Sans" w:hAnsi="Noto Sans" w:cs="Noto Sans"/>
          <w:i/>
          <w:color w:val="000000"/>
          <w:sz w:val="16"/>
          <w:szCs w:val="20"/>
          <w:lang w:eastAsia="es-MX"/>
        </w:rPr>
        <w:t>/Eliminar</w:t>
      </w:r>
      <w:r w:rsidRPr="00970CA5">
        <w:rPr>
          <w:rFonts w:ascii="Noto Sans" w:hAnsi="Noto Sans" w:cs="Noto Sans"/>
          <w:i/>
          <w:color w:val="000000"/>
          <w:sz w:val="16"/>
          <w:szCs w:val="20"/>
          <w:lang w:eastAsia="es-MX"/>
        </w:rPr>
        <w:t xml:space="preserve"> los </w:t>
      </w:r>
      <w:r>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anterior de acuerdo a la cantidad de </w:t>
      </w:r>
      <w:r>
        <w:rPr>
          <w:rFonts w:ascii="Noto Sans" w:hAnsi="Noto Sans" w:cs="Noto Sans"/>
          <w:i/>
          <w:color w:val="000000"/>
          <w:sz w:val="16"/>
          <w:szCs w:val="20"/>
          <w:lang w:eastAsia="es-MX"/>
        </w:rPr>
        <w:t xml:space="preserve">personas </w:t>
      </w:r>
      <w:r w:rsidRPr="00970CA5">
        <w:rPr>
          <w:rFonts w:ascii="Noto Sans" w:hAnsi="Noto Sans" w:cs="Noto Sans"/>
          <w:i/>
          <w:color w:val="000000"/>
          <w:sz w:val="16"/>
          <w:szCs w:val="20"/>
          <w:lang w:eastAsia="es-MX"/>
        </w:rPr>
        <w:t>que sean necesarios especificar. No dejar ID sin usar.</w:t>
      </w:r>
    </w:p>
    <w:p w14:paraId="031528B1" w14:textId="31517377" w:rsidR="00C20A69" w:rsidRDefault="00C20A69" w:rsidP="00C20A69">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Para cada persona especificar el equipo de desarrollo al que pertenece o en su defecto el rol dentro del</w:t>
      </w:r>
      <w:r w:rsidR="00E81A12">
        <w:rPr>
          <w:rFonts w:ascii="Noto Sans" w:hAnsi="Noto Sans" w:cs="Noto Sans"/>
          <w:i/>
          <w:color w:val="000000"/>
          <w:sz w:val="16"/>
          <w:szCs w:val="20"/>
          <w:lang w:eastAsia="es-MX"/>
        </w:rPr>
        <w:t xml:space="preserve"> proyecto en el que participa</w:t>
      </w:r>
      <w:r>
        <w:rPr>
          <w:rFonts w:ascii="Noto Sans" w:hAnsi="Noto Sans" w:cs="Noto Sans"/>
          <w:i/>
          <w:color w:val="000000"/>
          <w:sz w:val="16"/>
          <w:szCs w:val="20"/>
          <w:lang w:eastAsia="es-MX"/>
        </w:rPr>
        <w:t>.</w:t>
      </w:r>
    </w:p>
    <w:p w14:paraId="1CC763F0" w14:textId="311791AF" w:rsidR="001C291B" w:rsidRPr="005D4BF7" w:rsidRDefault="001C291B" w:rsidP="00C20A69">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Para cada persona especificar</w:t>
      </w:r>
      <w:r>
        <w:rPr>
          <w:rFonts w:ascii="Noto Sans" w:hAnsi="Noto Sans" w:cs="Noto Sans"/>
          <w:i/>
          <w:color w:val="000000"/>
          <w:sz w:val="16"/>
          <w:szCs w:val="20"/>
          <w:lang w:eastAsia="es-MX"/>
        </w:rPr>
        <w:t xml:space="preserve"> el número de servicios que se detallarán en la tabla de Accesos a sitios Web o Equipo.</w:t>
      </w:r>
    </w:p>
    <w:p w14:paraId="2DFA7372" w14:textId="2CDA22B2"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r w:rsidR="00E81A12">
        <w:rPr>
          <w:rFonts w:ascii="Noto Sans" w:hAnsi="Noto Sans" w:cs="Noto Sans"/>
          <w:b/>
          <w:color w:val="000000"/>
          <w:sz w:val="20"/>
          <w:lang w:eastAsia="es-MX"/>
        </w:rPr>
        <w:t>.</w:t>
      </w:r>
    </w:p>
    <w:p w14:paraId="76E27A27" w14:textId="18209DE1"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r w:rsidR="00E81A12">
        <w:rPr>
          <w:rFonts w:ascii="Noto Sans" w:hAnsi="Noto Sans" w:cs="Noto Sans"/>
          <w:b/>
          <w:color w:val="000000"/>
          <w:sz w:val="20"/>
          <w:lang w:eastAsia="es-MX"/>
        </w:rPr>
        <w:t>.</w:t>
      </w:r>
    </w:p>
    <w:tbl>
      <w:tblPr>
        <w:tblStyle w:val="TableGrid"/>
        <w:tblW w:w="0" w:type="auto"/>
        <w:jc w:val="center"/>
        <w:tblLayout w:type="fixed"/>
        <w:tblLook w:val="04A0" w:firstRow="1" w:lastRow="0" w:firstColumn="1" w:lastColumn="0" w:noHBand="0" w:noVBand="1"/>
      </w:tblPr>
      <w:tblGrid>
        <w:gridCol w:w="562"/>
        <w:gridCol w:w="3119"/>
        <w:gridCol w:w="992"/>
        <w:gridCol w:w="5387"/>
        <w:gridCol w:w="1134"/>
      </w:tblGrid>
      <w:tr w:rsidR="00C01999" w14:paraId="2D18CF8D" w14:textId="77777777" w:rsidTr="00E81A12">
        <w:trPr>
          <w:tblHeader/>
          <w:jc w:val="center"/>
        </w:trPr>
        <w:tc>
          <w:tcPr>
            <w:tcW w:w="11194" w:type="dxa"/>
            <w:gridSpan w:val="5"/>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5E11DE" w14:paraId="520F541B" w14:textId="77777777" w:rsidTr="00E81A12">
        <w:trPr>
          <w:trHeight w:val="713"/>
          <w:tblHeader/>
          <w:jc w:val="center"/>
        </w:trPr>
        <w:tc>
          <w:tcPr>
            <w:tcW w:w="562" w:type="dxa"/>
            <w:vAlign w:val="center"/>
          </w:tcPr>
          <w:p w14:paraId="3B6DB3D1" w14:textId="0A1B1E55"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IDU </w:t>
            </w:r>
          </w:p>
        </w:tc>
        <w:tc>
          <w:tcPr>
            <w:tcW w:w="3119" w:type="dxa"/>
            <w:vAlign w:val="center"/>
          </w:tcPr>
          <w:p w14:paraId="1D9AADB2" w14:textId="101BB463"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tc>
        <w:tc>
          <w:tcPr>
            <w:tcW w:w="992" w:type="dxa"/>
            <w:vAlign w:val="center"/>
          </w:tcPr>
          <w:p w14:paraId="52064EDE" w14:textId="317C9F7B" w:rsidR="005E11DE" w:rsidRPr="003F2D66" w:rsidRDefault="005E11DE" w:rsidP="00E81A12">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tc>
        <w:tc>
          <w:tcPr>
            <w:tcW w:w="5387" w:type="dxa"/>
            <w:vAlign w:val="center"/>
          </w:tcPr>
          <w:p w14:paraId="570C863F" w14:textId="16CD9DC7" w:rsidR="005E11DE" w:rsidRPr="003F2D66"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134" w:type="dxa"/>
            <w:vAlign w:val="center"/>
          </w:tcPr>
          <w:p w14:paraId="34527636" w14:textId="480C82E2" w:rsidR="005E11DE" w:rsidRDefault="005E11DE"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w:t>
            </w:r>
            <w:r w:rsidR="00E45661">
              <w:rPr>
                <w:rFonts w:ascii="Noto Sans" w:hAnsi="Noto Sans" w:cs="Noto Sans"/>
                <w:color w:val="000000"/>
                <w:sz w:val="18"/>
                <w:szCs w:val="20"/>
                <w:lang w:eastAsia="es-MX"/>
              </w:rPr>
              <w:t>s</w:t>
            </w:r>
            <w:r>
              <w:rPr>
                <w:rFonts w:ascii="Noto Sans" w:hAnsi="Noto Sans" w:cs="Noto Sans"/>
                <w:color w:val="000000"/>
                <w:sz w:val="18"/>
                <w:szCs w:val="20"/>
                <w:lang w:eastAsia="es-MX"/>
              </w:rPr>
              <w:t xml:space="preserve"> o</w:t>
            </w:r>
          </w:p>
          <w:p w14:paraId="1686F26F" w14:textId="4E340D24" w:rsidR="005E11DE" w:rsidRPr="003F2D66" w:rsidRDefault="005E11DE" w:rsidP="00802C5C">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w:t>
            </w:r>
            <w:r w:rsidR="00E45661">
              <w:rPr>
                <w:rFonts w:ascii="Noto Sans" w:hAnsi="Noto Sans" w:cs="Noto Sans"/>
                <w:color w:val="000000"/>
                <w:sz w:val="18"/>
                <w:szCs w:val="20"/>
                <w:lang w:eastAsia="es-MX"/>
              </w:rPr>
              <w:t>s</w:t>
            </w:r>
          </w:p>
        </w:tc>
      </w:tr>
      <w:tr w:rsidR="005E11DE" w14:paraId="0FD42C04" w14:textId="77777777" w:rsidTr="00E81A12">
        <w:trPr>
          <w:jc w:val="center"/>
        </w:trPr>
        <w:tc>
          <w:tcPr>
            <w:tcW w:w="562" w:type="dxa"/>
            <w:vAlign w:val="center"/>
          </w:tcPr>
          <w:p w14:paraId="3C9572B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28D211B3" w14:textId="7A98377B"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val="es-MX" w:eastAsia="es-MX"/>
              </w:rPr>
            </w:pPr>
          </w:p>
        </w:tc>
        <w:tc>
          <w:tcPr>
            <w:tcW w:w="992" w:type="dxa"/>
            <w:vAlign w:val="center"/>
          </w:tcPr>
          <w:p w14:paraId="1DFDB60E"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noWrap/>
            <w:vAlign w:val="center"/>
          </w:tcPr>
          <w:p w14:paraId="293DE924" w14:textId="15CB7DD4" w:rsidR="005E11DE" w:rsidRPr="003E3FD2" w:rsidRDefault="005E11DE" w:rsidP="00172B6D">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4725CA71"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490FBAE7" w14:textId="77777777" w:rsidTr="00E81A12">
        <w:trPr>
          <w:jc w:val="center"/>
        </w:trPr>
        <w:tc>
          <w:tcPr>
            <w:tcW w:w="562" w:type="dxa"/>
            <w:vAlign w:val="center"/>
          </w:tcPr>
          <w:p w14:paraId="7A25F61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5150C240" w14:textId="4C5F2BF3"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2238E519"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7BB9AD5F" w14:textId="1D8AF608"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D3D05AF"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036CF13C" w14:textId="77777777" w:rsidTr="00E81A12">
        <w:trPr>
          <w:jc w:val="center"/>
        </w:trPr>
        <w:tc>
          <w:tcPr>
            <w:tcW w:w="562" w:type="dxa"/>
            <w:vAlign w:val="center"/>
          </w:tcPr>
          <w:p w14:paraId="3B39ABD8"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47A5FEAC" w14:textId="1D5E06DA"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627F16A"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05653C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7D5E2DD"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7A3E4990" w14:textId="77777777" w:rsidTr="00E81A12">
        <w:trPr>
          <w:jc w:val="center"/>
        </w:trPr>
        <w:tc>
          <w:tcPr>
            <w:tcW w:w="562" w:type="dxa"/>
            <w:vAlign w:val="center"/>
          </w:tcPr>
          <w:p w14:paraId="559F0E7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17F9D200" w14:textId="2E823E5C"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65FA0D3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4D9A7D5"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6D0880B3"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r w:rsidR="005E11DE" w14:paraId="3334E82D" w14:textId="77777777" w:rsidTr="00E81A12">
        <w:trPr>
          <w:jc w:val="center"/>
        </w:trPr>
        <w:tc>
          <w:tcPr>
            <w:tcW w:w="562" w:type="dxa"/>
            <w:vAlign w:val="center"/>
          </w:tcPr>
          <w:p w14:paraId="7BF4B632"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3119" w:type="dxa"/>
            <w:vAlign w:val="center"/>
          </w:tcPr>
          <w:p w14:paraId="75FE9EB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992" w:type="dxa"/>
            <w:vAlign w:val="center"/>
          </w:tcPr>
          <w:p w14:paraId="441AAFF6"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5387" w:type="dxa"/>
            <w:vAlign w:val="center"/>
          </w:tcPr>
          <w:p w14:paraId="4EDD4B1B"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c>
          <w:tcPr>
            <w:tcW w:w="1134" w:type="dxa"/>
            <w:vAlign w:val="center"/>
          </w:tcPr>
          <w:p w14:paraId="1A972360" w14:textId="77777777" w:rsidR="005E11DE" w:rsidRPr="003E3FD2" w:rsidRDefault="005E11DE" w:rsidP="00673EBA">
            <w:pPr>
              <w:pStyle w:val="ListParagraph"/>
              <w:suppressAutoHyphens w:val="0"/>
              <w:spacing w:before="120" w:after="120"/>
              <w:ind w:left="0"/>
              <w:jc w:val="both"/>
              <w:rPr>
                <w:rFonts w:ascii="Noto Sans" w:hAnsi="Noto Sans" w:cs="Noto Sans"/>
                <w:color w:val="000000"/>
                <w:sz w:val="16"/>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2719007C" w14:textId="588F6F60" w:rsidR="00E81A12" w:rsidRDefault="00E81A1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Detallar todos los accesos que requiere cada persona externa usando el ID</w:t>
      </w:r>
      <w:r w:rsidR="005C4B05">
        <w:rPr>
          <w:rFonts w:ascii="Noto Sans" w:hAnsi="Noto Sans" w:cs="Noto Sans"/>
          <w:i/>
          <w:color w:val="000000"/>
          <w:sz w:val="16"/>
          <w:szCs w:val="20"/>
          <w:lang w:eastAsia="es-MX"/>
        </w:rPr>
        <w:t>U</w:t>
      </w:r>
      <w:r>
        <w:rPr>
          <w:rFonts w:ascii="Noto Sans" w:hAnsi="Noto Sans" w:cs="Noto Sans"/>
          <w:i/>
          <w:color w:val="000000"/>
          <w:sz w:val="16"/>
          <w:szCs w:val="20"/>
          <w:lang w:eastAsia="es-MX"/>
        </w:rPr>
        <w:t xml:space="preserve"> que le corresponda de la tabla </w:t>
      </w:r>
      <w:r w:rsidR="005C4B05">
        <w:rPr>
          <w:rFonts w:ascii="Noto Sans" w:hAnsi="Noto Sans" w:cs="Noto Sans"/>
          <w:i/>
          <w:color w:val="000000"/>
          <w:sz w:val="16"/>
          <w:szCs w:val="20"/>
          <w:lang w:eastAsia="es-MX"/>
        </w:rPr>
        <w:t>de relación de personal externo.</w:t>
      </w:r>
    </w:p>
    <w:p w14:paraId="6FD00B7F" w14:textId="77777777" w:rsidR="003E3FD2" w:rsidRDefault="009F52B1"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w:t>
      </w:r>
    </w:p>
    <w:p w14:paraId="1B294661" w14:textId="4B30E998" w:rsidR="005C4B05" w:rsidRDefault="003E3FD2" w:rsidP="005D4BF7">
      <w:pPr>
        <w:pStyle w:val="ListParagraph"/>
        <w:suppressAutoHyphens w:val="0"/>
        <w:ind w:left="567"/>
        <w:contextualSpacing/>
        <w:jc w:val="both"/>
        <w:rPr>
          <w:rFonts w:ascii="Noto Sans" w:hAnsi="Noto Sans" w:cs="Noto Sans"/>
          <w:i/>
          <w:color w:val="000000"/>
          <w:sz w:val="16"/>
          <w:szCs w:val="20"/>
          <w:lang w:eastAsia="es-MX"/>
        </w:rPr>
      </w:pPr>
      <w:r>
        <w:rPr>
          <w:rFonts w:ascii="Noto Sans" w:hAnsi="Noto Sans" w:cs="Noto Sans"/>
          <w:i/>
          <w:color w:val="000000"/>
          <w:sz w:val="16"/>
          <w:szCs w:val="20"/>
          <w:lang w:eastAsia="es-MX"/>
        </w:rPr>
        <w:t xml:space="preserve">No puede haber más de </w:t>
      </w:r>
      <w:r w:rsidR="004E7954">
        <w:rPr>
          <w:rFonts w:ascii="Noto Sans" w:hAnsi="Noto Sans" w:cs="Noto Sans"/>
          <w:i/>
          <w:color w:val="000000"/>
          <w:sz w:val="16"/>
          <w:szCs w:val="20"/>
          <w:lang w:eastAsia="es-MX"/>
        </w:rPr>
        <w:t>un URL/IP Equipo</w:t>
      </w:r>
      <w:r>
        <w:rPr>
          <w:rFonts w:ascii="Noto Sans" w:hAnsi="Noto Sans" w:cs="Noto Sans"/>
          <w:i/>
          <w:color w:val="000000"/>
          <w:sz w:val="16"/>
          <w:szCs w:val="20"/>
          <w:lang w:eastAsia="es-MX"/>
        </w:rPr>
        <w:t xml:space="preserve"> </w:t>
      </w:r>
      <w:r w:rsidR="004E7954">
        <w:rPr>
          <w:rFonts w:ascii="Noto Sans" w:hAnsi="Noto Sans" w:cs="Noto Sans"/>
          <w:i/>
          <w:color w:val="000000"/>
          <w:sz w:val="16"/>
          <w:szCs w:val="20"/>
          <w:lang w:eastAsia="es-MX"/>
        </w:rPr>
        <w:t xml:space="preserve">detallado </w:t>
      </w:r>
      <w:r>
        <w:rPr>
          <w:rFonts w:ascii="Noto Sans" w:hAnsi="Noto Sans" w:cs="Noto Sans"/>
          <w:i/>
          <w:color w:val="000000"/>
          <w:sz w:val="16"/>
          <w:szCs w:val="20"/>
          <w:lang w:eastAsia="es-MX"/>
        </w:rPr>
        <w:t>por renglón.</w:t>
      </w:r>
    </w:p>
    <w:p w14:paraId="0081D7C0" w14:textId="77777777" w:rsidR="009E6688" w:rsidRDefault="008D1089" w:rsidP="005D4BF7">
      <w:pPr>
        <w:pStyle w:val="ListParagraph"/>
        <w:suppressAutoHyphens w:val="0"/>
        <w:ind w:left="567"/>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 xml:space="preserve">No dejar </w:t>
      </w:r>
      <w:r w:rsidR="005C4B05">
        <w:rPr>
          <w:rFonts w:ascii="Noto Sans" w:hAnsi="Noto Sans" w:cs="Noto Sans"/>
          <w:i/>
          <w:color w:val="000000"/>
          <w:sz w:val="16"/>
          <w:szCs w:val="20"/>
          <w:lang w:eastAsia="es-MX"/>
        </w:rPr>
        <w:t xml:space="preserve">de especificar </w:t>
      </w:r>
      <w:r w:rsidR="004E7954">
        <w:rPr>
          <w:rFonts w:ascii="Noto Sans" w:hAnsi="Noto Sans" w:cs="Noto Sans"/>
          <w:i/>
          <w:color w:val="000000"/>
          <w:sz w:val="16"/>
          <w:szCs w:val="20"/>
          <w:lang w:eastAsia="es-MX"/>
        </w:rPr>
        <w:t>URL/IP Equipo</w:t>
      </w:r>
    </w:p>
    <w:p w14:paraId="78C0FF11" w14:textId="40907268" w:rsidR="009F52B1" w:rsidRPr="005D4BF7" w:rsidRDefault="005C4B05" w:rsidP="005D4BF7">
      <w:pPr>
        <w:pStyle w:val="ListParagraph"/>
        <w:suppressAutoHyphens w:val="0"/>
        <w:ind w:left="567"/>
        <w:contextualSpacing/>
        <w:jc w:val="both"/>
        <w:rPr>
          <w:rFonts w:ascii="Noto Sans" w:hAnsi="Noto Sans" w:cs="Noto Sans"/>
          <w:color w:val="000000"/>
          <w:sz w:val="16"/>
          <w:szCs w:val="20"/>
          <w:lang w:eastAsia="es-MX"/>
        </w:rPr>
      </w:pPr>
      <w:r>
        <w:rPr>
          <w:rFonts w:ascii="Noto Sans" w:hAnsi="Noto Sans" w:cs="Noto Sans"/>
          <w:i/>
          <w:color w:val="000000"/>
          <w:sz w:val="16"/>
          <w:szCs w:val="20"/>
          <w:lang w:eastAsia="es-MX"/>
        </w:rPr>
        <w:t xml:space="preserve"> para todos los </w:t>
      </w:r>
      <w:r w:rsidR="008D1089" w:rsidRPr="00970CA5">
        <w:rPr>
          <w:rFonts w:ascii="Noto Sans" w:hAnsi="Noto Sans" w:cs="Noto Sans"/>
          <w:i/>
          <w:color w:val="000000"/>
          <w:sz w:val="16"/>
          <w:szCs w:val="20"/>
          <w:lang w:eastAsia="es-MX"/>
        </w:rPr>
        <w:t>ID</w:t>
      </w:r>
      <w:r>
        <w:rPr>
          <w:rFonts w:ascii="Noto Sans" w:hAnsi="Noto Sans" w:cs="Noto Sans"/>
          <w:i/>
          <w:color w:val="000000"/>
          <w:sz w:val="16"/>
          <w:szCs w:val="20"/>
          <w:lang w:eastAsia="es-MX"/>
        </w:rPr>
        <w:t>U.</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67B13CCF" w14:textId="19B5104F" w:rsidR="004C0AF4" w:rsidRDefault="004C0AF4" w:rsidP="004C0AF4">
      <w:pPr>
        <w:pStyle w:val="paragraph"/>
        <w:numPr>
          <w:ilvl w:val="0"/>
          <w:numId w:val="8"/>
        </w:numPr>
        <w:spacing w:beforeAutospacing="0" w:after="120" w:afterAutospacing="0"/>
        <w:ind w:left="709" w:right="335" w:hanging="491"/>
        <w:jc w:val="both"/>
        <w:textAlignment w:val="baseline"/>
        <w:rPr>
          <w:rStyle w:val="normaltextrun"/>
          <w:rFonts w:ascii="Noto Sans" w:hAnsi="Noto Sans" w:cs="Noto Sans"/>
          <w:sz w:val="20"/>
          <w:szCs w:val="20"/>
        </w:rPr>
      </w:pPr>
      <w:r>
        <w:rPr>
          <w:rStyle w:val="normaltextrun"/>
          <w:rFonts w:ascii="Noto Sans" w:hAnsi="Noto Sans" w:cs="Noto Sans"/>
          <w:sz w:val="20"/>
          <w:szCs w:val="20"/>
        </w:rPr>
        <w:t>L</w:t>
      </w:r>
      <w:r w:rsidRPr="004C0AF4">
        <w:rPr>
          <w:rStyle w:val="normaltextrun"/>
          <w:rFonts w:ascii="Noto Sans" w:hAnsi="Noto Sans" w:cs="Noto Sans"/>
          <w:sz w:val="20"/>
          <w:szCs w:val="20"/>
        </w:rPr>
        <w:t>a persona responsable en la CONAGUA</w:t>
      </w:r>
      <w:r>
        <w:rPr>
          <w:rStyle w:val="normaltextrun"/>
          <w:rFonts w:ascii="Noto Sans" w:hAnsi="Noto Sans" w:cs="Noto Sans"/>
          <w:sz w:val="20"/>
          <w:szCs w:val="20"/>
        </w:rPr>
        <w:t xml:space="preserve"> es responsable de hacer del conocimiento al personal externo los términos y condiciones de uso del servicio que se det</w:t>
      </w:r>
      <w:r w:rsidR="00025728">
        <w:rPr>
          <w:rStyle w:val="normaltextrun"/>
          <w:rFonts w:ascii="Noto Sans" w:hAnsi="Noto Sans" w:cs="Noto Sans"/>
          <w:sz w:val="20"/>
          <w:szCs w:val="20"/>
        </w:rPr>
        <w:t>allan a continuación:</w:t>
      </w:r>
      <w:bookmarkStart w:id="0" w:name="_GoBack"/>
      <w:bookmarkEnd w:id="0"/>
    </w:p>
    <w:p w14:paraId="732E0941" w14:textId="795908BD"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lastRenderedPageBreak/>
        <w:t>Posterior al proceso de autorización de acceso al usuario y ya establecido el túnel de VPN, solo el tráfico que se identifique 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6917F8DC" w14:textId="77777777" w:rsidR="00865FE0" w:rsidRPr="00865FE0" w:rsidRDefault="00865FE0">
      <w:pPr>
        <w:tabs>
          <w:tab w:val="left" w:pos="1590"/>
        </w:tabs>
        <w:rPr>
          <w:rFonts w:ascii="Noto Sans" w:hAnsi="Noto Sans" w:cs="Noto Sans"/>
          <w:b/>
          <w:sz w:val="14"/>
          <w:szCs w:val="16"/>
          <w:u w:val="single"/>
          <w:lang w:val="es-MX"/>
        </w:rPr>
      </w:pPr>
    </w:p>
    <w:p w14:paraId="1666D770" w14:textId="08C2686F" w:rsidR="00E05687" w:rsidRPr="00865FE0" w:rsidRDefault="004B23DC" w:rsidP="00865FE0">
      <w:pPr>
        <w:tabs>
          <w:tab w:val="left" w:pos="1590"/>
        </w:tabs>
        <w:jc w:val="center"/>
        <w:rPr>
          <w:rFonts w:ascii="Noto Sans" w:hAnsi="Noto Sans" w:cs="Noto Sans"/>
          <w:b/>
          <w:szCs w:val="16"/>
          <w:u w:val="single"/>
          <w:lang w:val="es-MX"/>
        </w:rPr>
      </w:pPr>
      <w:r>
        <w:rPr>
          <w:rFonts w:ascii="Noto Sans" w:hAnsi="Noto Sans" w:cs="Noto Sans"/>
          <w:b/>
          <w:szCs w:val="16"/>
          <w:u w:val="single"/>
          <w:lang w:val="es-MX"/>
        </w:rPr>
        <w:t>Formalización e</w:t>
      </w:r>
      <w:r w:rsidR="00865FE0" w:rsidRPr="00865FE0">
        <w:rPr>
          <w:rFonts w:ascii="Noto Sans" w:hAnsi="Noto Sans" w:cs="Noto Sans"/>
          <w:b/>
          <w:szCs w:val="16"/>
          <w:u w:val="single"/>
          <w:lang w:val="es-MX"/>
        </w:rPr>
        <w:t>xclusiv</w:t>
      </w:r>
      <w:r>
        <w:rPr>
          <w:rFonts w:ascii="Noto Sans" w:hAnsi="Noto Sans" w:cs="Noto Sans"/>
          <w:b/>
          <w:szCs w:val="16"/>
          <w:u w:val="single"/>
          <w:lang w:val="es-MX"/>
        </w:rPr>
        <w:t>a</w:t>
      </w:r>
      <w:r w:rsidR="00865FE0" w:rsidRPr="00865FE0">
        <w:rPr>
          <w:rFonts w:ascii="Noto Sans" w:hAnsi="Noto Sans" w:cs="Noto Sans"/>
          <w:b/>
          <w:szCs w:val="16"/>
          <w:u w:val="single"/>
          <w:lang w:val="es-MX"/>
        </w:rPr>
        <w:t xml:space="preserve"> </w:t>
      </w:r>
      <w:r w:rsidR="00865FE0">
        <w:rPr>
          <w:rFonts w:ascii="Noto Sans" w:hAnsi="Noto Sans" w:cs="Noto Sans"/>
          <w:b/>
          <w:szCs w:val="16"/>
          <w:u w:val="single"/>
          <w:lang w:val="es-MX"/>
        </w:rPr>
        <w:t xml:space="preserve">para personal externo de la </w:t>
      </w:r>
      <w:r w:rsidR="00865FE0" w:rsidRPr="00865FE0">
        <w:rPr>
          <w:rFonts w:ascii="Noto Sans" w:hAnsi="Noto Sans" w:cs="Noto Sans"/>
          <w:b/>
          <w:szCs w:val="16"/>
          <w:u w:val="single"/>
          <w:lang w:val="es-MX"/>
        </w:rPr>
        <w:t>Subgerencia de Sistemas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11"/>
      </w:tblGrid>
      <w:tr w:rsidR="00865FE0" w14:paraId="07C813CA" w14:textId="77777777" w:rsidTr="00031CF3">
        <w:trPr>
          <w:jc w:val="center"/>
        </w:trPr>
        <w:tc>
          <w:tcPr>
            <w:tcW w:w="4253" w:type="dxa"/>
            <w:vAlign w:val="center"/>
          </w:tcPr>
          <w:p w14:paraId="5951DBC1" w14:textId="5FC30790" w:rsidR="00865FE0" w:rsidRPr="00967117" w:rsidRDefault="00865FE0" w:rsidP="00031CF3">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tc>
        <w:tc>
          <w:tcPr>
            <w:tcW w:w="4111" w:type="dxa"/>
            <w:vAlign w:val="center"/>
          </w:tcPr>
          <w:p w14:paraId="240569FE" w14:textId="307BE98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Pr>
                <w:rFonts w:ascii="Noto Sans" w:hAnsi="Noto Sans" w:cs="Noto Sans"/>
                <w:szCs w:val="16"/>
                <w:lang w:val="es-MX"/>
              </w:rPr>
              <w:t xml:space="preserve"> Servicios</w:t>
            </w:r>
          </w:p>
        </w:tc>
      </w:tr>
      <w:tr w:rsidR="00865FE0" w14:paraId="5E437EF8" w14:textId="77777777" w:rsidTr="00031CF3">
        <w:trPr>
          <w:trHeight w:val="1389"/>
          <w:jc w:val="center"/>
        </w:trPr>
        <w:tc>
          <w:tcPr>
            <w:tcW w:w="4253" w:type="dxa"/>
            <w:vAlign w:val="center"/>
          </w:tcPr>
          <w:p w14:paraId="21ABE747" w14:textId="77777777" w:rsidR="00865FE0" w:rsidRPr="00967117" w:rsidRDefault="00865FE0" w:rsidP="00264BAA">
            <w:pPr>
              <w:tabs>
                <w:tab w:val="left" w:pos="1590"/>
              </w:tabs>
              <w:jc w:val="center"/>
              <w:rPr>
                <w:rFonts w:ascii="Noto Sans" w:hAnsi="Noto Sans" w:cs="Noto Sans"/>
                <w:szCs w:val="16"/>
                <w:lang w:val="es-MX"/>
              </w:rPr>
            </w:pPr>
          </w:p>
        </w:tc>
        <w:tc>
          <w:tcPr>
            <w:tcW w:w="4111" w:type="dxa"/>
            <w:vAlign w:val="center"/>
          </w:tcPr>
          <w:p w14:paraId="5AD45FCA" w14:textId="77777777" w:rsidR="00865FE0" w:rsidRPr="00967117" w:rsidRDefault="00865FE0" w:rsidP="00264BAA">
            <w:pPr>
              <w:tabs>
                <w:tab w:val="left" w:pos="1590"/>
              </w:tabs>
              <w:jc w:val="center"/>
              <w:rPr>
                <w:rFonts w:ascii="Noto Sans" w:hAnsi="Noto Sans" w:cs="Noto Sans"/>
                <w:szCs w:val="16"/>
                <w:lang w:val="es-MX"/>
              </w:rPr>
            </w:pPr>
          </w:p>
        </w:tc>
      </w:tr>
      <w:tr w:rsidR="00865FE0" w14:paraId="582E4DD7" w14:textId="77777777" w:rsidTr="00031CF3">
        <w:trPr>
          <w:jc w:val="center"/>
        </w:trPr>
        <w:tc>
          <w:tcPr>
            <w:tcW w:w="4253" w:type="dxa"/>
            <w:vAlign w:val="center"/>
          </w:tcPr>
          <w:p w14:paraId="5E6ADED6" w14:textId="7BB6C4DB"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4111" w:type="dxa"/>
            <w:vAlign w:val="center"/>
          </w:tcPr>
          <w:p w14:paraId="44F3A36A" w14:textId="77777777"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865FE0" w14:paraId="1998F48F" w14:textId="77777777" w:rsidTr="00031CF3">
        <w:trPr>
          <w:jc w:val="center"/>
        </w:trPr>
        <w:tc>
          <w:tcPr>
            <w:tcW w:w="4253" w:type="dxa"/>
            <w:vAlign w:val="center"/>
          </w:tcPr>
          <w:p w14:paraId="036D0BC6" w14:textId="2DAB0F21" w:rsidR="00865FE0" w:rsidRPr="00967117" w:rsidRDefault="00865FE0" w:rsidP="00865FE0">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4111" w:type="dxa"/>
            <w:vAlign w:val="center"/>
          </w:tcPr>
          <w:p w14:paraId="0969562B" w14:textId="16F49AF6" w:rsidR="00865FE0" w:rsidRPr="00967117" w:rsidRDefault="00865FE0" w:rsidP="00865FE0">
            <w:pPr>
              <w:tabs>
                <w:tab w:val="left" w:pos="1590"/>
              </w:tabs>
              <w:jc w:val="center"/>
              <w:rPr>
                <w:rFonts w:ascii="Noto Sans" w:hAnsi="Noto Sans" w:cs="Noto Sans"/>
                <w:szCs w:val="16"/>
                <w:lang w:val="es-MX"/>
              </w:rPr>
            </w:pPr>
            <w:r>
              <w:rPr>
                <w:rFonts w:ascii="Noto Sans" w:hAnsi="Noto Sans" w:cs="Noto Sans"/>
                <w:szCs w:val="16"/>
                <w:lang w:val="es-MX"/>
              </w:rPr>
              <w:t>Subgerente de Sistemas</w:t>
            </w:r>
          </w:p>
        </w:tc>
      </w:tr>
    </w:tbl>
    <w:p w14:paraId="19A2F8AB" w14:textId="78085EBE" w:rsidR="00865FE0" w:rsidRDefault="00865FE0">
      <w:pPr>
        <w:tabs>
          <w:tab w:val="left" w:pos="1590"/>
        </w:tabs>
        <w:rPr>
          <w:rFonts w:asciiTheme="minorHAnsi" w:hAnsiTheme="minorHAnsi" w:cstheme="minorHAnsi"/>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47503119"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sidR="004C0AF4">
        <w:rPr>
          <w:rFonts w:asciiTheme="minorHAnsi" w:hAnsiTheme="minorHAnsi" w:cstheme="minorHAnsi"/>
          <w:bCs/>
          <w:sz w:val="16"/>
          <w:szCs w:val="16"/>
        </w:rPr>
        <w:t xml:space="preserve">enviar por cualquier medio esta solicitud y </w:t>
      </w:r>
      <w:r>
        <w:rPr>
          <w:rFonts w:asciiTheme="minorHAnsi" w:hAnsiTheme="minorHAnsi" w:cstheme="minorHAnsi"/>
          <w:bCs/>
          <w:sz w:val="16"/>
          <w:szCs w:val="16"/>
        </w:rPr>
        <w:t xml:space="preserve">no </w:t>
      </w:r>
      <w:r w:rsidR="004C0AF4">
        <w:rPr>
          <w:rFonts w:asciiTheme="minorHAnsi" w:hAnsiTheme="minorHAnsi" w:cstheme="minorHAnsi"/>
          <w:bCs/>
          <w:sz w:val="16"/>
          <w:szCs w:val="16"/>
        </w:rPr>
        <w:t xml:space="preserve">ser </w:t>
      </w:r>
      <w:r>
        <w:rPr>
          <w:rFonts w:asciiTheme="minorHAnsi" w:hAnsiTheme="minorHAnsi" w:cstheme="minorHAnsi"/>
          <w:bCs/>
          <w:sz w:val="16"/>
          <w:szCs w:val="16"/>
        </w:rPr>
        <w:t>recib</w:t>
      </w:r>
      <w:r w:rsidR="004C0AF4">
        <w:rPr>
          <w:rFonts w:asciiTheme="minorHAnsi" w:hAnsiTheme="minorHAnsi" w:cstheme="minorHAnsi"/>
          <w:bCs/>
          <w:sz w:val="16"/>
          <w:szCs w:val="16"/>
        </w:rPr>
        <w:t>o</w:t>
      </w:r>
      <w:r>
        <w:rPr>
          <w:rFonts w:asciiTheme="minorHAnsi" w:hAnsiTheme="minorHAnsi" w:cstheme="minorHAnsi"/>
          <w:bCs/>
          <w:sz w:val="16"/>
          <w:szCs w:val="16"/>
        </w:rPr>
        <w:t xml:space="preserve"> </w:t>
      </w:r>
      <w:r w:rsidR="00B11EFB">
        <w:rPr>
          <w:rFonts w:asciiTheme="minorHAnsi" w:hAnsiTheme="minorHAnsi" w:cstheme="minorHAnsi"/>
          <w:bCs/>
          <w:sz w:val="16"/>
          <w:szCs w:val="16"/>
        </w:rPr>
        <w:t xml:space="preserve">el memorando </w:t>
      </w:r>
      <w:r w:rsidR="004C0AF4">
        <w:rPr>
          <w:rFonts w:asciiTheme="minorHAnsi" w:hAnsiTheme="minorHAnsi" w:cstheme="minorHAnsi"/>
          <w:bCs/>
          <w:sz w:val="16"/>
          <w:szCs w:val="16"/>
        </w:rPr>
        <w:t xml:space="preserve">formalizado impreso </w:t>
      </w:r>
      <w:r>
        <w:rPr>
          <w:rFonts w:asciiTheme="minorHAnsi" w:hAnsiTheme="minorHAnsi" w:cstheme="minorHAnsi"/>
          <w:bCs/>
          <w:sz w:val="16"/>
          <w:szCs w:val="16"/>
        </w:rPr>
        <w:t xml:space="preserve">en un lapso no mayor a </w:t>
      </w:r>
      <w:r w:rsidR="004C0AF4">
        <w:rPr>
          <w:rFonts w:asciiTheme="minorHAnsi" w:hAnsiTheme="minorHAnsi" w:cstheme="minorHAnsi"/>
          <w:bCs/>
          <w:sz w:val="16"/>
          <w:szCs w:val="16"/>
        </w:rPr>
        <w:t>2</w:t>
      </w:r>
      <w:r>
        <w:rPr>
          <w:rFonts w:asciiTheme="minorHAnsi" w:hAnsiTheme="minorHAnsi" w:cstheme="minorHAnsi"/>
          <w:bCs/>
          <w:sz w:val="16"/>
          <w:szCs w:val="16"/>
        </w:rPr>
        <w:t xml:space="preserve"> días hábiles</w:t>
      </w:r>
      <w:r w:rsidR="00EC2AF9">
        <w:rPr>
          <w:rFonts w:asciiTheme="minorHAnsi" w:hAnsiTheme="minorHAnsi" w:cstheme="minorHAnsi"/>
          <w:bCs/>
          <w:sz w:val="16"/>
          <w:szCs w:val="16"/>
        </w:rPr>
        <w:t xml:space="preserve">, </w:t>
      </w:r>
      <w:r>
        <w:rPr>
          <w:rFonts w:asciiTheme="minorHAnsi" w:hAnsiTheme="minorHAnsi" w:cstheme="minorHAnsi"/>
          <w:bCs/>
          <w:sz w:val="16"/>
          <w:szCs w:val="16"/>
        </w:rPr>
        <w:t xml:space="preserve">se </w:t>
      </w:r>
      <w:r w:rsidR="004C0AF4">
        <w:rPr>
          <w:rFonts w:asciiTheme="minorHAnsi" w:hAnsiTheme="minorHAnsi" w:cstheme="minorHAnsi"/>
          <w:bCs/>
          <w:sz w:val="16"/>
          <w:szCs w:val="16"/>
        </w:rPr>
        <w:t xml:space="preserve">eliminarán las modificaciones realizadas </w:t>
      </w:r>
      <w:r w:rsidR="00EC2AF9">
        <w:rPr>
          <w:rFonts w:asciiTheme="minorHAnsi" w:hAnsiTheme="minorHAnsi" w:cstheme="minorHAnsi"/>
          <w:bCs/>
          <w:sz w:val="16"/>
          <w:szCs w:val="16"/>
        </w:rPr>
        <w:t>y solo será reactivada hasta la recepción de</w:t>
      </w:r>
      <w:r w:rsidR="004C0AF4">
        <w:rPr>
          <w:rFonts w:asciiTheme="minorHAnsi" w:hAnsiTheme="minorHAnsi" w:cstheme="minorHAnsi"/>
          <w:bCs/>
          <w:sz w:val="16"/>
          <w:szCs w:val="16"/>
        </w:rPr>
        <w:t xml:space="preserve">l </w:t>
      </w:r>
      <w:r w:rsidR="00EC2AF9">
        <w:rPr>
          <w:rFonts w:asciiTheme="minorHAnsi" w:hAnsiTheme="minorHAnsi" w:cstheme="minorHAnsi"/>
          <w:bCs/>
          <w:sz w:val="16"/>
          <w:szCs w:val="16"/>
        </w:rPr>
        <w:t>documento.</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7DC2F" w14:textId="77777777" w:rsidR="005A7A97" w:rsidRDefault="005A7A97">
      <w:r>
        <w:separator/>
      </w:r>
    </w:p>
  </w:endnote>
  <w:endnote w:type="continuationSeparator" w:id="0">
    <w:p w14:paraId="66ADE2A4" w14:textId="77777777" w:rsidR="005A7A97" w:rsidRDefault="005A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3E3FD2" w:rsidRDefault="003E3FD2"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3E3FD2" w:rsidRDefault="003E3FD2">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2D13C" w14:textId="77777777" w:rsidR="005A7A97" w:rsidRDefault="005A7A97">
      <w:r>
        <w:separator/>
      </w:r>
    </w:p>
  </w:footnote>
  <w:footnote w:type="continuationSeparator" w:id="0">
    <w:p w14:paraId="58527C32" w14:textId="77777777" w:rsidR="005A7A97" w:rsidRDefault="005A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3E3FD2" w:rsidRPr="00284CA2" w14:paraId="3978A690" w14:textId="77777777" w:rsidTr="00266BFC">
      <w:trPr>
        <w:trHeight w:val="113"/>
        <w:jc w:val="center"/>
      </w:trPr>
      <w:tc>
        <w:tcPr>
          <w:tcW w:w="2836" w:type="dxa"/>
          <w:vMerge w:val="restart"/>
        </w:tcPr>
        <w:p w14:paraId="509BFC3A" w14:textId="77777777" w:rsidR="003E3FD2" w:rsidRPr="00284CA2" w:rsidRDefault="003E3FD2" w:rsidP="00284CA2">
          <w:pPr>
            <w:widowControl w:val="0"/>
            <w:rPr>
              <w:rFonts w:ascii="Noto Sans" w:hAnsi="Noto Sans" w:cs="Noto Sans"/>
              <w:lang w:val="es-MX" w:eastAsia="es-MX"/>
            </w:rPr>
          </w:pPr>
        </w:p>
        <w:p w14:paraId="0B280DEC" w14:textId="77777777" w:rsidR="003E3FD2" w:rsidRPr="00284CA2" w:rsidRDefault="003E3FD2"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250DEBF0" w14:textId="77777777"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3E3FD2" w:rsidRPr="00284CA2" w:rsidRDefault="003E3FD2"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389452BA" w:rsidR="003E3FD2" w:rsidRPr="00284CA2" w:rsidRDefault="003E3FD2"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025728">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025728">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3E3FD2" w:rsidRPr="00284CA2" w14:paraId="66509BC8" w14:textId="77777777" w:rsidTr="00266BFC">
      <w:trPr>
        <w:trHeight w:val="41"/>
        <w:jc w:val="center"/>
      </w:trPr>
      <w:tc>
        <w:tcPr>
          <w:tcW w:w="2836" w:type="dxa"/>
          <w:vMerge/>
        </w:tcPr>
        <w:p w14:paraId="649AC0DF" w14:textId="77777777" w:rsidR="003E3FD2" w:rsidRPr="00284CA2" w:rsidRDefault="003E3FD2" w:rsidP="00284CA2">
          <w:pPr>
            <w:widowControl w:val="0"/>
            <w:rPr>
              <w:rFonts w:ascii="Noto Sans" w:hAnsi="Noto Sans" w:cs="Noto Sans"/>
              <w:lang w:val="es-MX" w:eastAsia="en-US"/>
            </w:rPr>
          </w:pPr>
        </w:p>
      </w:tc>
      <w:tc>
        <w:tcPr>
          <w:tcW w:w="5811" w:type="dxa"/>
          <w:vMerge/>
        </w:tcPr>
        <w:p w14:paraId="1FE60DB2" w14:textId="77777777" w:rsidR="003E3FD2" w:rsidRPr="00284CA2" w:rsidRDefault="003E3FD2" w:rsidP="00284CA2">
          <w:pPr>
            <w:widowControl w:val="0"/>
            <w:rPr>
              <w:rFonts w:ascii="Noto Sans" w:hAnsi="Noto Sans" w:cs="Noto Sans"/>
              <w:lang w:val="es-MX" w:eastAsia="en-US"/>
            </w:rPr>
          </w:pPr>
        </w:p>
      </w:tc>
      <w:tc>
        <w:tcPr>
          <w:tcW w:w="1136" w:type="dxa"/>
        </w:tcPr>
        <w:p w14:paraId="57A8219B"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0113F91E" w:rsidR="003E3FD2" w:rsidRPr="00284CA2" w:rsidRDefault="003E3FD2" w:rsidP="00E32DB4">
          <w:pPr>
            <w:widowControl w:val="0"/>
            <w:jc w:val="center"/>
            <w:rPr>
              <w:rFonts w:ascii="Noto Sans" w:hAnsi="Noto Sans" w:cs="Noto Sans"/>
              <w:sz w:val="18"/>
              <w:lang w:val="es-MX" w:eastAsia="en-US"/>
            </w:rPr>
          </w:pPr>
          <w:r>
            <w:rPr>
              <w:rFonts w:ascii="Noto Sans" w:eastAsia="Calibri" w:hAnsi="Noto Sans" w:cs="Noto Sans"/>
              <w:sz w:val="18"/>
              <w:lang w:val="es-MX" w:eastAsia="en-US"/>
            </w:rPr>
            <w:t>0</w:t>
          </w:r>
          <w:r w:rsidRPr="00284CA2">
            <w:rPr>
              <w:rFonts w:ascii="Noto Sans" w:eastAsia="Calibri" w:hAnsi="Noto Sans" w:cs="Noto Sans"/>
              <w:sz w:val="18"/>
              <w:lang w:val="es-MX" w:eastAsia="en-US"/>
            </w:rPr>
            <w:t>.</w:t>
          </w:r>
          <w:r>
            <w:rPr>
              <w:rFonts w:ascii="Noto Sans" w:eastAsia="Calibri" w:hAnsi="Noto Sans" w:cs="Noto Sans"/>
              <w:sz w:val="18"/>
              <w:lang w:val="es-MX" w:eastAsia="en-US"/>
            </w:rPr>
            <w:t>1</w:t>
          </w:r>
        </w:p>
      </w:tc>
    </w:tr>
    <w:tr w:rsidR="003E3FD2" w:rsidRPr="00284CA2" w14:paraId="6267ADAB" w14:textId="77777777" w:rsidTr="00266BFC">
      <w:trPr>
        <w:trHeight w:val="74"/>
        <w:jc w:val="center"/>
      </w:trPr>
      <w:tc>
        <w:tcPr>
          <w:tcW w:w="2836" w:type="dxa"/>
          <w:vMerge/>
        </w:tcPr>
        <w:p w14:paraId="3D754037" w14:textId="77777777" w:rsidR="003E3FD2" w:rsidRPr="00284CA2" w:rsidRDefault="003E3FD2" w:rsidP="00284CA2">
          <w:pPr>
            <w:widowControl w:val="0"/>
            <w:rPr>
              <w:rFonts w:ascii="Noto Sans" w:hAnsi="Noto Sans" w:cs="Noto Sans"/>
              <w:lang w:val="es-MX" w:eastAsia="en-US"/>
            </w:rPr>
          </w:pPr>
        </w:p>
      </w:tc>
      <w:tc>
        <w:tcPr>
          <w:tcW w:w="5811" w:type="dxa"/>
          <w:vMerge/>
        </w:tcPr>
        <w:p w14:paraId="562D61C9" w14:textId="77777777" w:rsidR="003E3FD2" w:rsidRPr="00284CA2" w:rsidRDefault="003E3FD2" w:rsidP="00284CA2">
          <w:pPr>
            <w:widowControl w:val="0"/>
            <w:rPr>
              <w:rFonts w:ascii="Noto Sans" w:hAnsi="Noto Sans" w:cs="Noto Sans"/>
              <w:lang w:val="es-MX" w:eastAsia="en-US"/>
            </w:rPr>
          </w:pPr>
        </w:p>
      </w:tc>
      <w:tc>
        <w:tcPr>
          <w:tcW w:w="1136" w:type="dxa"/>
          <w:vAlign w:val="center"/>
        </w:tcPr>
        <w:p w14:paraId="260D33C3" w14:textId="77777777"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3DC38C50" w:rsidR="003E3FD2" w:rsidRPr="00284CA2" w:rsidRDefault="003E3FD2" w:rsidP="00802C5C">
          <w:pPr>
            <w:widowControl w:val="0"/>
            <w:jc w:val="center"/>
            <w:rPr>
              <w:rFonts w:ascii="Noto Sans" w:hAnsi="Noto Sans" w:cs="Noto Sans"/>
              <w:sz w:val="18"/>
              <w:lang w:val="es-MX" w:eastAsia="en-US"/>
            </w:rPr>
          </w:pPr>
          <w:r>
            <w:rPr>
              <w:rFonts w:ascii="Noto Sans" w:eastAsia="Calibri" w:hAnsi="Noto Sans" w:cs="Noto Sans"/>
              <w:sz w:val="18"/>
              <w:lang w:val="es-MX" w:eastAsia="en-US"/>
            </w:rPr>
            <w:t>Junio</w:t>
          </w:r>
          <w:r w:rsidRPr="00284CA2">
            <w:rPr>
              <w:rFonts w:ascii="Noto Sans" w:eastAsia="Calibri" w:hAnsi="Noto Sans" w:cs="Noto Sans"/>
              <w:sz w:val="18"/>
              <w:lang w:val="es-MX" w:eastAsia="en-US"/>
            </w:rPr>
            <w:t xml:space="preserve"> - 2025</w:t>
          </w:r>
        </w:p>
      </w:tc>
    </w:tr>
    <w:tr w:rsidR="003E3FD2" w:rsidRPr="00284CA2" w14:paraId="577D104C" w14:textId="77777777" w:rsidTr="00266BFC">
      <w:trPr>
        <w:trHeight w:val="74"/>
        <w:jc w:val="center"/>
      </w:trPr>
      <w:tc>
        <w:tcPr>
          <w:tcW w:w="2836" w:type="dxa"/>
          <w:vMerge/>
        </w:tcPr>
        <w:p w14:paraId="3E7E6338" w14:textId="77777777" w:rsidR="003E3FD2" w:rsidRPr="00284CA2" w:rsidRDefault="003E3FD2"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3E3FD2" w:rsidRPr="00284CA2" w:rsidRDefault="003E3FD2"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3E3FD2" w:rsidRDefault="003E3FD2">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3E3FD2" w:rsidRPr="00284CA2" w14:paraId="7098E709" w14:textId="77777777">
      <w:trPr>
        <w:trHeight w:val="113"/>
      </w:trPr>
      <w:tc>
        <w:tcPr>
          <w:tcW w:w="2836" w:type="dxa"/>
          <w:vMerge w:val="restart"/>
        </w:tcPr>
        <w:p w14:paraId="4251F977" w14:textId="77777777" w:rsidR="003E3FD2" w:rsidRPr="00284CA2" w:rsidRDefault="003E3FD2">
          <w:pPr>
            <w:widowControl w:val="0"/>
            <w:rPr>
              <w:rFonts w:ascii="Noto Sans" w:hAnsi="Noto Sans" w:cs="Noto Sans"/>
              <w:lang w:val="es-MX" w:eastAsia="es-MX"/>
            </w:rPr>
          </w:pPr>
        </w:p>
        <w:p w14:paraId="5DDC25DE" w14:textId="77777777" w:rsidR="003E3FD2" w:rsidRPr="00284CA2" w:rsidRDefault="003E3FD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3E3FD2" w:rsidRPr="00284CA2" w:rsidRDefault="003E3FD2" w:rsidP="00284CA2">
          <w:pPr>
            <w:jc w:val="center"/>
            <w:rPr>
              <w:rFonts w:ascii="Noto Sans" w:hAnsi="Noto Sans" w:cs="Noto Sans"/>
              <w:b/>
            </w:rPr>
          </w:pPr>
          <w:r w:rsidRPr="00284CA2">
            <w:rPr>
              <w:rFonts w:ascii="Noto Sans" w:hAnsi="Noto Sans" w:cs="Noto Sans"/>
              <w:b/>
            </w:rPr>
            <w:t>COMISIÓN NACIONAL DEL AGUA</w:t>
          </w:r>
        </w:p>
        <w:p w14:paraId="102379C9" w14:textId="7B3FA4CF" w:rsidR="003E3FD2" w:rsidRPr="00284CA2" w:rsidRDefault="003E3FD2"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3E3FD2" w:rsidRPr="00284CA2" w:rsidRDefault="003E3FD2"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3E3FD2" w:rsidRPr="00284CA2" w:rsidRDefault="003E3FD2"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3E3FD2" w:rsidRPr="00284CA2" w14:paraId="5836EA6A" w14:textId="77777777">
      <w:trPr>
        <w:trHeight w:val="41"/>
      </w:trPr>
      <w:tc>
        <w:tcPr>
          <w:tcW w:w="2836" w:type="dxa"/>
          <w:vMerge/>
        </w:tcPr>
        <w:p w14:paraId="34E42EE5" w14:textId="77777777" w:rsidR="003E3FD2" w:rsidRPr="00284CA2" w:rsidRDefault="003E3FD2">
          <w:pPr>
            <w:widowControl w:val="0"/>
            <w:rPr>
              <w:rFonts w:ascii="Noto Sans" w:hAnsi="Noto Sans" w:cs="Noto Sans"/>
              <w:lang w:val="es-MX" w:eastAsia="en-US"/>
            </w:rPr>
          </w:pPr>
        </w:p>
      </w:tc>
      <w:tc>
        <w:tcPr>
          <w:tcW w:w="5811" w:type="dxa"/>
          <w:vMerge/>
        </w:tcPr>
        <w:p w14:paraId="30E7CCF3" w14:textId="77777777" w:rsidR="003E3FD2" w:rsidRPr="00284CA2" w:rsidRDefault="003E3FD2">
          <w:pPr>
            <w:widowControl w:val="0"/>
            <w:rPr>
              <w:rFonts w:ascii="Noto Sans" w:hAnsi="Noto Sans" w:cs="Noto Sans"/>
              <w:lang w:val="es-MX" w:eastAsia="en-US"/>
            </w:rPr>
          </w:pPr>
        </w:p>
      </w:tc>
      <w:tc>
        <w:tcPr>
          <w:tcW w:w="1136" w:type="dxa"/>
        </w:tcPr>
        <w:p w14:paraId="47AE643D" w14:textId="77777777"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3E3FD2" w:rsidRPr="00284CA2" w:rsidRDefault="003E3FD2"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3E3FD2" w:rsidRPr="00284CA2" w14:paraId="084578A4" w14:textId="77777777">
      <w:trPr>
        <w:trHeight w:val="74"/>
      </w:trPr>
      <w:tc>
        <w:tcPr>
          <w:tcW w:w="2836" w:type="dxa"/>
          <w:vMerge/>
        </w:tcPr>
        <w:p w14:paraId="4DCBC756" w14:textId="77777777" w:rsidR="003E3FD2" w:rsidRPr="00284CA2" w:rsidRDefault="003E3FD2">
          <w:pPr>
            <w:widowControl w:val="0"/>
            <w:rPr>
              <w:rFonts w:ascii="Noto Sans" w:hAnsi="Noto Sans" w:cs="Noto Sans"/>
              <w:lang w:val="es-MX" w:eastAsia="en-US"/>
            </w:rPr>
          </w:pPr>
        </w:p>
      </w:tc>
      <w:tc>
        <w:tcPr>
          <w:tcW w:w="5811" w:type="dxa"/>
          <w:vMerge/>
        </w:tcPr>
        <w:p w14:paraId="1DAB1E7D" w14:textId="77777777" w:rsidR="003E3FD2" w:rsidRPr="00284CA2" w:rsidRDefault="003E3FD2">
          <w:pPr>
            <w:widowControl w:val="0"/>
            <w:rPr>
              <w:rFonts w:ascii="Noto Sans" w:hAnsi="Noto Sans" w:cs="Noto Sans"/>
              <w:lang w:val="es-MX" w:eastAsia="en-US"/>
            </w:rPr>
          </w:pPr>
        </w:p>
      </w:tc>
      <w:tc>
        <w:tcPr>
          <w:tcW w:w="1136" w:type="dxa"/>
          <w:vAlign w:val="center"/>
        </w:tcPr>
        <w:p w14:paraId="48BD58A2" w14:textId="61E480D0"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3E3FD2" w:rsidRPr="00284CA2" w:rsidRDefault="003E3FD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3E3FD2" w:rsidRPr="00284CA2" w14:paraId="383D508E" w14:textId="77777777">
      <w:trPr>
        <w:trHeight w:val="74"/>
      </w:trPr>
      <w:tc>
        <w:tcPr>
          <w:tcW w:w="2836" w:type="dxa"/>
          <w:vMerge/>
        </w:tcPr>
        <w:p w14:paraId="6C31E62B" w14:textId="77777777" w:rsidR="003E3FD2" w:rsidRPr="00284CA2" w:rsidRDefault="003E3FD2">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3E3FD2" w:rsidRPr="00284CA2" w:rsidRDefault="003E3FD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3E3FD2" w:rsidRDefault="003E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25728"/>
    <w:rsid w:val="00031CF3"/>
    <w:rsid w:val="000607F9"/>
    <w:rsid w:val="000E369B"/>
    <w:rsid w:val="00114F19"/>
    <w:rsid w:val="00125174"/>
    <w:rsid w:val="001277F6"/>
    <w:rsid w:val="00135E66"/>
    <w:rsid w:val="001414A8"/>
    <w:rsid w:val="00172B6D"/>
    <w:rsid w:val="001A0453"/>
    <w:rsid w:val="001B6CAD"/>
    <w:rsid w:val="001C291B"/>
    <w:rsid w:val="001C6667"/>
    <w:rsid w:val="001E4ED6"/>
    <w:rsid w:val="00216836"/>
    <w:rsid w:val="00252E8C"/>
    <w:rsid w:val="00264BAA"/>
    <w:rsid w:val="00264F39"/>
    <w:rsid w:val="00266BFC"/>
    <w:rsid w:val="0027717F"/>
    <w:rsid w:val="00284CA2"/>
    <w:rsid w:val="002C2BEE"/>
    <w:rsid w:val="002E7E7D"/>
    <w:rsid w:val="002F4CA1"/>
    <w:rsid w:val="002F5809"/>
    <w:rsid w:val="002F596F"/>
    <w:rsid w:val="003335AB"/>
    <w:rsid w:val="003464A8"/>
    <w:rsid w:val="00346D03"/>
    <w:rsid w:val="003D39E4"/>
    <w:rsid w:val="003E3FD2"/>
    <w:rsid w:val="003F2D66"/>
    <w:rsid w:val="004306C2"/>
    <w:rsid w:val="0043576D"/>
    <w:rsid w:val="004B23DC"/>
    <w:rsid w:val="004C0AF4"/>
    <w:rsid w:val="004C7392"/>
    <w:rsid w:val="004E7954"/>
    <w:rsid w:val="005920DA"/>
    <w:rsid w:val="00596680"/>
    <w:rsid w:val="005A7A97"/>
    <w:rsid w:val="005C4B05"/>
    <w:rsid w:val="005D4BF7"/>
    <w:rsid w:val="005E11DE"/>
    <w:rsid w:val="005F6BD9"/>
    <w:rsid w:val="00622A64"/>
    <w:rsid w:val="00632BAB"/>
    <w:rsid w:val="00673EBA"/>
    <w:rsid w:val="00681B0D"/>
    <w:rsid w:val="006A0CA7"/>
    <w:rsid w:val="006C3CDE"/>
    <w:rsid w:val="0070470A"/>
    <w:rsid w:val="00750C1C"/>
    <w:rsid w:val="007861B2"/>
    <w:rsid w:val="007B5470"/>
    <w:rsid w:val="00802C5C"/>
    <w:rsid w:val="008222B6"/>
    <w:rsid w:val="00826610"/>
    <w:rsid w:val="00865FE0"/>
    <w:rsid w:val="00873EE7"/>
    <w:rsid w:val="008A360D"/>
    <w:rsid w:val="008D1089"/>
    <w:rsid w:val="008E22CD"/>
    <w:rsid w:val="00931285"/>
    <w:rsid w:val="00937DD8"/>
    <w:rsid w:val="00951A26"/>
    <w:rsid w:val="00955C25"/>
    <w:rsid w:val="00967117"/>
    <w:rsid w:val="00970CA5"/>
    <w:rsid w:val="0097239B"/>
    <w:rsid w:val="00975D9F"/>
    <w:rsid w:val="00977162"/>
    <w:rsid w:val="009E6688"/>
    <w:rsid w:val="009F52B1"/>
    <w:rsid w:val="00A35E4E"/>
    <w:rsid w:val="00A41803"/>
    <w:rsid w:val="00A81F22"/>
    <w:rsid w:val="00A9489F"/>
    <w:rsid w:val="00AF0E49"/>
    <w:rsid w:val="00AF3C5A"/>
    <w:rsid w:val="00B11EFB"/>
    <w:rsid w:val="00B34174"/>
    <w:rsid w:val="00C01999"/>
    <w:rsid w:val="00C14730"/>
    <w:rsid w:val="00C16DD3"/>
    <w:rsid w:val="00C20A69"/>
    <w:rsid w:val="00C36C85"/>
    <w:rsid w:val="00C912B8"/>
    <w:rsid w:val="00CD403D"/>
    <w:rsid w:val="00CE3906"/>
    <w:rsid w:val="00D04551"/>
    <w:rsid w:val="00D21992"/>
    <w:rsid w:val="00D22531"/>
    <w:rsid w:val="00D30952"/>
    <w:rsid w:val="00D4162A"/>
    <w:rsid w:val="00D42057"/>
    <w:rsid w:val="00D4564D"/>
    <w:rsid w:val="00D70E70"/>
    <w:rsid w:val="00DA6A20"/>
    <w:rsid w:val="00DC3A6A"/>
    <w:rsid w:val="00DD617D"/>
    <w:rsid w:val="00DE69C9"/>
    <w:rsid w:val="00E05687"/>
    <w:rsid w:val="00E32DB4"/>
    <w:rsid w:val="00E36AA4"/>
    <w:rsid w:val="00E45661"/>
    <w:rsid w:val="00E47422"/>
    <w:rsid w:val="00E54F43"/>
    <w:rsid w:val="00E77369"/>
    <w:rsid w:val="00E80700"/>
    <w:rsid w:val="00E81A12"/>
    <w:rsid w:val="00E94E74"/>
    <w:rsid w:val="00EC2AF9"/>
    <w:rsid w:val="00EE7313"/>
    <w:rsid w:val="00F4569A"/>
    <w:rsid w:val="00FA08CF"/>
    <w:rsid w:val="00FA31DC"/>
    <w:rsid w:val="00FA7B8D"/>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 w:type="character" w:styleId="CommentReference">
    <w:name w:val="annotation reference"/>
    <w:basedOn w:val="DefaultParagraphFont"/>
    <w:semiHidden/>
    <w:unhideWhenUsed/>
    <w:rsid w:val="00E81A12"/>
    <w:rPr>
      <w:sz w:val="16"/>
      <w:szCs w:val="16"/>
    </w:rPr>
  </w:style>
  <w:style w:type="paragraph" w:styleId="CommentText">
    <w:name w:val="annotation text"/>
    <w:basedOn w:val="Normal"/>
    <w:link w:val="CommentTextChar"/>
    <w:semiHidden/>
    <w:unhideWhenUsed/>
    <w:rsid w:val="00E81A12"/>
  </w:style>
  <w:style w:type="character" w:customStyle="1" w:styleId="CommentTextChar">
    <w:name w:val="Comment Text Char"/>
    <w:basedOn w:val="DefaultParagraphFont"/>
    <w:link w:val="CommentText"/>
    <w:semiHidden/>
    <w:rsid w:val="00E81A12"/>
    <w:rPr>
      <w:lang w:val="es-ES_tradnl" w:eastAsia="es-ES"/>
    </w:rPr>
  </w:style>
  <w:style w:type="paragraph" w:styleId="CommentSubject">
    <w:name w:val="annotation subject"/>
    <w:basedOn w:val="CommentText"/>
    <w:next w:val="CommentText"/>
    <w:link w:val="CommentSubjectChar"/>
    <w:semiHidden/>
    <w:unhideWhenUsed/>
    <w:rsid w:val="00E81A12"/>
    <w:rPr>
      <w:b/>
      <w:bCs/>
    </w:rPr>
  </w:style>
  <w:style w:type="character" w:customStyle="1" w:styleId="CommentSubjectChar">
    <w:name w:val="Comment Subject Char"/>
    <w:basedOn w:val="CommentTextChar"/>
    <w:link w:val="CommentSubject"/>
    <w:semiHidden/>
    <w:rsid w:val="00E81A12"/>
    <w:rPr>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A5F18-A640-4B61-8D7F-601270A4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TotalTime>
  <Pages>3</Pages>
  <Words>932</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14</cp:lastModifiedBy>
  <cp:revision>61</cp:revision>
  <cp:lastPrinted>2025-05-12T20:24:00Z</cp:lastPrinted>
  <dcterms:created xsi:type="dcterms:W3CDTF">2025-04-11T19:25:00Z</dcterms:created>
  <dcterms:modified xsi:type="dcterms:W3CDTF">2025-06-27T23:42:00Z</dcterms:modified>
  <dc:language>es-MX</dc:language>
</cp:coreProperties>
</file>