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59" w:lineRule="auto"/>
        <w:jc w:val="center"/>
      </w:pPr>
      <w:r>
        <w:rPr>
          <w:rFonts w:ascii="Times New Roman" w:eastAsia="Calibri" w:hAnsi="Times New Roman" w:cs="Times New Roman"/>
          <w:b/>
          <w:bCs/>
          <w:color w:val="0F2C3D"/>
          <w:sz w:val="24"/>
          <w:szCs w:val="24"/>
        </w:rPr>
        <w:t xml:space="preserve">United International University</w:t>
      </w:r>
    </w:p>
    <w:p>
      <w:pPr>
        <w:spacing w:before="0" w:after="40" w:line="259" w:lineRule="auto"/>
        <w:jc w:val="center"/>
      </w:pPr>
      <w:r>
        <w:rPr>
          <w:rFonts w:ascii="Times New Roman" w:eastAsia="Calibri" w:hAnsi="Times New Roman" w:cs="Times New Roman"/>
          <w:sz w:val="20"/>
          <w:szCs w:val="20"/>
        </w:rPr>
        <w:t xml:space="preserve">School of Business and Economics</w:t>
      </w:r>
    </w:p>
    <w:p>
      <w:pPr>
        <w:spacing w:before="0" w:after="0" w:line="259" w:lineRule="auto"/>
        <w:jc w:val="center"/>
      </w:pPr>
      <w:r>
        <w:rPr>
          <w:rFonts w:ascii="Times New Roman" w:eastAsia="Calibri" w:hAnsi="Times New Roman" w:cs="Times New Roman"/>
          <w:b/>
          <w:bCs/>
          <w:color w:val="0A565E"/>
          <w:sz w:val="28"/>
          <w:szCs w:val="28"/>
        </w:rPr>
        <w:t xml:space="preserve">Online Review Sentiment Analysis: Flipkart and Twitter</w:t>
      </w:r>
    </w:p>
    <w:p>
      <w:pPr>
        <w:spacing w:before="0" w:after="60" w:line="259" w:lineRule="auto"/>
        <w:jc w:val="center"/>
      </w:pPr>
      <w:r>
        <w:rPr>
          <w:rFonts w:ascii="Times New Roman" w:eastAsia="Calibri" w:hAnsi="Times New Roman" w:cs="Times New Roman"/>
          <w:i/>
          <w:iCs/>
          <w:color w:val="404040"/>
          <w:sz w:val="20"/>
          <w:szCs w:val="20"/>
        </w:rPr>
        <w:t xml:space="preserve">Assignment on NLP and Sentiment Analysis</w:t>
      </w:r>
    </w:p>
    <w:p>
      <w:pPr>
        <w:spacing w:before="0" w:after="30" w:line="259" w:lineRule="auto"/>
        <w:jc w:val="left"/>
      </w:pPr>
      <w:r>
        <w:rPr>
          <w:rFonts w:ascii="Times New Roman" w:eastAsia="Calibri" w:hAnsi="Times New Roman" w:cs="Times New Roman"/>
          <w:b/>
          <w:bCs/>
          <w:sz w:val="22"/>
          <w:szCs w:val="22"/>
        </w:rPr>
        <w:t xml:space="preserve">Name: </w:t>
      </w:r>
      <w:r>
        <w:rPr>
          <w:rFonts w:ascii="Times New Roman" w:eastAsia="Calibri" w:hAnsi="Times New Roman" w:cs="Times New Roman"/>
          <w:b/>
          <w:bCs/>
          <w:sz w:val="22"/>
          <w:szCs w:val="22"/>
          <w:u w:val="single"/>
        </w:rPr>
        <w:t xml:space="preserve">Rabea Akter Shoily</w:t>
      </w:r>
      <w:r>
        <w:rPr>
          <w:rFonts w:ascii="Times New Roman" w:eastAsia="Calibri" w:hAnsi="Times New Roman" w:cs="Times New Roman"/>
          <w:b/>
          <w:bCs/>
          <w:sz w:val="22"/>
          <w:szCs w:val="22"/>
        </w:rPr>
        <w:t xml:space="preserve">          Student ID: </w:t>
      </w:r>
      <w:r>
        <w:rPr>
          <w:rFonts w:ascii="Times New Roman" w:eastAsia="Calibri" w:hAnsi="Times New Roman" w:cs="Times New Roman"/>
          <w:b/>
          <w:bCs/>
          <w:sz w:val="22"/>
          <w:szCs w:val="22"/>
          <w:u w:val="single"/>
        </w:rPr>
        <w:t xml:space="preserve">905253001</w:t>
      </w:r>
    </w:p>
    <w:p>
      <w:pPr>
        <w:spacing w:before="0" w:after="40" w:line="259" w:lineRule="auto"/>
        <w:jc w:val="left"/>
      </w:pPr>
      <w:r>
        <w:rPr>
          <w:rFonts w:ascii="Times New Roman" w:eastAsia="Calibri" w:hAnsi="Times New Roman" w:cs="Times New Roman"/>
          <w:b/>
          <w:bCs/>
          <w:sz w:val="22"/>
          <w:szCs w:val="22"/>
        </w:rPr>
        <w:t xml:space="preserve">GitHub repository: </w:t>
      </w:r>
      <w:r>
        <w:rPr>
          <w:rFonts w:ascii="Times New Roman" w:eastAsia="Calibri" w:hAnsi="Times New Roman" w:cs="Times New Roman"/>
          <w:i/>
          <w:iCs/>
          <w:color w:val="2F5496"/>
          <w:sz w:val="20"/>
          <w:szCs w:val="20"/>
        </w:rPr>
        <w:t xml:space="preserve">[link to be added]</w:t>
      </w:r>
    </w:p>
    <w:p>
      <w:pPr>
        <w:keepNext/>
        <w:spacing w:before="160" w:after="70" w:line="259" w:lineRule="auto"/>
        <w:jc w:val="left"/>
        <w:outlineLvl w:val="0"/>
      </w:pPr>
      <w:r>
        <w:rPr>
          <w:rFonts w:ascii="Times New Roman" w:eastAsia="Calibri" w:hAnsi="Times New Roman" w:cs="Times New Roman"/>
          <w:b/>
          <w:bCs/>
          <w:color w:val="0F2C3D"/>
          <w:sz w:val="24"/>
          <w:szCs w:val="24"/>
        </w:rPr>
        <w:t xml:space="preserve">1. Introduction</w:t>
      </w:r>
    </w:p>
    <w:p>
      <w:pPr>
        <w:spacing w:before="0" w:after="80" w:line="259" w:lineRule="auto"/>
        <w:jc w:val="both"/>
      </w:pPr>
      <w:r>
        <w:rPr>
          <w:rFonts w:ascii="Times New Roman" w:eastAsia="Calibri" w:hAnsi="Times New Roman" w:cs="Times New Roman"/>
          <w:sz w:val="21"/>
          <w:szCs w:val="21"/>
        </w:rPr>
        <w:t xml:space="preserve">Customers write thousands of short opinions about products every day, on shopping sites and on social media. This project teaches a computer to read such a review and label it as positive, neutral or negative, and then uses those labels to see how opinion changes over time, between Flipkart and Twitter, and between products. The data is a synthetic set of 1,000 reviews of 15 products (600 from Flipkart, 400 from Twitter, January to December 2025). The workflow is: check the data, clean the text and turn it into numbers (TF-IDF), split the data, train and compare three classification models, study their mistakes, and finally plot the sentiment trends. The main lesson is about honest testing: how the data is split changes the results far more than the choice of model.</w:t>
      </w:r>
    </w:p>
    <w:p>
      <w:pPr>
        <w:keepNext/>
        <w:spacing w:before="160" w:after="70" w:line="259" w:lineRule="auto"/>
        <w:jc w:val="left"/>
        <w:outlineLvl w:val="0"/>
      </w:pPr>
      <w:r>
        <w:rPr>
          <w:rFonts w:ascii="Times New Roman" w:eastAsia="Calibri" w:hAnsi="Times New Roman" w:cs="Times New Roman"/>
          <w:b/>
          <w:bCs/>
          <w:color w:val="0F2C3D"/>
          <w:sz w:val="24"/>
          <w:szCs w:val="24"/>
        </w:rPr>
        <w:t xml:space="preserve">2. Workflow, models and results</w:t>
      </w:r>
    </w:p>
    <w:p>
      <w:pPr>
        <w:keepNext/>
        <w:spacing w:before="110" w:after="50" w:line="259" w:lineRule="auto"/>
        <w:jc w:val="left"/>
        <w:outlineLvl w:val="1"/>
      </w:pPr>
      <w:r>
        <w:rPr>
          <w:rFonts w:ascii="Times New Roman" w:eastAsia="Calibri" w:hAnsi="Times New Roman" w:cs="Times New Roman"/>
          <w:b/>
          <w:bCs/>
          <w:color w:val="0E7C86"/>
          <w:sz w:val="23"/>
          <w:szCs w:val="23"/>
        </w:rPr>
        <w:t xml:space="preserve">2.1 Data and preprocessing</w:t>
      </w:r>
    </w:p>
    <w:p>
      <w:pPr>
        <w:spacing w:before="0" w:after="80" w:line="259" w:lineRule="auto"/>
        <w:jc w:val="both"/>
      </w:pPr>
      <w:r>
        <w:rPr>
          <w:rFonts w:ascii="Times New Roman" w:eastAsia="Calibri" w:hAnsi="Times New Roman" w:cs="Times New Roman"/>
          <w:sz w:val="21"/>
          <w:szCs w:val="21"/>
        </w:rPr>
        <w:t xml:space="preserve">The dataset has no missing values. Positive reviews are 40% of the data, negative 34% and neutral 26% (Figure 1, left). Two checks shaped the rest of the work. </w:t>
      </w:r>
      <w:r>
        <w:rPr>
          <w:rFonts w:ascii="Times New Roman" w:eastAsia="Calibri" w:hAnsi="Times New Roman" w:cs="Times New Roman"/>
          <w:b/>
          <w:bCs/>
          <w:sz w:val="21"/>
          <w:szCs w:val="21"/>
        </w:rPr>
        <w:t xml:space="preserve">First, </w:t>
      </w:r>
      <w:r>
        <w:rPr>
          <w:rFonts w:ascii="Times New Roman" w:eastAsia="Calibri" w:hAnsi="Times New Roman" w:cs="Times New Roman"/>
          <w:sz w:val="21"/>
          <w:szCs w:val="21"/>
        </w:rPr>
        <w:t xml:space="preserve">the 1,000 reviews contain only </w:t>
      </w:r>
      <w:r>
        <w:rPr>
          <w:rFonts w:ascii="Times New Roman" w:eastAsia="Calibri" w:hAnsi="Times New Roman" w:cs="Times New Roman"/>
          <w:b/>
          <w:bCs/>
          <w:sz w:val="21"/>
          <w:szCs w:val="21"/>
        </w:rPr>
        <w:t xml:space="preserve">42 distinct sentence templates</w:t>
      </w:r>
      <w:r>
        <w:rPr>
          <w:rFonts w:ascii="Times New Roman" w:eastAsia="Calibri" w:hAnsi="Times New Roman" w:cs="Times New Roman"/>
          <w:sz w:val="21"/>
          <w:szCs w:val="21"/>
        </w:rPr>
        <w:t xml:space="preserve"> (14 per class); only the product name changes, and each template always carries the same label. </w:t>
      </w:r>
      <w:r>
        <w:rPr>
          <w:rFonts w:ascii="Times New Roman" w:eastAsia="Calibri" w:hAnsi="Times New Roman" w:cs="Times New Roman"/>
          <w:b/>
          <w:bCs/>
          <w:sz w:val="21"/>
          <w:szCs w:val="21"/>
        </w:rPr>
        <w:t xml:space="preserve">Second, </w:t>
      </w:r>
      <w:r>
        <w:rPr>
          <w:rFonts w:ascii="Times New Roman" w:eastAsia="Calibri" w:hAnsi="Times New Roman" w:cs="Times New Roman"/>
          <w:sz w:val="21"/>
          <w:szCs w:val="21"/>
        </w:rPr>
        <w:t xml:space="preserve">the star rating is unrelated to the sentiment label (correlation −0.005; Figure 1, right), so only the review text was used.</w:t>
      </w:r>
    </w:p>
    <w:p>
      <w:pPr>
        <w:spacing w:before="0" w:after="80" w:line="259" w:lineRule="auto"/>
        <w:jc w:val="both"/>
      </w:pPr>
      <w:r>
        <w:rPr>
          <w:rFonts w:ascii="Times New Roman" w:eastAsia="Calibri" w:hAnsi="Times New Roman" w:cs="Times New Roman"/>
          <w:sz w:val="21"/>
          <w:szCs w:val="21"/>
        </w:rPr>
        <w:t xml:space="preserve">Cleaning steps: lower-casing, removing links, @mentions and # signs, removing punctuation, tokenising with NLTK, removing stopwords, then TF-IDF (up to 3,000 terms). Two choices differ from the class demo and were tested with cross-validation: </w:t>
      </w:r>
      <w:r>
        <w:rPr>
          <w:rFonts w:ascii="Times New Roman" w:eastAsia="Calibri" w:hAnsi="Times New Roman" w:cs="Times New Roman"/>
          <w:b/>
          <w:bCs/>
          <w:sz w:val="21"/>
          <w:szCs w:val="21"/>
        </w:rPr>
        <w:t xml:space="preserve">negation words (no, not) were kept</w:t>
      </w:r>
      <w:r>
        <w:rPr>
          <w:rFonts w:ascii="Times New Roman" w:eastAsia="Calibri" w:hAnsi="Times New Roman" w:cs="Times New Roman"/>
          <w:sz w:val="21"/>
          <w:szCs w:val="21"/>
        </w:rPr>
        <w:t xml:space="preserve">, because removing them turns “not happy” into “happy” (average F1 rose from 0.724 to 0.761), and </w:t>
      </w:r>
      <w:r>
        <w:rPr>
          <w:rFonts w:ascii="Times New Roman" w:eastAsia="Calibri" w:hAnsi="Times New Roman" w:cs="Times New Roman"/>
          <w:b/>
          <w:bCs/>
          <w:sz w:val="21"/>
          <w:szCs w:val="21"/>
        </w:rPr>
        <w:t xml:space="preserve">single words were used instead of word pairs</w:t>
      </w:r>
      <w:r>
        <w:rPr>
          <w:rFonts w:ascii="Times New Roman" w:eastAsia="Calibri" w:hAnsi="Times New Roman" w:cs="Times New Roman"/>
          <w:sz w:val="21"/>
          <w:szCs w:val="21"/>
        </w:rPr>
        <w:t xml:space="preserve"> (0.761 against 0.735), because with so few templates word pairs are too specific.</w:t>
      </w:r>
    </w:p>
    <w:p>
      <w:pPr>
        <w:keepNext/>
        <w:spacing w:before="60" w:after="20" w:line="259" w:lineRule="auto"/>
        <w:jc w:val="center"/>
      </w:pPr>
      <w:r>
        <w:rPr>
          <w:rFonts w:ascii="Times New Roman" w:eastAsia="Calibri" w:hAnsi="Times New Roman" w:cs="Times New Roman"/>
          <w:noProof/>
        </w:rPr>
        <w:drawing>
          <wp:inline distT="0" distB="0" distL="0" distR="0">
            <wp:extent cx="4572000" cy="1791278"/>
            <wp:effectExtent l="0" t="0" r="0" b="0"/>
            <wp:docPr id="1" name="01_data_overview.png" descr="Figure 1. Sentiment distribution (left) and star rating against sentiment label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72000" cy="1791278"/>
                    </a:xfrm>
                    <a:prstGeom prst="rect">
                      <a:avLst/>
                    </a:prstGeom>
                  </pic:spPr>
                </pic:pic>
              </a:graphicData>
            </a:graphic>
          </wp:inline>
        </w:drawing>
      </w:r>
    </w:p>
    <w:p>
      <w:pPr>
        <w:spacing w:before="0" w:after="70" w:line="259" w:lineRule="auto"/>
        <w:jc w:val="center"/>
      </w:pPr>
      <w:r>
        <w:rPr>
          <w:rFonts w:ascii="Times New Roman" w:eastAsia="Calibri" w:hAnsi="Times New Roman" w:cs="Times New Roman"/>
          <w:i/>
          <w:iCs/>
          <w:color w:val="555555"/>
          <w:sz w:val="18"/>
          <w:szCs w:val="18"/>
        </w:rPr>
        <w:t xml:space="preserve">Figure 1. Sentiment distribution (left) and star rating against sentiment label (right)</w:t>
      </w:r>
    </w:p>
    <w:p>
      <w:pPr>
        <w:keepNext/>
        <w:spacing w:before="110" w:after="50" w:line="259" w:lineRule="auto"/>
        <w:jc w:val="left"/>
        <w:outlineLvl w:val="1"/>
      </w:pPr>
      <w:r>
        <w:rPr>
          <w:rFonts w:ascii="Times New Roman" w:eastAsia="Calibri" w:hAnsi="Times New Roman" w:cs="Times New Roman"/>
          <w:b/>
          <w:bCs/>
          <w:color w:val="0E7C86"/>
          <w:sz w:val="23"/>
          <w:szCs w:val="23"/>
        </w:rPr>
        <w:t xml:space="preserve">2.2 Models and comparison</w:t>
      </w:r>
    </w:p>
    <w:p>
      <w:pPr>
        <w:spacing w:before="0" w:after="80" w:line="259" w:lineRule="auto"/>
        <w:jc w:val="both"/>
      </w:pPr>
      <w:r>
        <w:rPr>
          <w:rFonts w:ascii="Times New Roman" w:eastAsia="Calibri" w:hAnsi="Times New Roman" w:cs="Times New Roman"/>
          <w:sz w:val="21"/>
          <w:szCs w:val="21"/>
        </w:rPr>
        <w:t xml:space="preserve">Three models were trained on TF-IDF features: Logistic Regression, Multinomial Naive Bayes and a Linear SVM, plus a “majority class” baseline and a tuned version of each model (regularisation chosen by grid search). Each was tested in two ways on reviews whose sentence templates it had </w:t>
      </w:r>
      <w:r>
        <w:rPr>
          <w:rFonts w:ascii="Times New Roman" w:eastAsia="Calibri" w:hAnsi="Times New Roman" w:cs="Times New Roman"/>
          <w:b/>
          <w:bCs/>
          <w:sz w:val="21"/>
          <w:szCs w:val="21"/>
        </w:rPr>
        <w:t xml:space="preserve">never seen</w:t>
      </w:r>
      <w:r>
        <w:rPr>
          <w:rFonts w:ascii="Times New Roman" w:eastAsia="Calibri" w:hAnsi="Times New Roman" w:cs="Times New Roman"/>
          <w:sz w:val="21"/>
          <w:szCs w:val="21"/>
        </w:rPr>
        <w:t xml:space="preserve">: one hold-out set (196 reviews, 8 templates) and repeated grouped cross-validation (3 × 5 folds). The best model was picked by cross-validated F1, not by the single hold-out score, which is noisy.</w:t>
      </w:r>
    </w:p>
    <w:p>
      <w:pPr>
        <w:keepNext/>
        <w:spacing w:before="70" w:after="40" w:line="259" w:lineRule="auto"/>
        <w:jc w:val="left"/>
      </w:pPr>
      <w:r>
        <w:rPr>
          <w:rFonts w:ascii="Times New Roman" w:eastAsia="Calibri" w:hAnsi="Times New Roman" w:cs="Times New Roman"/>
          <w:b/>
          <w:bCs/>
          <w:sz w:val="20"/>
          <w:szCs w:val="20"/>
        </w:rPr>
        <w:t xml:space="preserve">Table 1. Model comparison on unseen sentence templates (weighted scores)</w:t>
      </w:r>
    </w:p>
    <w:tbl>
      <w:tblPr>
        <w:tblW w:w="9746" w:type="dxa"/>
        <w:jc w:val="center"/>
        <w:tblLayout w:type="fixed"/>
        <w:tblLook w:val="0000"/>
      </w:tblPr>
      <w:tblGrid>
        <w:gridCol w:w="3000"/>
        <w:gridCol w:w="1050"/>
        <w:gridCol w:w="1100"/>
        <w:gridCol w:w="1000"/>
        <w:gridCol w:w="1000"/>
        <w:gridCol w:w="2596"/>
      </w:tblGrid>
      <w:tr>
        <w:trPr>
          <w:cantSplit/>
          <w:tblHeader/>
        </w:trPr>
        <w:tc>
          <w:tcPr>
            <w:tcW w:w="3000" w:type="dxa"/>
            <w:tcBorders>
              <w:top w:val="single" w:sz="4" w:space="0" w:color="BBBBBB"/>
              <w:left w:val="single" w:sz="4" w:space="0" w:color="BBBBBB"/>
              <w:bottom w:val="single" w:sz="4" w:space="0" w:color="BBBBBB"/>
              <w:right w:val="single" w:sz="4" w:space="0" w:color="BBBBBB"/>
            </w:tcBorders>
            <w:shd w:val="clear" w:color="auto" w:fill="0F2C3D"/>
            <w:tcMar>
              <w:top w:w="40" w:type="dxa"/>
              <w:left w:w="90" w:type="dxa"/>
              <w:bottom w:w="40" w:type="dxa"/>
              <w:right w:w="90" w:type="dxa"/>
            </w:tcMar>
          </w:tcPr>
          <w:p>
            <w:pPr>
              <w:keepNext/>
              <w:spacing w:before="0" w:after="0" w:line="240" w:lineRule="auto"/>
              <w:jc w:val="left"/>
            </w:pPr>
            <w:r>
              <w:rPr>
                <w:rFonts w:ascii="Times New Roman" w:eastAsia="Calibri" w:hAnsi="Times New Roman" w:cs="Times New Roman"/>
                <w:b/>
                <w:bCs/>
                <w:color w:val="FFFFFF"/>
                <w:sz w:val="19"/>
                <w:szCs w:val="19"/>
              </w:rPr>
              <w:t xml:space="preserve">Model</w:t>
            </w:r>
          </w:p>
        </w:tc>
        <w:tc>
          <w:tcPr>
            <w:tcW w:w="1050" w:type="dxa"/>
            <w:tcBorders>
              <w:top w:val="single" w:sz="4" w:space="0" w:color="BBBBBB"/>
              <w:left w:val="single" w:sz="4" w:space="0" w:color="BBBBBB"/>
              <w:bottom w:val="single" w:sz="4" w:space="0" w:color="BBBBBB"/>
              <w:right w:val="single" w:sz="4" w:space="0" w:color="BBBBBB"/>
            </w:tcBorders>
            <w:shd w:val="clear" w:color="auto" w:fill="0F2C3D"/>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b/>
                <w:bCs/>
                <w:color w:val="FFFFFF"/>
                <w:sz w:val="19"/>
                <w:szCs w:val="19"/>
              </w:rPr>
              <w:t xml:space="preserve">Accuracy</w:t>
            </w:r>
          </w:p>
        </w:tc>
        <w:tc>
          <w:tcPr>
            <w:tcW w:w="1100" w:type="dxa"/>
            <w:tcBorders>
              <w:top w:val="single" w:sz="4" w:space="0" w:color="BBBBBB"/>
              <w:left w:val="single" w:sz="4" w:space="0" w:color="BBBBBB"/>
              <w:bottom w:val="single" w:sz="4" w:space="0" w:color="BBBBBB"/>
              <w:right w:val="single" w:sz="4" w:space="0" w:color="BBBBBB"/>
            </w:tcBorders>
            <w:shd w:val="clear" w:color="auto" w:fill="0F2C3D"/>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b/>
                <w:bCs/>
                <w:color w:val="FFFFFF"/>
                <w:sz w:val="19"/>
                <w:szCs w:val="19"/>
              </w:rPr>
              <w:t xml:space="preserve">Precision</w:t>
            </w:r>
          </w:p>
        </w:tc>
        <w:tc>
          <w:tcPr>
            <w:tcW w:w="1000" w:type="dxa"/>
            <w:tcBorders>
              <w:top w:val="single" w:sz="4" w:space="0" w:color="BBBBBB"/>
              <w:left w:val="single" w:sz="4" w:space="0" w:color="BBBBBB"/>
              <w:bottom w:val="single" w:sz="4" w:space="0" w:color="BBBBBB"/>
              <w:right w:val="single" w:sz="4" w:space="0" w:color="BBBBBB"/>
            </w:tcBorders>
            <w:shd w:val="clear" w:color="auto" w:fill="0F2C3D"/>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b/>
                <w:bCs/>
                <w:color w:val="FFFFFF"/>
                <w:sz w:val="19"/>
                <w:szCs w:val="19"/>
              </w:rPr>
              <w:t xml:space="preserve">Recall</w:t>
            </w:r>
          </w:p>
        </w:tc>
        <w:tc>
          <w:tcPr>
            <w:tcW w:w="1000" w:type="dxa"/>
            <w:tcBorders>
              <w:top w:val="single" w:sz="4" w:space="0" w:color="BBBBBB"/>
              <w:left w:val="single" w:sz="4" w:space="0" w:color="BBBBBB"/>
              <w:bottom w:val="single" w:sz="4" w:space="0" w:color="BBBBBB"/>
              <w:right w:val="single" w:sz="4" w:space="0" w:color="BBBBBB"/>
            </w:tcBorders>
            <w:shd w:val="clear" w:color="auto" w:fill="0F2C3D"/>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b/>
                <w:bCs/>
                <w:color w:val="FFFFFF"/>
                <w:sz w:val="19"/>
                <w:szCs w:val="19"/>
              </w:rPr>
              <w:t xml:space="preserve">F1 (hold-out)</w:t>
            </w:r>
          </w:p>
        </w:tc>
        <w:tc>
          <w:tcPr>
            <w:tcW w:w="2596" w:type="dxa"/>
            <w:tcBorders>
              <w:top w:val="single" w:sz="4" w:space="0" w:color="BBBBBB"/>
              <w:left w:val="single" w:sz="4" w:space="0" w:color="BBBBBB"/>
              <w:bottom w:val="single" w:sz="4" w:space="0" w:color="BBBBBB"/>
              <w:right w:val="single" w:sz="4" w:space="0" w:color="BBBBBB"/>
            </w:tcBorders>
            <w:shd w:val="clear" w:color="auto" w:fill="0F2C3D"/>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b/>
                <w:bCs/>
                <w:color w:val="FFFFFF"/>
                <w:sz w:val="19"/>
                <w:szCs w:val="19"/>
              </w:rPr>
              <w:t xml:space="preserve">CV F1 (mean ± sd)</w:t>
            </w:r>
          </w:p>
        </w:tc>
      </w:tr>
      <w:tr>
        <w:trPr>
          <w:cantSplit/>
        </w:trPr>
        <w:tc>
          <w:tcPr>
            <w:tcW w:w="3000" w:type="dxa"/>
            <w:tcBorders>
              <w:top w:val="single" w:sz="4" w:space="0" w:color="BBBBBB"/>
              <w:left w:val="single" w:sz="4" w:space="0" w:color="BBBBBB"/>
              <w:bottom w:val="single" w:sz="4" w:space="0" w:color="BBBBBB"/>
              <w:right w:val="single" w:sz="4" w:space="0" w:color="BBBBBB"/>
            </w:tcBorders>
            <w:shd w:val="clear" w:color="auto" w:fill="E3F1F2"/>
            <w:tcMar>
              <w:top w:w="40" w:type="dxa"/>
              <w:left w:w="90" w:type="dxa"/>
              <w:bottom w:w="40" w:type="dxa"/>
              <w:right w:w="90" w:type="dxa"/>
            </w:tcMar>
          </w:tcPr>
          <w:p>
            <w:pPr>
              <w:keepNext/>
              <w:spacing w:before="0" w:after="0" w:line="240" w:lineRule="auto"/>
              <w:jc w:val="left"/>
            </w:pPr>
            <w:r>
              <w:rPr>
                <w:rFonts w:ascii="Times New Roman" w:eastAsia="Calibri" w:hAnsi="Times New Roman" w:cs="Times New Roman"/>
                <w:b/>
                <w:bCs/>
                <w:sz w:val="19"/>
                <w:szCs w:val="19"/>
              </w:rPr>
              <w:t xml:space="preserve">Linear SVM  ✔ best</w:t>
            </w:r>
          </w:p>
        </w:tc>
        <w:tc>
          <w:tcPr>
            <w:tcW w:w="1050" w:type="dxa"/>
            <w:tcBorders>
              <w:top w:val="single" w:sz="4" w:space="0" w:color="BBBBBB"/>
              <w:left w:val="single" w:sz="4" w:space="0" w:color="BBBBBB"/>
              <w:bottom w:val="single" w:sz="4" w:space="0" w:color="BBBBBB"/>
              <w:right w:val="single" w:sz="4" w:space="0" w:color="BBBBBB"/>
            </w:tcBorders>
            <w:shd w:val="clear" w:color="auto" w:fill="E3F1F2"/>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b/>
                <w:bCs/>
                <w:sz w:val="19"/>
                <w:szCs w:val="19"/>
              </w:rPr>
              <w:t xml:space="preserve">0.806</w:t>
            </w:r>
          </w:p>
        </w:tc>
        <w:tc>
          <w:tcPr>
            <w:tcW w:w="1100" w:type="dxa"/>
            <w:tcBorders>
              <w:top w:val="single" w:sz="4" w:space="0" w:color="BBBBBB"/>
              <w:left w:val="single" w:sz="4" w:space="0" w:color="BBBBBB"/>
              <w:bottom w:val="single" w:sz="4" w:space="0" w:color="BBBBBB"/>
              <w:right w:val="single" w:sz="4" w:space="0" w:color="BBBBBB"/>
            </w:tcBorders>
            <w:shd w:val="clear" w:color="auto" w:fill="E3F1F2"/>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b/>
                <w:bCs/>
                <w:sz w:val="19"/>
                <w:szCs w:val="19"/>
              </w:rPr>
              <w:t xml:space="preserve">0.872</w:t>
            </w:r>
          </w:p>
        </w:tc>
        <w:tc>
          <w:tcPr>
            <w:tcW w:w="1000" w:type="dxa"/>
            <w:tcBorders>
              <w:top w:val="single" w:sz="4" w:space="0" w:color="BBBBBB"/>
              <w:left w:val="single" w:sz="4" w:space="0" w:color="BBBBBB"/>
              <w:bottom w:val="single" w:sz="4" w:space="0" w:color="BBBBBB"/>
              <w:right w:val="single" w:sz="4" w:space="0" w:color="BBBBBB"/>
            </w:tcBorders>
            <w:shd w:val="clear" w:color="auto" w:fill="E3F1F2"/>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b/>
                <w:bCs/>
                <w:sz w:val="19"/>
                <w:szCs w:val="19"/>
              </w:rPr>
              <w:t xml:space="preserve">0.806</w:t>
            </w:r>
          </w:p>
        </w:tc>
        <w:tc>
          <w:tcPr>
            <w:tcW w:w="1000" w:type="dxa"/>
            <w:tcBorders>
              <w:top w:val="single" w:sz="4" w:space="0" w:color="BBBBBB"/>
              <w:left w:val="single" w:sz="4" w:space="0" w:color="BBBBBB"/>
              <w:bottom w:val="single" w:sz="4" w:space="0" w:color="BBBBBB"/>
              <w:right w:val="single" w:sz="4" w:space="0" w:color="BBBBBB"/>
            </w:tcBorders>
            <w:shd w:val="clear" w:color="auto" w:fill="E3F1F2"/>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b/>
                <w:bCs/>
                <w:sz w:val="19"/>
                <w:szCs w:val="19"/>
              </w:rPr>
              <w:t xml:space="preserve">0.807</w:t>
            </w:r>
          </w:p>
        </w:tc>
        <w:tc>
          <w:tcPr>
            <w:tcW w:w="2596" w:type="dxa"/>
            <w:tcBorders>
              <w:top w:val="single" w:sz="4" w:space="0" w:color="BBBBBB"/>
              <w:left w:val="single" w:sz="4" w:space="0" w:color="BBBBBB"/>
              <w:bottom w:val="single" w:sz="4" w:space="0" w:color="BBBBBB"/>
              <w:right w:val="single" w:sz="4" w:space="0" w:color="BBBBBB"/>
            </w:tcBorders>
            <w:shd w:val="clear" w:color="auto" w:fill="E3F1F2"/>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b/>
                <w:bCs/>
                <w:sz w:val="19"/>
                <w:szCs w:val="19"/>
              </w:rPr>
              <w:t xml:space="preserve">0.804 ± 0.090</w:t>
            </w:r>
          </w:p>
        </w:tc>
      </w:tr>
      <w:tr>
        <w:trPr>
          <w:cantSplit/>
        </w:trPr>
        <w:tc>
          <w:tcPr>
            <w:tcW w:w="3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left"/>
            </w:pPr>
            <w:r>
              <w:rPr>
                <w:rFonts w:ascii="Times New Roman" w:eastAsia="Calibri" w:hAnsi="Times New Roman" w:cs="Times New Roman"/>
                <w:sz w:val="19"/>
                <w:szCs w:val="19"/>
              </w:rPr>
              <w:t xml:space="preserve">Linear SVM (tuned)</w:t>
            </w:r>
          </w:p>
        </w:tc>
        <w:tc>
          <w:tcPr>
            <w:tcW w:w="105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0.801</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0.870</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0.801</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0.802</w:t>
            </w:r>
          </w:p>
        </w:tc>
        <w:tc>
          <w:tcPr>
            <w:tcW w:w="2596"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0.800 ± 0.104</w:t>
            </w:r>
          </w:p>
        </w:tc>
      </w:tr>
      <w:tr>
        <w:trPr>
          <w:cantSplit/>
        </w:trPr>
        <w:tc>
          <w:tcPr>
            <w:tcW w:w="3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left"/>
            </w:pPr>
            <w:r>
              <w:rPr>
                <w:rFonts w:ascii="Times New Roman" w:eastAsia="Calibri" w:hAnsi="Times New Roman" w:cs="Times New Roman"/>
                <w:sz w:val="19"/>
                <w:szCs w:val="19"/>
              </w:rPr>
              <w:t xml:space="preserve">Logistic Regression (tuned)</w:t>
            </w:r>
          </w:p>
        </w:tc>
        <w:tc>
          <w:tcPr>
            <w:tcW w:w="105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0.699</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0.741</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0.699</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0.706</w:t>
            </w:r>
          </w:p>
        </w:tc>
        <w:tc>
          <w:tcPr>
            <w:tcW w:w="2596"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0.770 ± 0.088</w:t>
            </w:r>
          </w:p>
        </w:tc>
      </w:tr>
      <w:tr>
        <w:trPr>
          <w:cantSplit/>
        </w:trPr>
        <w:tc>
          <w:tcPr>
            <w:tcW w:w="3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left"/>
            </w:pPr>
            <w:r>
              <w:rPr>
                <w:rFonts w:ascii="Times New Roman" w:eastAsia="Calibri" w:hAnsi="Times New Roman" w:cs="Times New Roman"/>
                <w:sz w:val="19"/>
                <w:szCs w:val="19"/>
              </w:rPr>
              <w:t xml:space="preserve">Logistic Regression</w:t>
            </w:r>
          </w:p>
        </w:tc>
        <w:tc>
          <w:tcPr>
            <w:tcW w:w="105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0.755</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0.851</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0.755</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0.749</w:t>
            </w:r>
          </w:p>
        </w:tc>
        <w:tc>
          <w:tcPr>
            <w:tcW w:w="2596"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0.748 ± 0.058</w:t>
            </w:r>
          </w:p>
        </w:tc>
      </w:tr>
      <w:tr>
        <w:trPr>
          <w:cantSplit/>
        </w:trPr>
        <w:tc>
          <w:tcPr>
            <w:tcW w:w="3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left"/>
            </w:pPr>
            <w:r>
              <w:rPr>
                <w:rFonts w:ascii="Times New Roman" w:eastAsia="Calibri" w:hAnsi="Times New Roman" w:cs="Times New Roman"/>
                <w:sz w:val="19"/>
                <w:szCs w:val="19"/>
              </w:rPr>
              <w:t xml:space="preserve">Multinomial Naive Bayes</w:t>
            </w:r>
          </w:p>
        </w:tc>
        <w:tc>
          <w:tcPr>
            <w:tcW w:w="105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0.745</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0.826</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0.745</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0.731</w:t>
            </w:r>
          </w:p>
        </w:tc>
        <w:tc>
          <w:tcPr>
            <w:tcW w:w="2596"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0.730 ± 0.059</w:t>
            </w:r>
          </w:p>
        </w:tc>
      </w:tr>
      <w:tr>
        <w:trPr>
          <w:cantSplit/>
        </w:trPr>
        <w:tc>
          <w:tcPr>
            <w:tcW w:w="3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left"/>
            </w:pPr>
            <w:r>
              <w:rPr>
                <w:rFonts w:ascii="Times New Roman" w:eastAsia="Calibri" w:hAnsi="Times New Roman" w:cs="Times New Roman"/>
                <w:sz w:val="19"/>
                <w:szCs w:val="19"/>
              </w:rPr>
              <w:t xml:space="preserve">Naive Bayes (tuned)</w:t>
            </w:r>
          </w:p>
        </w:tc>
        <w:tc>
          <w:tcPr>
            <w:tcW w:w="105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0.684</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0.712</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0.684</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0.678</w:t>
            </w:r>
          </w:p>
        </w:tc>
        <w:tc>
          <w:tcPr>
            <w:tcW w:w="2596"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keepNext/>
              <w:spacing w:before="0" w:after="0" w:line="240" w:lineRule="auto"/>
              <w:jc w:val="center"/>
            </w:pPr>
            <w:r>
              <w:rPr>
                <w:rFonts w:ascii="Times New Roman" w:eastAsia="Calibri" w:hAnsi="Times New Roman" w:cs="Times New Roman"/>
                <w:sz w:val="19"/>
                <w:szCs w:val="19"/>
              </w:rPr>
              <w:t xml:space="preserve">0.723 ± 0.102</w:t>
            </w:r>
          </w:p>
        </w:tc>
      </w:tr>
      <w:tr>
        <w:trPr>
          <w:cantSplit/>
        </w:trPr>
        <w:tc>
          <w:tcPr>
            <w:tcW w:w="3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spacing w:before="0" w:after="0" w:line="240" w:lineRule="auto"/>
              <w:jc w:val="left"/>
            </w:pPr>
            <w:r>
              <w:rPr>
                <w:rFonts w:ascii="Times New Roman" w:eastAsia="Calibri" w:hAnsi="Times New Roman" w:cs="Times New Roman"/>
                <w:sz w:val="19"/>
                <w:szCs w:val="19"/>
              </w:rPr>
              <w:t xml:space="preserve">Majority baseline</w:t>
            </w:r>
          </w:p>
        </w:tc>
        <w:tc>
          <w:tcPr>
            <w:tcW w:w="105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spacing w:before="0" w:after="0" w:line="240" w:lineRule="auto"/>
              <w:jc w:val="center"/>
            </w:pPr>
            <w:r>
              <w:rPr>
                <w:rFonts w:ascii="Times New Roman" w:eastAsia="Calibri" w:hAnsi="Times New Roman" w:cs="Times New Roman"/>
                <w:sz w:val="19"/>
                <w:szCs w:val="19"/>
              </w:rPr>
              <w:t xml:space="preserve">0.378</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spacing w:before="0" w:after="0" w:line="240" w:lineRule="auto"/>
              <w:jc w:val="center"/>
            </w:pPr>
            <w:r>
              <w:rPr>
                <w:rFonts w:ascii="Times New Roman" w:eastAsia="Calibri" w:hAnsi="Times New Roman" w:cs="Times New Roman"/>
                <w:sz w:val="19"/>
                <w:szCs w:val="19"/>
              </w:rPr>
              <w:t xml:space="preserve">0.143</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spacing w:before="0" w:after="0" w:line="240" w:lineRule="auto"/>
              <w:jc w:val="center"/>
            </w:pPr>
            <w:r>
              <w:rPr>
                <w:rFonts w:ascii="Times New Roman" w:eastAsia="Calibri" w:hAnsi="Times New Roman" w:cs="Times New Roman"/>
                <w:sz w:val="19"/>
                <w:szCs w:val="19"/>
              </w:rPr>
              <w:t xml:space="preserve">0.378</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spacing w:before="0" w:after="0" w:line="240" w:lineRule="auto"/>
              <w:jc w:val="center"/>
            </w:pPr>
            <w:r>
              <w:rPr>
                <w:rFonts w:ascii="Times New Roman" w:eastAsia="Calibri" w:hAnsi="Times New Roman" w:cs="Times New Roman"/>
                <w:sz w:val="19"/>
                <w:szCs w:val="19"/>
              </w:rPr>
              <w:t xml:space="preserve">0.207</w:t>
            </w:r>
          </w:p>
        </w:tc>
        <w:tc>
          <w:tcPr>
            <w:tcW w:w="2596"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pPr>
              <w:spacing w:before="0" w:after="0" w:line="240" w:lineRule="auto"/>
              <w:jc w:val="center"/>
            </w:pPr>
            <w:r>
              <w:rPr>
                <w:rFonts w:ascii="Times New Roman" w:eastAsia="Calibri" w:hAnsi="Times New Roman" w:cs="Times New Roman"/>
                <w:sz w:val="19"/>
                <w:szCs w:val="19"/>
              </w:rPr>
              <w:t xml:space="preserve">0.229 ± 0.013</w:t>
            </w:r>
          </w:p>
        </w:tc>
      </w:tr>
    </w:tbl>
    <w:p>
      <w:pPr>
        <w:spacing w:before="80" w:after="80" w:line="259" w:lineRule="auto"/>
        <w:jc w:val="both"/>
      </w:pPr>
      <w:r>
        <w:rPr>
          <w:rFonts w:ascii="Times New Roman" w:eastAsia="Calibri" w:hAnsi="Times New Roman" w:cs="Times New Roman"/>
          <w:b/>
          <w:bCs/>
          <w:sz w:val="21"/>
          <w:szCs w:val="21"/>
        </w:rPr>
        <w:t xml:space="preserve">The Linear SVM won</w:t>
      </w:r>
      <w:r>
        <w:rPr>
          <w:rFonts w:ascii="Times New Roman" w:eastAsia="Calibri" w:hAnsi="Times New Roman" w:cs="Times New Roman"/>
          <w:sz w:val="21"/>
          <w:szCs w:val="21"/>
        </w:rPr>
        <w:t xml:space="preserve"> (F1 0.807 on the hold-out, 0.804 in cross-validation), ahead of Logistic Regression (0.749) and Naive Bayes (0.731); all clearly beat the baseline (0.21). The SVM also ranked first in all four cleaning and n-gram settings, so the ordering is consistent. Still, the gap to Logistic Regression is smaller than the fold-to-fold spread (about 0.09), so it is a likely advantage rather than a certainty. A plausible reason is that TF-IDF features are sparse and nearly linearly separable, which suits the SVM. </w:t>
      </w:r>
      <w:r>
        <w:rPr>
          <w:rFonts w:ascii="Times New Roman" w:eastAsia="Calibri" w:hAnsi="Times New Roman" w:cs="Times New Roman"/>
          <w:b/>
          <w:bCs/>
          <w:sz w:val="21"/>
          <w:szCs w:val="21"/>
        </w:rPr>
        <w:t xml:space="preserve">Tuning did not help consistently</w:t>
      </w:r>
      <w:r>
        <w:rPr>
          <w:rFonts w:ascii="Times New Roman" w:eastAsia="Calibri" w:hAnsi="Times New Roman" w:cs="Times New Roman"/>
          <w:sz w:val="21"/>
          <w:szCs w:val="21"/>
        </w:rPr>
        <w:t xml:space="preserve">: the tuned SVM and Naive Bayes were no better than their defaults, and tuned Logistic Regression improved in cross-validation but got worse on the hold-out. The default Linear SVM was therefore kept. Its full pipeline (cleaning, TF-IDF and model) was saved as one file; after reloading, it labelled all 7 new test sentences sensibly, including new wording such as “Not good at all, it stopped working after two days” (negative).</w:t>
      </w:r>
    </w:p>
    <w:p>
      <w:pPr>
        <w:keepNext/>
        <w:spacing w:before="110" w:after="50" w:line="259" w:lineRule="auto"/>
        <w:jc w:val="left"/>
        <w:outlineLvl w:val="1"/>
      </w:pPr>
      <w:r>
        <w:rPr>
          <w:rFonts w:ascii="Times New Roman" w:eastAsia="Calibri" w:hAnsi="Times New Roman" w:cs="Times New Roman"/>
          <w:b/>
          <w:bCs/>
          <w:color w:val="0E7C86"/>
          <w:sz w:val="23"/>
          <w:szCs w:val="23"/>
        </w:rPr>
        <w:t xml:space="preserve">2.3 Error analysis</w:t>
      </w:r>
    </w:p>
    <w:tbl>
      <w:tblPr>
        <w:tblW w:w="9746" w:type="dxa"/>
        <w:jc w:val="center"/>
        <w:tblLayout w:type="fixed"/>
        <w:tblLook w:val="0000"/>
      </w:tblPr>
      <w:tblGrid>
        <w:gridCol w:w="5900"/>
        <w:gridCol w:w="3846"/>
      </w:tblGrid>
      <w:tr>
        <w:trPr>
          <w:cantSplit/>
        </w:trPr>
        <w:tc>
          <w:tcPr>
            <w:tcW w:w="5900" w:type="dxa"/>
            <w:tcBorders>
              <w:top w:val="nil"/>
              <w:left w:val="nil"/>
              <w:bottom w:val="nil"/>
              <w:right w:val="nil"/>
            </w:tcBorders>
            <w:vAlign w:val="center"/>
          </w:tcPr>
          <w:p>
            <w:pPr>
              <w:keepNext/>
              <w:spacing w:before="60" w:after="20" w:line="259" w:lineRule="auto"/>
              <w:jc w:val="center"/>
            </w:pPr>
            <w:r>
              <w:rPr>
                <w:rFonts w:ascii="Times New Roman" w:eastAsia="Calibri" w:hAnsi="Times New Roman" w:cs="Times New Roman"/>
                <w:noProof/>
              </w:rPr>
              <w:drawing>
                <wp:inline distT="0" distB="0" distL="0" distR="0">
                  <wp:extent cx="3520440" cy="1640939"/>
                  <wp:effectExtent l="0" t="0" r="0" b="0"/>
                  <wp:docPr id="2" name="04_model_comparison.png" descr="Figure 2. Same models, random split vs unseen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520440" cy="1640939"/>
                          </a:xfrm>
                          <a:prstGeom prst="rect">
                            <a:avLst/>
                          </a:prstGeom>
                        </pic:spPr>
                      </pic:pic>
                    </a:graphicData>
                  </a:graphic>
                </wp:inline>
              </w:drawing>
            </w:r>
          </w:p>
          <w:p>
            <w:pPr>
              <w:spacing w:before="0" w:after="70" w:line="259" w:lineRule="auto"/>
              <w:jc w:val="center"/>
            </w:pPr>
            <w:r>
              <w:rPr>
                <w:rFonts w:ascii="Times New Roman" w:eastAsia="Calibri" w:hAnsi="Times New Roman" w:cs="Times New Roman"/>
                <w:i/>
                <w:iCs/>
                <w:color w:val="555555"/>
                <w:sz w:val="18"/>
                <w:szCs w:val="18"/>
              </w:rPr>
              <w:t xml:space="preserve">Figure 2. Same models, random split vs unseen templates</w:t>
            </w:r>
          </w:p>
        </w:tc>
        <w:tc>
          <w:tcPr>
            <w:tcW w:w="3846" w:type="dxa"/>
            <w:tcBorders>
              <w:top w:val="nil"/>
              <w:left w:val="nil"/>
              <w:bottom w:val="nil"/>
              <w:right w:val="nil"/>
            </w:tcBorders>
            <w:vAlign w:val="center"/>
          </w:tcPr>
          <w:p>
            <w:pPr>
              <w:keepNext/>
              <w:spacing w:before="60" w:after="20" w:line="259" w:lineRule="auto"/>
              <w:jc w:val="center"/>
            </w:pPr>
            <w:r>
              <w:rPr>
                <w:rFonts w:ascii="Times New Roman" w:eastAsia="Calibri" w:hAnsi="Times New Roman" w:cs="Times New Roman"/>
                <w:noProof/>
              </w:rPr>
              <w:drawing>
                <wp:inline distT="0" distB="0" distL="0" distR="0">
                  <wp:extent cx="2148840" cy="1792732"/>
                  <wp:effectExtent l="0" t="0" r="0" b="0"/>
                  <wp:docPr id="3" name="05_confusion_matrix.png" descr="Figure 3. Confusion matrix, Linear 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148840" cy="1792732"/>
                          </a:xfrm>
                          <a:prstGeom prst="rect">
                            <a:avLst/>
                          </a:prstGeom>
                        </pic:spPr>
                      </pic:pic>
                    </a:graphicData>
                  </a:graphic>
                </wp:inline>
              </w:drawing>
            </w:r>
          </w:p>
          <w:p>
            <w:pPr>
              <w:spacing w:before="0" w:after="70" w:line="259" w:lineRule="auto"/>
              <w:jc w:val="center"/>
            </w:pPr>
            <w:r>
              <w:rPr>
                <w:rFonts w:ascii="Times New Roman" w:eastAsia="Calibri" w:hAnsi="Times New Roman" w:cs="Times New Roman"/>
                <w:i/>
                <w:iCs/>
                <w:color w:val="555555"/>
                <w:sz w:val="18"/>
                <w:szCs w:val="18"/>
              </w:rPr>
              <w:t xml:space="preserve">Figure 3. Confusion matrix, Linear SVM</w:t>
            </w:r>
          </w:p>
        </w:tc>
      </w:tr>
    </w:tbl>
    <w:p>
      <w:pPr>
        <w:spacing w:before="0" w:after="80" w:line="259" w:lineRule="auto"/>
        <w:jc w:val="both"/>
      </w:pPr>
      <w:r>
        <w:rPr>
          <w:rFonts w:ascii="Times New Roman" w:eastAsia="Calibri" w:hAnsi="Times New Roman" w:cs="Times New Roman"/>
          <w:sz w:val="21"/>
          <w:szCs w:val="21"/>
        </w:rPr>
        <w:t xml:space="preserve">Positive and negative reviews are recognised well (recall 0.89 and 0.86), but </w:t>
      </w:r>
      <w:r>
        <w:rPr>
          <w:rFonts w:ascii="Times New Roman" w:eastAsia="Calibri" w:hAnsi="Times New Roman" w:cs="Times New Roman"/>
          <w:b/>
          <w:bCs/>
          <w:sz w:val="21"/>
          <w:szCs w:val="21"/>
        </w:rPr>
        <w:t xml:space="preserve">neutral is the weakest class (recall 0.61)</w:t>
      </w:r>
      <w:r>
        <w:rPr>
          <w:rFonts w:ascii="Times New Roman" w:eastAsia="Calibri" w:hAnsi="Times New Roman" w:cs="Times New Roman"/>
          <w:sz w:val="21"/>
          <w:szCs w:val="21"/>
        </w:rPr>
        <w:t xml:space="preserve">: 45 neutral reviews were labelled negative and 56 positive (Figure 3). This is understandable because neutral sentences mix mild praise (“works fine”), mild complaints (“packaging could be improved”) and sentences with no opinion words at all (“Comparing a few options before I decide”). The errors also come in blocks: for 8 of the 42 templates the model was wrong for every review, because the wording was unlike anything in the other templates. In other words, the model learned a small dictionary of useful words more than a general sense of sentiment. The words it relies on are sensible, e.g. “not”, “broken” and “unacceptable” for negative, and “amazing”, “exceeded” and “best” for positive.</w:t>
      </w:r>
    </w:p>
    <w:p>
      <w:pPr>
        <w:keepNext/>
        <w:spacing w:before="160" w:after="70" w:line="259" w:lineRule="auto"/>
        <w:jc w:val="left"/>
        <w:outlineLvl w:val="0"/>
      </w:pPr>
      <w:r>
        <w:rPr>
          <w:rFonts w:ascii="Times New Roman" w:eastAsia="Calibri" w:hAnsi="Times New Roman" w:cs="Times New Roman"/>
          <w:b/>
          <w:bCs/>
          <w:color w:val="0F2C3D"/>
          <w:sz w:val="24"/>
          <w:szCs w:val="24"/>
        </w:rPr>
        <w:t xml:space="preserve">3. Why a random split is misleading</w:t>
      </w:r>
    </w:p>
    <w:p>
      <w:pPr>
        <w:spacing w:before="0" w:after="80" w:line="259" w:lineRule="auto"/>
        <w:jc w:val="both"/>
      </w:pPr>
      <w:r>
        <w:rPr>
          <w:rFonts w:ascii="Times New Roman" w:eastAsia="Calibri" w:hAnsi="Times New Roman" w:cs="Times New Roman"/>
          <w:sz w:val="21"/>
          <w:szCs w:val="21"/>
        </w:rPr>
        <w:t xml:space="preserve">With the class demo’s random 80/20 split, </w:t>
      </w:r>
      <w:r>
        <w:rPr>
          <w:rFonts w:ascii="Times New Roman" w:eastAsia="Calibri" w:hAnsi="Times New Roman" w:cs="Times New Roman"/>
          <w:b/>
          <w:bCs/>
          <w:sz w:val="21"/>
          <w:szCs w:val="21"/>
        </w:rPr>
        <w:t xml:space="preserve">every model scored a perfect F1 of 1.00</w:t>
      </w:r>
      <w:r>
        <w:rPr>
          <w:rFonts w:ascii="Times New Roman" w:eastAsia="Calibri" w:hAnsi="Times New Roman" w:cs="Times New Roman"/>
          <w:sz w:val="21"/>
          <w:szCs w:val="21"/>
        </w:rPr>
        <w:t xml:space="preserve"> (orange bars in Figure 2). The reason is that each template appears about 24 times in the data: 76% of the test reviews had an exact copy in the training data, and every one of them shared a template with it. Such a test only checks memory, and it cannot tell a good model from a poor one. Holding out whole templates (a grouped split) tests the model on wording it has never seen, which is what real new reviews look like, and the scores fall to 0.73–0.81, with clear differences between models. It is the same idea as splitting by time for forecasting: the test data must resemble the future, not the training data.</w:t>
      </w:r>
    </w:p>
    <w:p>
      <w:pPr>
        <w:keepNext/>
        <w:spacing w:before="160" w:after="70" w:line="259" w:lineRule="auto"/>
        <w:jc w:val="left"/>
        <w:outlineLvl w:val="0"/>
      </w:pPr>
      <w:r>
        <w:rPr>
          <w:rFonts w:ascii="Times New Roman" w:eastAsia="Calibri" w:hAnsi="Times New Roman" w:cs="Times New Roman"/>
          <w:b/>
          <w:bCs/>
          <w:color w:val="0F2C3D"/>
          <w:sz w:val="24"/>
          <w:szCs w:val="24"/>
        </w:rPr>
        <w:t xml:space="preserve">4. Sentiment trends</w:t>
      </w:r>
    </w:p>
    <w:p>
      <w:pPr>
        <w:spacing w:before="0" w:after="80" w:line="259" w:lineRule="auto"/>
        <w:jc w:val="both"/>
      </w:pPr>
      <w:r>
        <w:rPr>
          <w:rFonts w:ascii="Times New Roman" w:eastAsia="Calibri" w:hAnsi="Times New Roman" w:cs="Times New Roman"/>
          <w:sz w:val="21"/>
          <w:szCs w:val="21"/>
        </w:rPr>
        <w:t xml:space="preserve">Opinion is steady across 2025 (Figure 4): positive reviews make up 30–47% of reviews every month, and the month-to-month changes are within chance (p = 0.60); the neutral count peaks in March (36 reviews). </w:t>
      </w:r>
      <w:r>
        <w:rPr>
          <w:rFonts w:ascii="Times New Roman" w:eastAsia="Calibri" w:hAnsi="Times New Roman" w:cs="Times New Roman"/>
          <w:b/>
          <w:bCs/>
          <w:sz w:val="21"/>
          <w:szCs w:val="21"/>
        </w:rPr>
        <w:t xml:space="preserve">Flipkart and Twitter look almost the same</w:t>
      </w:r>
      <w:r>
        <w:rPr>
          <w:rFonts w:ascii="Times New Roman" w:eastAsia="Calibri" w:hAnsi="Times New Roman" w:cs="Times New Roman"/>
          <w:sz w:val="21"/>
          <w:szCs w:val="21"/>
        </w:rPr>
        <w:t xml:space="preserve"> (Figure 5, left): 40% positive on both, negative 33% against 35%, neutral 27% against 25% (p = 0.80). Tweets are worded differently (mentions, hashtags, questions) but are not more or less positive. By product (Figure 5, right), Air Fryer, Running Shoes and Power Bank are the most negative (net −13 points) and LED Desk Lamp and Sunglasses the most positive (+29 and +26), but with about 66 reviews per product this is not statistically significant (p = 0.40). Because the data and dates are synthetic, these patterns should not be read as real market findings.</w:t>
      </w:r>
    </w:p>
    <w:p>
      <w:pPr>
        <w:keepNext/>
        <w:spacing w:before="60" w:after="20" w:line="259" w:lineRule="auto"/>
        <w:jc w:val="center"/>
      </w:pPr>
      <w:r>
        <w:rPr>
          <w:rFonts w:ascii="Times New Roman" w:eastAsia="Calibri" w:hAnsi="Times New Roman" w:cs="Times New Roman"/>
          <w:noProof/>
        </w:rPr>
        <w:drawing>
          <wp:inline distT="0" distB="0" distL="0" distR="0">
            <wp:extent cx="4206240" cy="1747494"/>
            <wp:effectExtent l="0" t="0" r="0" b="0"/>
            <wp:docPr id="4" name="08_sentiment_trend.png" descr="Figure 4. Sentiment trend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206240" cy="1747494"/>
                    </a:xfrm>
                    <a:prstGeom prst="rect">
                      <a:avLst/>
                    </a:prstGeom>
                  </pic:spPr>
                </pic:pic>
              </a:graphicData>
            </a:graphic>
          </wp:inline>
        </w:drawing>
      </w:r>
    </w:p>
    <w:p>
      <w:pPr>
        <w:spacing w:before="0" w:after="70" w:line="259" w:lineRule="auto"/>
        <w:jc w:val="center"/>
      </w:pPr>
      <w:r>
        <w:rPr>
          <w:rFonts w:ascii="Times New Roman" w:eastAsia="Calibri" w:hAnsi="Times New Roman" w:cs="Times New Roman"/>
          <w:i/>
          <w:iCs/>
          <w:color w:val="555555"/>
          <w:sz w:val="18"/>
          <w:szCs w:val="18"/>
        </w:rPr>
        <w:t xml:space="preserve">Figure 4. Sentiment trend over time</w:t>
      </w:r>
    </w:p>
    <w:p>
      <w:pPr>
        <w:keepNext/>
        <w:spacing w:before="60" w:after="20" w:line="259" w:lineRule="auto"/>
        <w:jc w:val="center"/>
      </w:pPr>
      <w:r>
        <w:rPr>
          <w:rFonts w:ascii="Times New Roman" w:eastAsia="Calibri" w:hAnsi="Times New Roman" w:cs="Times New Roman"/>
          <w:noProof/>
        </w:rPr>
        <w:drawing>
          <wp:inline distT="0" distB="0" distL="0" distR="0">
            <wp:extent cx="5760720" cy="2150435"/>
            <wp:effectExtent l="0" t="0" r="0" b="0"/>
            <wp:docPr id="5" name="09_source_and_product.png" descr="Figure 5. Sentiment by source and by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2150435"/>
                    </a:xfrm>
                    <a:prstGeom prst="rect">
                      <a:avLst/>
                    </a:prstGeom>
                  </pic:spPr>
                </pic:pic>
              </a:graphicData>
            </a:graphic>
          </wp:inline>
        </w:drawing>
      </w:r>
    </w:p>
    <w:p>
      <w:pPr>
        <w:spacing w:before="0" w:after="70" w:line="259" w:lineRule="auto"/>
        <w:jc w:val="center"/>
      </w:pPr>
      <w:r>
        <w:rPr>
          <w:rFonts w:ascii="Times New Roman" w:eastAsia="Calibri" w:hAnsi="Times New Roman" w:cs="Times New Roman"/>
          <w:i/>
          <w:iCs/>
          <w:color w:val="555555"/>
          <w:sz w:val="18"/>
          <w:szCs w:val="18"/>
        </w:rPr>
        <w:t xml:space="preserve">Figure 5. Sentiment by source and by product</w:t>
      </w:r>
    </w:p>
    <w:p>
      <w:pPr>
        <w:keepNext/>
        <w:spacing w:before="160" w:after="70" w:line="259" w:lineRule="auto"/>
        <w:jc w:val="left"/>
        <w:outlineLvl w:val="0"/>
      </w:pPr>
      <w:r>
        <w:rPr>
          <w:rFonts w:ascii="Times New Roman" w:eastAsia="Calibri" w:hAnsi="Times New Roman" w:cs="Times New Roman"/>
          <w:b/>
          <w:bCs/>
          <w:color w:val="0F2C3D"/>
          <w:sz w:val="24"/>
          <w:szCs w:val="24"/>
        </w:rPr>
        <w:t xml:space="preserve">5. Limitations and improvements</w:t>
      </w:r>
    </w:p>
    <w:p>
      <w:pPr>
        <w:numPr>
          <w:ilvl w:val="0"/>
          <w:numId w:val="1"/>
        </w:numPr>
        <w:spacing w:before="0" w:after="50" w:line="259" w:lineRule="auto"/>
        <w:jc w:val="both"/>
      </w:pPr>
      <w:r>
        <w:rPr>
          <w:rFonts w:ascii="Times New Roman" w:eastAsia="Calibri" w:hAnsi="Times New Roman" w:cs="Times New Roman"/>
          <w:b/>
          <w:bCs/>
          <w:sz w:val="21"/>
          <w:szCs w:val="21"/>
        </w:rPr>
        <w:t xml:space="preserve">Synthetic, template-based data. </w:t>
      </w:r>
      <w:r>
        <w:rPr>
          <w:rFonts w:ascii="Times New Roman" w:eastAsia="Calibri" w:hAnsi="Times New Roman" w:cs="Times New Roman"/>
          <w:sz w:val="21"/>
          <w:szCs w:val="21"/>
        </w:rPr>
        <w:t xml:space="preserve">Only 42 sentence patterns exist, so scores will not carry over to real reviews. Improvement: repeat the study on real Flipkart and Twitter reviews.</w:t>
      </w:r>
    </w:p>
    <w:p>
      <w:pPr>
        <w:numPr>
          <w:ilvl w:val="0"/>
          <w:numId w:val="1"/>
        </w:numPr>
        <w:spacing w:before="0" w:after="50" w:line="259" w:lineRule="auto"/>
        <w:jc w:val="both"/>
      </w:pPr>
      <w:r>
        <w:rPr>
          <w:rFonts w:ascii="Times New Roman" w:eastAsia="Calibri" w:hAnsi="Times New Roman" w:cs="Times New Roman"/>
          <w:b/>
          <w:bCs/>
          <w:sz w:val="21"/>
          <w:szCs w:val="21"/>
        </w:rPr>
        <w:t xml:space="preserve">Small, noisy hold-out. </w:t>
      </w:r>
      <w:r>
        <w:rPr>
          <w:rFonts w:ascii="Times New Roman" w:eastAsia="Calibri" w:hAnsi="Times New Roman" w:cs="Times New Roman"/>
          <w:sz w:val="21"/>
          <w:szCs w:val="21"/>
        </w:rPr>
        <w:t xml:space="preserve">The strict test set has just 8 templates, so single scores are unstable (fold spread about 0.09). Improvement: report cross-validation as the main result, as done here, and add more data.</w:t>
      </w:r>
    </w:p>
    <w:p>
      <w:pPr>
        <w:numPr>
          <w:ilvl w:val="0"/>
          <w:numId w:val="1"/>
        </w:numPr>
        <w:spacing w:before="0" w:after="50" w:line="259" w:lineRule="auto"/>
        <w:jc w:val="both"/>
      </w:pPr>
      <w:r>
        <w:rPr>
          <w:rFonts w:ascii="Times New Roman" w:eastAsia="Calibri" w:hAnsi="Times New Roman" w:cs="Times New Roman"/>
          <w:b/>
          <w:bCs/>
          <w:sz w:val="21"/>
          <w:szCs w:val="21"/>
        </w:rPr>
        <w:t xml:space="preserve">Unreliable rating and missing real-world language. </w:t>
      </w:r>
      <w:r>
        <w:rPr>
          <w:rFonts w:ascii="Times New Roman" w:eastAsia="Calibri" w:hAnsi="Times New Roman" w:cs="Times New Roman"/>
          <w:sz w:val="21"/>
          <w:szCs w:val="21"/>
        </w:rPr>
        <w:t xml:space="preserve">Ratings did not match the labels, and there is no sarcasm, emoji, spelling mistakes or mixed languages. Improvement: check how the labels were produced and add such text.</w:t>
      </w:r>
    </w:p>
    <w:p>
      <w:pPr>
        <w:numPr>
          <w:ilvl w:val="0"/>
          <w:numId w:val="1"/>
        </w:numPr>
        <w:spacing w:before="0" w:after="50" w:line="259" w:lineRule="auto"/>
        <w:jc w:val="both"/>
      </w:pPr>
      <w:r>
        <w:rPr>
          <w:rFonts w:ascii="Times New Roman" w:eastAsia="Calibri" w:hAnsi="Times New Roman" w:cs="Times New Roman"/>
          <w:b/>
          <w:bCs/>
          <w:sz w:val="21"/>
          <w:szCs w:val="21"/>
        </w:rPr>
        <w:t xml:space="preserve">Bag-of-words models. </w:t>
      </w:r>
      <w:r>
        <w:rPr>
          <w:rFonts w:ascii="Times New Roman" w:eastAsia="Calibri" w:hAnsi="Times New Roman" w:cs="Times New Roman"/>
          <w:sz w:val="21"/>
          <w:szCs w:val="21"/>
        </w:rPr>
        <w:t xml:space="preserve">TF-IDF ignores word order and meaning. Improvement: fine-tune a pre-trained transformer (e.g. BERT), which copes much better with new wording and with neutral text.</w:t>
      </w:r>
    </w:p>
    <w:p>
      <w:pPr>
        <w:keepNext/>
        <w:spacing w:before="160" w:after="70" w:line="259" w:lineRule="auto"/>
        <w:jc w:val="left"/>
        <w:outlineLvl w:val="0"/>
      </w:pPr>
      <w:r>
        <w:rPr>
          <w:rFonts w:ascii="Times New Roman" w:eastAsia="Calibri" w:hAnsi="Times New Roman" w:cs="Times New Roman"/>
          <w:b/>
          <w:bCs/>
          <w:color w:val="0F2C3D"/>
          <w:sz w:val="24"/>
          <w:szCs w:val="24"/>
        </w:rPr>
        <w:t xml:space="preserve">6. Conclusion</w:t>
      </w:r>
    </w:p>
    <w:p>
      <w:pPr>
        <w:spacing w:before="0" w:after="0" w:line="259" w:lineRule="auto"/>
        <w:jc w:val="both"/>
      </w:pPr>
      <w:r>
        <w:rPr>
          <w:rFonts w:ascii="Times New Roman" w:eastAsia="Calibri" w:hAnsi="Times New Roman" w:cs="Times New Roman"/>
          <w:sz w:val="21"/>
          <w:szCs w:val="21"/>
        </w:rPr>
        <w:t xml:space="preserve">A Linear SVM on TF-IDF features gave the best result (F1 about 0.80 on unseen wording), and keeping negation words was the most useful preprocessing choice. The perfect scores of a random split were an illusion caused by repeated sentence templates, so the split matters more than the model. Sentiment did not differ meaningfully by month, source or product in this synthetic data, and neutral reviews remain the hardest to classify.</w:t>
      </w:r>
    </w:p>
    <w:sectPr>
      <w:footerReference w:type="default" r:id="rId12"/>
      <w:pgSz w:w="11906" w:h="16838" w:code="9"/>
      <w:pgMar w:top="1000" w:right="1080" w:bottom="1000" w:left="108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1F86D" w14:textId="77777777" w:rsidR="00D407E1" w:rsidRDefault="00D407E1" w:rsidP="00D420FB">
      <w:pPr>
        <w:spacing w:after="0" w:line="240" w:lineRule="auto"/>
      </w:pPr>
      <w:r>
        <w:separator/>
      </w:r>
    </w:p>
  </w:endnote>
  <w:endnote w:type="continuationSeparator" w:id="0">
    <w:p w14:paraId="5608F785" w14:textId="77777777" w:rsidR="00D407E1" w:rsidRDefault="00D407E1" w:rsidP="00D42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84F67" w14:textId="00020FDD" w:rsidR="009944AA" w:rsidRPr="00D420FB" w:rsidRDefault="002055BC" w:rsidP="00D0521E">
    <w:pPr>
      <w:jc w:val="right"/>
      <w:rPr>
        <w:rFonts w:ascii="Times New Roman" w:hAnsi="Times New Roman" w:cs="Times New Roman"/>
      </w:rPr>
    </w:pPr>
    <w:r w:rsidRPr="00D420FB">
      <w:rPr>
        <w:rFonts w:ascii="Times New Roman" w:eastAsia="Calibri" w:hAnsi="Times New Roman" w:cs="Times New Roman"/>
        <w:sz w:val="18"/>
        <w:szCs w:val="18"/>
      </w:rPr>
      <w:t xml:space="preserve">| Page </w:t>
    </w:r>
    <w:r w:rsidRPr="00D420FB">
      <w:rPr>
        <w:rFonts w:ascii="Times New Roman" w:hAnsi="Times New Roman" w:cs="Times New Roman"/>
        <w:sz w:val="18"/>
        <w:szCs w:val="18"/>
      </w:rPr>
      <w:fldChar w:fldCharType="begin"/>
    </w:r>
    <w:r w:rsidRPr="00D420FB">
      <w:rPr>
        <w:rFonts w:ascii="Times New Roman" w:eastAsia="Calibri" w:hAnsi="Times New Roman" w:cs="Times New Roman"/>
        <w:sz w:val="18"/>
        <w:szCs w:val="18"/>
      </w:rPr>
      <w:instrText>PAGE</w:instrText>
    </w:r>
    <w:r w:rsidRPr="00D420FB">
      <w:rPr>
        <w:rFonts w:ascii="Times New Roman" w:hAnsi="Times New Roman" w:cs="Times New Roman"/>
        <w:sz w:val="18"/>
        <w:szCs w:val="18"/>
      </w:rPr>
      <w:fldChar w:fldCharType="separate"/>
    </w:r>
    <w:r w:rsidRPr="00D420FB">
      <w:rPr>
        <w:rFonts w:ascii="Times New Roman" w:hAnsi="Times New Roman" w:cs="Times New Roman"/>
        <w:noProof/>
        <w:sz w:val="18"/>
        <w:szCs w:val="18"/>
      </w:rPr>
      <w:t>1</w:t>
    </w:r>
    <w:r w:rsidRPr="00D420FB">
      <w:rPr>
        <w:rFonts w:ascii="Times New Roman" w:hAnsi="Times New Roman"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33AE7" w14:textId="77777777" w:rsidR="00D407E1" w:rsidRDefault="00D407E1" w:rsidP="00D420FB">
      <w:pPr>
        <w:spacing w:after="0" w:line="240" w:lineRule="auto"/>
      </w:pPr>
      <w:r>
        <w:separator/>
      </w:r>
    </w:p>
  </w:footnote>
  <w:footnote w:type="continuationSeparator" w:id="0">
    <w:p w14:paraId="615298A6" w14:textId="77777777" w:rsidR="00D407E1" w:rsidRDefault="00D407E1" w:rsidP="00D420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45C76"/>
    <w:multiLevelType w:val="hybridMultilevel"/>
    <w:tmpl w:val="CA466ED4"/>
    <w:lvl w:ilvl="0" w:tplc="3CE0C5E2">
      <w:start w:val="1"/>
      <w:numFmt w:val="bullet"/>
      <w:lvlText w:val="-"/>
      <w:lvlJc w:val="left"/>
      <w:pPr>
        <w:ind w:left="500" w:hanging="250"/>
      </w:pPr>
    </w:lvl>
    <w:lvl w:ilvl="1" w:tplc="18747866">
      <w:numFmt w:val="decimal"/>
      <w:lvlText w:val=""/>
      <w:lvlJc w:val="left"/>
    </w:lvl>
    <w:lvl w:ilvl="2" w:tplc="4364A656">
      <w:numFmt w:val="decimal"/>
      <w:lvlText w:val=""/>
      <w:lvlJc w:val="left"/>
    </w:lvl>
    <w:lvl w:ilvl="3" w:tplc="AAA04222">
      <w:numFmt w:val="decimal"/>
      <w:lvlText w:val=""/>
      <w:lvlJc w:val="left"/>
    </w:lvl>
    <w:lvl w:ilvl="4" w:tplc="85569B4C">
      <w:numFmt w:val="decimal"/>
      <w:lvlText w:val=""/>
      <w:lvlJc w:val="left"/>
    </w:lvl>
    <w:lvl w:ilvl="5" w:tplc="2864F18E">
      <w:numFmt w:val="decimal"/>
      <w:lvlText w:val=""/>
      <w:lvlJc w:val="left"/>
    </w:lvl>
    <w:lvl w:ilvl="6" w:tplc="8070B5B6">
      <w:numFmt w:val="decimal"/>
      <w:lvlText w:val=""/>
      <w:lvlJc w:val="left"/>
    </w:lvl>
    <w:lvl w:ilvl="7" w:tplc="BDCE0898">
      <w:numFmt w:val="decimal"/>
      <w:lvlText w:val=""/>
      <w:lvlJc w:val="left"/>
    </w:lvl>
    <w:lvl w:ilvl="8" w:tplc="04207A3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0FB"/>
    <w:rsid w:val="00085425"/>
    <w:rsid w:val="00142660"/>
    <w:rsid w:val="001D4D67"/>
    <w:rsid w:val="001F7B79"/>
    <w:rsid w:val="002055BC"/>
    <w:rsid w:val="00357ACB"/>
    <w:rsid w:val="004C7FA3"/>
    <w:rsid w:val="006900BA"/>
    <w:rsid w:val="00893D52"/>
    <w:rsid w:val="00A26922"/>
    <w:rsid w:val="00A802FF"/>
    <w:rsid w:val="00D0521E"/>
    <w:rsid w:val="00D407E1"/>
    <w:rsid w:val="00D42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118B9"/>
  <w15:chartTrackingRefBased/>
  <w15:docId w15:val="{556AF613-7A72-499A-BED2-870C79ACE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20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0FB"/>
  </w:style>
  <w:style w:type="paragraph" w:styleId="Footer">
    <w:name w:val="footer"/>
    <w:basedOn w:val="Normal"/>
    <w:link w:val="FooterChar"/>
    <w:uiPriority w:val="99"/>
    <w:unhideWhenUsed/>
    <w:rsid w:val="00D420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0FB"/>
  </w:style>
  <w:style w:type="character" w:styleId="Hyperlink">
    <w:name w:val="Hyperlink"/>
    <w:basedOn w:val="DefaultParagraphFont"/>
    <w:uiPriority w:val="99"/>
    <w:unhideWhenUsed/>
    <w:rsid w:val="00A26922"/>
    <w:rPr>
      <w:color w:val="0563C1" w:themeColor="hyperlink"/>
      <w:u w:val="single"/>
    </w:rPr>
  </w:style>
  <w:style w:type="character" w:styleId="UnresolvedMention">
    <w:name w:val="Unresolved Mention"/>
    <w:basedOn w:val="DefaultParagraphFont"/>
    <w:uiPriority w:val="99"/>
    <w:semiHidden/>
    <w:unhideWhenUsed/>
    <w:rsid w:val="00A269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Finance-BA-Rabea Akter Shoily</dc:creator>
  <cp:keywords/>
  <dc:description/>
  <cp:lastModifiedBy>Finance-BA-Rabea Akter Shoily</cp:lastModifiedBy>
  <cp:revision>3</cp:revision>
  <dcterms:created xsi:type="dcterms:W3CDTF">2026-09-30T09:34:00Z</dcterms:created>
  <dcterms:modified xsi:type="dcterms:W3CDTF">2026-09-30T09:34:00Z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a7b05829-b7fc-45a6-81a2-cb4b38ab0b5c</vt:lpwstr>
  </property>
</Properties>
</file>