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Session A 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PROFIT ANALYSIS 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Within the space of the last three years, what was the profit worth of the breweries, inclusive of the anglophone and the francophone territories? 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9829" cy="316907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829" cy="316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Compare the total profit between these two territories in order for the territory manager, Mr. Stone to make a strategic decision that will aid profit maximization in 2020. 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2347" cy="3148013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347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What country generated the highest profit in 2019 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Help him find the year with the highest profit. 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Which month in the three years was the least profit generated? 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354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What was the minimum profit in the month of December 2018? 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Compare the profit for each of the months in 2019 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Which particular brand generated the highest profit in Senegal?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Session B 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BRAND ANALYSIS 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Within the last two years, the brand manager wants to know the top three brands consumed in the francophone countries 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Find out the top two choice of consumer brands in Ghana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Find out the details of beers consumed in the past three years in the most oil reached country in West Africa. 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Favorites malt brand in Anglophone region between 2018 and 2019 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689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Which brands sold the highest in 2019 in Nigeria? 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Favorites brand in South_South region in Nigeria 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Bear consumption in Nigeria 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Level of consumption of Budweiser in the regions in Nigeria 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Level of consumption of Budweiser in the regions in Nigeria in 2019 (Decision on Promo)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Session C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COUNTRIES ANALYSIS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Country with the highest consumption of beer.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Highest sales personnel of Budweiser in Senegal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Country with the highest profit of the fourth quarter in 2019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1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20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