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A1A2E"/>
          <w:sz w:val="36"/>
          <w:szCs w:val="36"/>
        </w:rPr>
        <w:t xml:space="preserve">FRO Salary &amp; Incentive Logic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Complete Documentation</w:t>
      </w:r>
    </w:p>
    <w:p>
      <w:pPr>
        <w:pStyle w:val="Heading1"/>
        <w:spacing w:after="200" w:before="400"/>
      </w:pPr>
      <w:r>
        <w:rPr>
          <w:b/>
          <w:bCs/>
          <w:color w:val="1A1A2E"/>
          <w:sz w:val="28"/>
          <w:szCs w:val="28"/>
        </w:rPr>
        <w:t xml:space="preserve">1. Overview</w:t>
      </w:r>
    </w:p>
    <w:p>
      <w:pPr>
        <w:spacing w:after="120"/>
      </w:pPr>
      <w:r>
        <w:rPr>
          <w:color w:val="1A1A2E"/>
          <w:sz w:val="20"/>
          <w:szCs w:val="20"/>
        </w:rPr>
        <w:t xml:space="preserve">The attendance management system calculates monthly salary based on attendance records. For FRO (Field Recruiting Officer) department workers, there is an additional target + incentive system.</w:t>
      </w:r>
    </w:p>
    <w:p>
      <w:pPr>
        <w:spacing w:after="120"/>
      </w:pPr>
      <w:r>
        <w:rPr>
          <w:b/>
          <w:bCs/>
          <w:color w:val="1A1A2E"/>
          <w:sz w:val="20"/>
          <w:szCs w:val="20"/>
        </w:rPr>
        <w:t xml:space="preserve">Salary = Per-day rate × (Paid Days - Late Deductions - Joining Deduction)</w:t>
      </w:r>
    </w:p>
    <w:p>
      <w:pPr>
        <w:spacing w:after="120"/>
      </w:pPr>
      <w:r>
        <w:rPr>
          <w:b/>
          <w:bCs/>
          <w:color w:val="1A1A2E"/>
          <w:sz w:val="20"/>
          <w:szCs w:val="20"/>
        </w:rPr>
        <w:t xml:space="preserve">Incentive = AKI (daily) + Monthly bonus (10% of overage) — only if monthly target is met</w:t>
      </w:r>
    </w:p>
    <w:p>
      <w:pPr>
        <w:pStyle w:val="Heading1"/>
        <w:spacing w:after="200" w:before="400"/>
      </w:pPr>
      <w:r>
        <w:rPr>
          <w:b/>
          <w:bCs/>
          <w:color w:val="1A1A2E"/>
          <w:sz w:val="28"/>
          <w:szCs w:val="28"/>
        </w:rPr>
        <w:t xml:space="preserve">2. Salary Deduction Logic</w:t>
      </w:r>
    </w:p>
    <w:p>
      <w:pPr>
        <w:pStyle w:val="Heading2"/>
        <w:spacing w:after="200" w:before="300"/>
      </w:pPr>
      <w:r>
        <w:rPr>
          <w:b/>
          <w:bCs/>
          <w:color w:val="1A1A2E"/>
          <w:sz w:val="24"/>
          <w:szCs w:val="24"/>
        </w:rPr>
        <w:t xml:space="preserve">2.1 Absence Deductions</w:t>
      </w:r>
    </w:p>
    <w:p>
      <w:pPr>
        <w:spacing w:after="120"/>
      </w:pPr>
      <w:r>
        <w:rPr>
          <w:color w:val="1A1A2E"/>
          <w:sz w:val="20"/>
          <w:szCs w:val="20"/>
        </w:rPr>
        <w:t xml:space="preserve">Each day of the month is evaluated for absences. Sundays are skipped by default but can be deducted via adjacency rules: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2E"/>
          <w:sz w:val="20"/>
          <w:szCs w:val="20"/>
        </w:rPr>
        <w:t xml:space="preserve">Saturday absent → deduct Saturday + the following Sunday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2E"/>
          <w:sz w:val="20"/>
          <w:szCs w:val="20"/>
        </w:rPr>
        <w:t xml:space="preserve">Monday absent → deduct Monday + the previous Sunday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2E"/>
          <w:sz w:val="20"/>
          <w:szCs w:val="20"/>
        </w:rPr>
        <w:t xml:space="preserve">Other weekdays absent → deduct that day only</w:t>
      </w:r>
    </w:p>
    <w:p>
      <w:pPr>
        <w:pStyle w:val="Heading2"/>
        <w:spacing w:after="200" w:before="300"/>
      </w:pPr>
      <w:r>
        <w:rPr>
          <w:b/>
          <w:bCs/>
          <w:color w:val="1A1A2E"/>
          <w:sz w:val="24"/>
          <w:szCs w:val="24"/>
        </w:rPr>
        <w:t xml:space="preserve">2.2 ≥6 Absences Rule</w:t>
      </w:r>
    </w:p>
    <w:p>
      <w:pPr>
        <w:spacing w:after="120"/>
      </w:pPr>
      <w:r>
        <w:rPr>
          <w:color w:val="1A1A2E"/>
          <w:sz w:val="20"/>
          <w:szCs w:val="20"/>
        </w:rPr>
        <w:t xml:space="preserve">If a worker has 6 or more regular (Mon-Sat) absences in a month, ALL Sundays in that month are also deducted.</w:t>
      </w:r>
    </w:p>
    <w:p>
      <w:pPr>
        <w:pStyle w:val="Heading2"/>
        <w:spacing w:after="200" w:before="300"/>
      </w:pPr>
      <w:r>
        <w:rPr>
          <w:b/>
          <w:bCs/>
          <w:color w:val="1A1A2E"/>
          <w:sz w:val="24"/>
          <w:szCs w:val="24"/>
        </w:rPr>
        <w:t xml:space="preserve">2.3 Joining Deduction</w:t>
      </w:r>
    </w:p>
    <w:p>
      <w:pPr>
        <w:spacing w:after="120"/>
      </w:pPr>
      <w:r>
        <w:rPr>
          <w:color w:val="1A1A2E"/>
          <w:sz w:val="20"/>
          <w:szCs w:val="20"/>
        </w:rPr>
        <w:t xml:space="preserve">If the worker joined this month, all days before their join date are automatically deducted. Additionally, a 1.5 day penalty is applied to the final total.</w:t>
      </w:r>
    </w:p>
    <w:p>
      <w:pPr>
        <w:pStyle w:val="Heading2"/>
        <w:spacing w:after="200" w:before="300"/>
      </w:pPr>
      <w:r>
        <w:rPr>
          <w:b/>
          <w:bCs/>
          <w:color w:val="1A1A2E"/>
          <w:sz w:val="24"/>
          <w:szCs w:val="24"/>
        </w:rPr>
        <w:t xml:space="preserve">2.4 Late Minutes Deduction</w:t>
      </w:r>
    </w:p>
    <w:p>
      <w:pPr>
        <w:spacing w:after="120"/>
      </w:pPr>
      <w:r>
        <w:rPr>
          <w:color w:val="1A1A2E"/>
          <w:sz w:val="20"/>
          <w:szCs w:val="20"/>
        </w:rPr>
        <w:t xml:space="preserve">Total late minutes are calculated across all working days (excluding Sundays and before-join days). The following tiers apply: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Late Minutes</w:t>
            </w:r>
          </w:p>
        </w:tc>
        <w:tc>
          <w:tcPr>
            <w:tcW w:type="pct" w:w="50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Deduction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0 - 180 min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No deduction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181 - 270 min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0.5 day deducted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271 - 540 min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 day deducted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&gt; 540 min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Proportional: round(minutes / 540 × 2) / 2 days</w:t>
            </w:r>
          </w:p>
        </w:tc>
      </w:tr>
    </w:tbl>
    <w:p>
      <w:pPr>
        <w:pStyle w:val="Heading2"/>
        <w:spacing w:after="200" w:before="300"/>
      </w:pPr>
      <w:r>
        <w:rPr>
          <w:b/>
          <w:bCs/>
          <w:color w:val="1A1A2E"/>
          <w:sz w:val="24"/>
          <w:szCs w:val="24"/>
        </w:rPr>
        <w:t xml:space="preserve">2.5 Final Salary Formula</w:t>
      </w:r>
    </w:p>
    <w:p>
      <w:pPr>
        <w:spacing w:after="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paidDays = max(0, daysInMonth - beforeJoinDays - deducted.size)</w:t>
      </w:r>
    </w:p>
    <w:p>
      <w:pPr>
        <w:spacing w:after="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perDay = monthlySalary / daysInMonth</w:t>
      </w:r>
    </w:p>
    <w:p>
      <w:pPr>
        <w:spacing w:after="1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totalDue = perDay × max(0, paidDays - lateDeductionDays - 1.5)</w:t>
      </w:r>
    </w:p>
    <w:p>
      <w:pPr>
        <w:spacing w:after="120"/>
      </w:pPr>
      <w:r>
        <w:rPr>
          <w:i/>
          <w:iCs/>
          <w:color w:val="1A1A2E"/>
          <w:sz w:val="20"/>
          <w:szCs w:val="20"/>
        </w:rPr>
        <w:t xml:space="preserve">Note: The 1.5 deduction only applies if the worker joined this month.</w:t>
      </w:r>
    </w:p>
    <w:p>
      <w:pPr>
        <w:pStyle w:val="Heading1"/>
        <w:spacing w:after="200" w:before="400"/>
      </w:pPr>
      <w:r>
        <w:rPr>
          <w:b/>
          <w:bCs/>
          <w:color w:val="1A1A2E"/>
          <w:sz w:val="28"/>
          <w:szCs w:val="28"/>
        </w:rPr>
        <w:t xml:space="preserve">3. Pay Day Logic</w:t>
      </w:r>
    </w:p>
    <w:p>
      <w:pPr>
        <w:spacing w:after="120"/>
      </w:pPr>
      <w:r>
        <w:rPr>
          <w:color w:val="1A1A2E"/>
          <w:sz w:val="20"/>
          <w:szCs w:val="20"/>
        </w:rPr>
        <w:t xml:space="preserve">The pay date is calculated as the 10th of the next month, with extensions: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2E"/>
          <w:sz w:val="20"/>
          <w:szCs w:val="20"/>
        </w:rPr>
        <w:t xml:space="preserve">Base date: 10th of the next month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2E"/>
          <w:sz w:val="20"/>
          <w:szCs w:val="20"/>
        </w:rPr>
        <w:t xml:space="preserve">For each absence on days 1st through 10th (excluding Sundays and holidays), add 1 extra day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2E"/>
          <w:sz w:val="20"/>
          <w:szCs w:val="20"/>
        </w:rPr>
        <w:t xml:space="preserve">If the resulting date falls on a Sunday, push to Monday</w:t>
      </w:r>
    </w:p>
    <w:p>
      <w:pPr>
        <w:pStyle w:val="Heading1"/>
        <w:spacing w:after="200" w:before="400"/>
      </w:pPr>
      <w:r>
        <w:rPr>
          <w:b/>
          <w:bCs/>
          <w:color w:val="1A1A2E"/>
          <w:sz w:val="28"/>
          <w:szCs w:val="28"/>
        </w:rPr>
        <w:t xml:space="preserve">4. Dual-NGO Salary Allocation</w:t>
      </w:r>
    </w:p>
    <w:p>
      <w:pPr>
        <w:spacing w:after="120"/>
      </w:pPr>
      <w:r>
        <w:rPr>
          <w:color w:val="1A1A2E"/>
          <w:sz w:val="20"/>
          <w:szCs w:val="20"/>
        </w:rPr>
        <w:t xml:space="preserve">Since the company can give at most ₹15,000 per NGO, workers with salaries above this amount must be split across 1 or 2 NGOs.</w:t>
      </w:r>
    </w:p>
    <w:p>
      <w:pPr>
        <w:pStyle w:val="Heading2"/>
        <w:spacing w:after="200" w:before="300"/>
      </w:pPr>
      <w:r>
        <w:rPr>
          <w:b/>
          <w:bCs/>
          <w:color w:val="1A1A2E"/>
          <w:sz w:val="24"/>
          <w:szCs w:val="24"/>
        </w:rPr>
        <w:t xml:space="preserve">4.1 How It Works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2E"/>
          <w:sz w:val="20"/>
          <w:szCs w:val="20"/>
        </w:rPr>
        <w:t xml:space="preserve">Each worker has 1 or 2 NGO allocations, each with a salary portion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2E"/>
          <w:sz w:val="20"/>
          <w:szCs w:val="20"/>
        </w:rPr>
        <w:t xml:space="preserve">Each portion cannot exceed ₹15,000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2E"/>
          <w:sz w:val="20"/>
          <w:szCs w:val="20"/>
        </w:rPr>
        <w:t xml:space="preserve">The sum of all portions must equal the worker's total salary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2E"/>
          <w:sz w:val="20"/>
          <w:szCs w:val="20"/>
        </w:rPr>
        <w:t xml:space="preserve">Attendance data is shared across all allocations — the worker punches in once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2E"/>
          <w:sz w:val="20"/>
          <w:szCs w:val="20"/>
        </w:rPr>
        <w:t xml:space="preserve">Salary deductions (absences, late, joining) apply equally to each portion</w:t>
      </w:r>
    </w:p>
    <w:p>
      <w:pPr>
        <w:spacing w:after="120"/>
      </w:pPr>
      <w:r>
        <w:rPr>
          <w:color w:val="1A1A2E"/>
          <w:sz w:val="20"/>
          <w:szCs w:val="20"/>
        </w:rPr>
        <w:t xml:space="preserve">Example: A worker with ₹30,000 salary is split as ₹15,000 to NGO A and ₹15,000 to NGO B.</w:t>
      </w:r>
    </w:p>
    <w:p>
      <w:pPr>
        <w:pStyle w:val="Heading2"/>
        <w:spacing w:after="200" w:before="300"/>
      </w:pPr>
      <w:r>
        <w:rPr>
          <w:b/>
          <w:bCs/>
          <w:color w:val="1A1A2E"/>
          <w:sz w:val="24"/>
          <w:szCs w:val="24"/>
        </w:rPr>
        <w:t xml:space="preserve">4.2 Calculation Per Allocation</w:t>
      </w:r>
    </w:p>
    <w:p>
      <w:pPr>
        <w:spacing w:after="120"/>
      </w:pPr>
      <w:r>
        <w:rPr>
          <w:color w:val="1A1A2E"/>
          <w:sz w:val="20"/>
          <w:szCs w:val="20"/>
        </w:rPr>
        <w:t xml:space="preserve">For each allocation, the per-day rate is computed from that allocation's salary portion:</w:t>
      </w:r>
    </w:p>
    <w:p>
      <w:pPr>
        <w:spacing w:after="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allocPerDay = salaryPortion / daysInMonth</w:t>
      </w:r>
    </w:p>
    <w:p>
      <w:pPr>
        <w:spacing w:after="1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allocTotalDue = allocPerDay × max(0, paidDays - lateDeductionDays - joiningDeduction)</w:t>
      </w:r>
    </w:p>
    <w:p>
      <w:pPr>
        <w:spacing w:after="120"/>
      </w:pPr>
      <w:r>
        <w:rPr>
          <w:color w:val="1A1A2E"/>
          <w:sz w:val="20"/>
          <w:szCs w:val="20"/>
        </w:rPr>
        <w:t xml:space="preserve">The paidDays, lateDeductionDays, and joiningDeduction are the same for all allocations (shared attendance).</w:t>
      </w:r>
    </w:p>
    <w:p>
      <w:pPr>
        <w:pStyle w:val="Heading2"/>
        <w:spacing w:after="200" w:before="300"/>
      </w:pPr>
      <w:r>
        <w:rPr>
          <w:b/>
          <w:bCs/>
          <w:color w:val="1A1A2E"/>
          <w:sz w:val="24"/>
          <w:szCs w:val="24"/>
        </w:rPr>
        <w:t xml:space="preserve">4.3 Worker Creation Flow</w:t>
      </w:r>
    </w:p>
    <w:p>
      <w:pPr>
        <w:spacing w:after="120"/>
      </w:pPr>
      <w:r>
        <w:rPr>
          <w:color w:val="1A1A2E"/>
          <w:sz w:val="20"/>
          <w:szCs w:val="20"/>
        </w:rPr>
        <w:t xml:space="preserve">When adding a worker, the admin enters: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2E"/>
          <w:sz w:val="20"/>
          <w:szCs w:val="20"/>
        </w:rPr>
        <w:t xml:space="preserve">Worker details (name, department, etc.)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2E"/>
          <w:sz w:val="20"/>
          <w:szCs w:val="20"/>
        </w:rPr>
        <w:t xml:space="preserve">Total salary amount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2E"/>
          <w:sz w:val="20"/>
          <w:szCs w:val="20"/>
        </w:rPr>
        <w:t xml:space="preserve">1 or 2 NGO allocations with their respective salary portions</w:t>
      </w:r>
    </w:p>
    <w:p>
      <w:pPr>
        <w:spacing w:after="120"/>
      </w:pPr>
      <w:r>
        <w:rPr>
          <w:color w:val="1A1A2E"/>
          <w:sz w:val="20"/>
          <w:szCs w:val="20"/>
        </w:rPr>
        <w:t xml:space="preserve">If salary ≤ ₹15,000, only one allocation is needed. If salary &gt; ₹15,000, the system auto-splits into two allocations (₹15,000 + remainder).</w:t>
      </w:r>
    </w:p>
    <w:p>
      <w:pPr>
        <w:pStyle w:val="Heading2"/>
        <w:spacing w:after="200" w:before="300"/>
      </w:pPr>
      <w:r>
        <w:rPr>
          <w:b/>
          <w:bCs/>
          <w:color w:val="1A1A2E"/>
          <w:sz w:val="24"/>
          <w:szCs w:val="24"/>
        </w:rPr>
        <w:t xml:space="preserve">4.4 Display in HR Panel</w:t>
      </w:r>
    </w:p>
    <w:p>
      <w:pPr>
        <w:spacing w:after="120"/>
      </w:pPr>
      <w:r>
        <w:rPr>
          <w:color w:val="1A1A2E"/>
          <w:sz w:val="20"/>
          <w:szCs w:val="20"/>
        </w:rPr>
        <w:t xml:space="preserve">In the Salary tab of Employee Detail, two views are shown: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2E"/>
          <w:sz w:val="20"/>
          <w:szCs w:val="20"/>
        </w:rPr>
        <w:t xml:space="preserve">Separate per-NGO breakdown — a table with each NGO name, salary portion, per-day rate, and total due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2E"/>
          <w:sz w:val="20"/>
          <w:szCs w:val="20"/>
        </w:rPr>
        <w:t xml:space="preserve">Merged total — a combined row showing the sum across all NGOs</w:t>
      </w:r>
    </w:p>
    <w:p>
      <w:pPr>
        <w:spacing w:after="120"/>
      </w:pPr>
      <w:r>
        <w:rPr>
          <w:color w:val="1A1A2E"/>
          <w:sz w:val="20"/>
          <w:szCs w:val="20"/>
        </w:rPr>
        <w:t xml:space="preserve">The existing deduction breakdown, visual flow, and pay date remain the same since attendance is shared.</w:t>
      </w:r>
    </w:p>
    <w:p>
      <w:pPr>
        <w:pStyle w:val="Heading2"/>
        <w:spacing w:after="200" w:before="300"/>
      </w:pPr>
      <w:r>
        <w:rPr>
          <w:b/>
          <w:bCs/>
          <w:color w:val="1A1A2E"/>
          <w:sz w:val="24"/>
          <w:szCs w:val="24"/>
        </w:rPr>
        <w:t xml:space="preserve">4.5 Database</w:t>
      </w:r>
    </w:p>
    <w:p>
      <w:pPr>
        <w:spacing w:after="120"/>
      </w:pPr>
      <w:r>
        <w:rPr>
          <w:color w:val="1A1A2E"/>
          <w:sz w:val="20"/>
          <w:szCs w:val="20"/>
        </w:rPr>
        <w:t xml:space="preserve">NGO allocations are stored in the worker_ngo_allocations table: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33.333333333333336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33.333333333333336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UUID PK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worker_id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References workers(id)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ngo_id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References ngos(id)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salary_portion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NUMERIC(12,2)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Salary amount for this NGO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created_at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TIMESTAMPTZ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A1A2E"/>
          <w:sz w:val="28"/>
          <w:szCs w:val="28"/>
        </w:rPr>
        <w:t xml:space="preserve">5. FRO Target System</w:t>
      </w:r>
    </w:p>
    <w:p>
      <w:pPr>
        <w:pStyle w:val="Heading2"/>
        <w:spacing w:after="200" w:before="300"/>
      </w:pPr>
      <w:r>
        <w:rPr>
          <w:b/>
          <w:bCs/>
          <w:color w:val="1A1A2E"/>
          <w:sz w:val="24"/>
          <w:szCs w:val="24"/>
        </w:rPr>
        <w:t xml:space="preserve">5.1 Target Auto-Generation (New Joiners)</w:t>
      </w:r>
    </w:p>
    <w:p>
      <w:pPr>
        <w:spacing w:after="120"/>
      </w:pPr>
      <w:r>
        <w:rPr>
          <w:color w:val="1A1A2E"/>
          <w:sz w:val="20"/>
          <w:szCs w:val="20"/>
        </w:rPr>
        <w:t xml:space="preserve">For FRO workers in their first 3 months, targets are auto-generated based on their monthly salary: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Employment Month</w:t>
            </w:r>
          </w:p>
        </w:tc>
        <w:tc>
          <w:tcPr>
            <w:tcW w:type="pct" w:w="33.333333333333336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 Formula</w:t>
            </w:r>
          </w:p>
        </w:tc>
        <w:tc>
          <w:tcPr>
            <w:tcW w:type="pct" w:w="33.333333333333336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 (₹20k salary)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Month 1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salary × 1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₹20,000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Month 2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salary × 2.5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₹50,000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Month 3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salary × 3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₹60,000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Month 4+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salary × 3 (default until admin overrides)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₹60,000</w:t>
            </w:r>
          </w:p>
        </w:tc>
      </w:tr>
    </w:tbl>
    <w:p>
      <w:pPr>
        <w:pStyle w:val="Heading2"/>
        <w:spacing w:after="200" w:before="300"/>
      </w:pPr>
      <w:r>
        <w:rPr>
          <w:b/>
          <w:bCs/>
          <w:color w:val="1A1A2E"/>
          <w:sz w:val="24"/>
          <w:szCs w:val="24"/>
        </w:rPr>
        <w:t xml:space="preserve">5.2 Manual Target Override</w:t>
      </w:r>
    </w:p>
    <w:p>
      <w:pPr>
        <w:spacing w:after="120"/>
      </w:pPr>
      <w:r>
        <w:rPr>
          <w:color w:val="1A1A2E"/>
          <w:sz w:val="20"/>
          <w:szCs w:val="20"/>
        </w:rPr>
        <w:t xml:space="preserve">After 3 months (or anytime), the NGO admin can manually set any target amount for a worker.</w:t>
      </w:r>
    </w:p>
    <w:p>
      <w:pPr>
        <w:pStyle w:val="Heading2"/>
        <w:spacing w:after="200" w:before="300"/>
      </w:pPr>
      <w:r>
        <w:rPr>
          <w:b/>
          <w:bCs/>
          <w:color w:val="1A1A2E"/>
          <w:sz w:val="24"/>
          <w:szCs w:val="24"/>
        </w:rPr>
        <w:t xml:space="preserve">5.3 Target Database</w:t>
      </w:r>
    </w:p>
    <w:p>
      <w:pPr>
        <w:spacing w:after="120"/>
      </w:pPr>
      <w:r>
        <w:rPr>
          <w:color w:val="1A1A2E"/>
          <w:sz w:val="20"/>
          <w:szCs w:val="20"/>
        </w:rPr>
        <w:t xml:space="preserve">Targets are stored in the incentive_targets table.</w:t>
      </w:r>
    </w:p>
    <w:p>
      <w:pPr>
        <w:pStyle w:val="Heading1"/>
        <w:spacing w:after="200" w:before="400"/>
      </w:pPr>
      <w:r>
        <w:rPr>
          <w:b/>
          <w:bCs/>
          <w:color w:val="1A1A2E"/>
          <w:sz w:val="28"/>
          <w:szCs w:val="28"/>
        </w:rPr>
        <w:t xml:space="preserve">6. FRO Incentive — AKI (Aaj Ka Incentive)</w:t>
      </w:r>
    </w:p>
    <w:p>
      <w:pPr>
        <w:pStyle w:val="Heading2"/>
        <w:spacing w:after="200" w:before="300"/>
      </w:pPr>
      <w:r>
        <w:rPr>
          <w:b/>
          <w:bCs/>
          <w:color w:val="1A1A2E"/>
          <w:sz w:val="24"/>
          <w:szCs w:val="24"/>
        </w:rPr>
        <w:t xml:space="preserve">6.1 Daily Achievement Tracking</w:t>
      </w:r>
    </w:p>
    <w:p>
      <w:pPr>
        <w:spacing w:after="120"/>
      </w:pPr>
      <w:r>
        <w:rPr>
          <w:color w:val="1A1A2E"/>
          <w:sz w:val="20"/>
          <w:szCs w:val="20"/>
        </w:rPr>
        <w:t xml:space="preserve">NGO admin records how much each FRO achieved/collected each day.</w:t>
      </w:r>
    </w:p>
    <w:p>
      <w:pPr>
        <w:pStyle w:val="Heading2"/>
        <w:spacing w:after="200" w:before="300"/>
      </w:pPr>
      <w:r>
        <w:rPr>
          <w:b/>
          <w:bCs/>
          <w:color w:val="1A1A2E"/>
          <w:sz w:val="24"/>
          <w:szCs w:val="24"/>
        </w:rPr>
        <w:t xml:space="preserve">6.2 AKI Slab Ranges</w:t>
      </w:r>
    </w:p>
    <w:p>
      <w:pPr>
        <w:spacing w:after="120"/>
      </w:pPr>
      <w:r>
        <w:rPr>
          <w:color w:val="1A1A2E"/>
          <w:sz w:val="20"/>
          <w:szCs w:val="20"/>
        </w:rPr>
        <w:t xml:space="preserve">Each day of the week has its own incentive slabs:</w:t>
      </w:r>
    </w:p>
    <w:p>
      <w:pPr>
        <w:pStyle w:val="Heading3"/>
        <w:spacing w:after="200" w:before="300"/>
      </w:pPr>
      <w:r>
        <w:rPr>
          <w:b/>
          <w:bCs/>
          <w:color w:val="1A1A2E"/>
          <w:sz w:val="20"/>
          <w:szCs w:val="20"/>
        </w:rPr>
        <w:t xml:space="preserve">Sunday / Thursday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Range</w:t>
            </w:r>
          </w:p>
        </w:tc>
        <w:tc>
          <w:tcPr>
            <w:tcW w:type="pct" w:w="50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AKI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₹3,750 - ₹6,999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₹200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₹7,000 - ₹11,999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₹400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₹12,000 - ₹13,749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₹800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₹13,750 - ₹18,999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₹1,100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₹19,000+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₹1,500</w:t>
            </w:r>
          </w:p>
        </w:tc>
      </w:tr>
    </w:tbl>
    <w:p>
      <w:pPr>
        <w:pStyle w:val="Heading3"/>
        <w:spacing w:after="200" w:before="300"/>
      </w:pPr>
      <w:r>
        <w:rPr>
          <w:b/>
          <w:bCs/>
          <w:color w:val="1A1A2E"/>
          <w:sz w:val="20"/>
          <w:szCs w:val="20"/>
        </w:rPr>
        <w:t xml:space="preserve">Monday / Friday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Range</w:t>
            </w:r>
          </w:p>
        </w:tc>
        <w:tc>
          <w:tcPr>
            <w:tcW w:type="pct" w:w="50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AKI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₹3,000 - ₹5,999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₹180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₹6,000 - ₹8,999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₹360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₹9,000 - ₹11,999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₹540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₹12,000 - ₹13,999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₹720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₹14,000+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₹900</w:t>
            </w:r>
          </w:p>
        </w:tc>
      </w:tr>
    </w:tbl>
    <w:p>
      <w:pPr>
        <w:pStyle w:val="Heading3"/>
        <w:spacing w:after="200" w:before="300"/>
      </w:pPr>
      <w:r>
        <w:rPr>
          <w:b/>
          <w:bCs/>
          <w:color w:val="1A1A2E"/>
          <w:sz w:val="20"/>
          <w:szCs w:val="20"/>
        </w:rPr>
        <w:t xml:space="preserve">Tuesday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Range</w:t>
            </w:r>
          </w:p>
        </w:tc>
        <w:tc>
          <w:tcPr>
            <w:tcW w:type="pct" w:w="50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AKI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₹2,500 - ₹7,999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₹100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₹8,000 - ₹12,499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₹400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₹12,500 - ₹15,999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₹700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₹16,000+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₹1,100</w:t>
            </w:r>
          </w:p>
        </w:tc>
      </w:tr>
    </w:tbl>
    <w:p>
      <w:pPr>
        <w:pStyle w:val="Heading3"/>
        <w:spacing w:after="200" w:before="300"/>
      </w:pPr>
      <w:r>
        <w:rPr>
          <w:b/>
          <w:bCs/>
          <w:color w:val="1A1A2E"/>
          <w:sz w:val="20"/>
          <w:szCs w:val="20"/>
        </w:rPr>
        <w:t xml:space="preserve">Wednesday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Range</w:t>
            </w:r>
          </w:p>
        </w:tc>
        <w:tc>
          <w:tcPr>
            <w:tcW w:type="pct" w:w="50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AKI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₹3,000 - ₹5,499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₹250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₹5,500 - ₹7,499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₹300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₹7,500 - ₹10,499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₹450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₹10,500 - ₹12,499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₹610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₹12,500+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₹750</w:t>
            </w:r>
          </w:p>
        </w:tc>
      </w:tr>
    </w:tbl>
    <w:p>
      <w:pPr>
        <w:pStyle w:val="Heading3"/>
        <w:spacing w:after="200" w:before="300"/>
      </w:pPr>
      <w:r>
        <w:rPr>
          <w:b/>
          <w:bCs/>
          <w:color w:val="1A1A2E"/>
          <w:sz w:val="20"/>
          <w:szCs w:val="20"/>
        </w:rPr>
        <w:t xml:space="preserve">Saturday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Range</w:t>
            </w:r>
          </w:p>
        </w:tc>
        <w:tc>
          <w:tcPr>
            <w:tcW w:type="pct" w:w="50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AKI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₹2,500 - ₹3,999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₹100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₹4,000 - ₹7,999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₹200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₹8,000 - ₹12,499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₹400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₹12,500 - ₹15,999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₹700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₹16,000+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₹1,100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A1A2E"/>
          <w:sz w:val="28"/>
          <w:szCs w:val="28"/>
        </w:rPr>
        <w:t xml:space="preserve">7. Monthly Incentive (10% Overachievement)</w:t>
      </w:r>
    </w:p>
    <w:p>
      <w:pPr>
        <w:pStyle w:val="Heading2"/>
        <w:spacing w:after="200" w:before="300"/>
      </w:pPr>
      <w:r>
        <w:rPr>
          <w:b/>
          <w:bCs/>
          <w:color w:val="1A1A2E"/>
          <w:sz w:val="24"/>
          <w:szCs w:val="24"/>
        </w:rPr>
        <w:t xml:space="preserve">7.1 Calculation</w:t>
      </w:r>
    </w:p>
    <w:p>
      <w:pPr>
        <w:spacing w:after="120"/>
      </w:pPr>
      <w:r>
        <w:rPr>
          <w:color w:val="1A1A2E"/>
          <w:sz w:val="20"/>
          <w:szCs w:val="20"/>
        </w:rPr>
        <w:t xml:space="preserve">If the monthly achievement meets or exceeds the monthly target: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2E"/>
          <w:sz w:val="20"/>
          <w:szCs w:val="20"/>
        </w:rPr>
        <w:t xml:space="preserve">Overage = Monthly Achievement - Monthly Target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2E"/>
          <w:sz w:val="20"/>
          <w:szCs w:val="20"/>
        </w:rPr>
        <w:t xml:space="preserve">Monthly Incentive = Overage × 10%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2E"/>
          <w:sz w:val="20"/>
          <w:szCs w:val="20"/>
        </w:rPr>
        <w:t xml:space="preserve">Total Incentive = AKI Payout + Monthly Incentive</w:t>
      </w:r>
    </w:p>
    <w:p>
      <w:pPr>
        <w:spacing w:after="120"/>
      </w:pPr>
      <w:r>
        <w:rPr>
          <w:color w:val="1A1A2E"/>
          <w:sz w:val="20"/>
          <w:szCs w:val="20"/>
        </w:rPr>
        <w:t xml:space="preserve">If the monthly target is NOT met: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2E"/>
          <w:sz w:val="20"/>
          <w:szCs w:val="20"/>
        </w:rPr>
        <w:t xml:space="preserve">ALL AKI is forfeited (₹0), Monthly incentive = ₹0</w:t>
      </w:r>
    </w:p>
    <w:p>
      <w:pPr>
        <w:pStyle w:val="Heading2"/>
        <w:spacing w:after="200" w:before="300"/>
      </w:pPr>
      <w:r>
        <w:rPr>
          <w:b/>
          <w:bCs/>
          <w:color w:val="1A1A2E"/>
          <w:sz w:val="24"/>
          <w:szCs w:val="24"/>
        </w:rPr>
        <w:t xml:space="preserve">7.2 New Joiner vs Old User Rule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Tenure</w:t>
            </w:r>
          </w:p>
        </w:tc>
        <w:tc>
          <w:tcPr>
            <w:tcW w:type="pct" w:w="50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AKI Payout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≤ 3 months (New Joiner)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Full AKI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&gt; 3 months (Old User)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Half AKI (AKI / 2)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A1A2E"/>
          <w:sz w:val="28"/>
          <w:szCs w:val="28"/>
        </w:rPr>
        <w:t xml:space="preserve">8. Complete Incentive Formula</w:t>
      </w:r>
    </w:p>
    <w:p>
      <w:pPr>
        <w:spacing w:after="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monthlyAchievement = SUM(daily_achievements.amount for the month)</w:t>
      </w:r>
    </w:p>
    <w:p>
      <w:pPr>
        <w:spacing w:after="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isNewJoiner = monthsEmployed &lt;= 3</w:t>
      </w:r>
    </w:p>
    <w:p>
      <w:pPr>
        <w:spacing w:after="40"/>
      </w:pPr>
      <w:r>
        <w:rPr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if monthlyAchievement &gt;= monthlyTarget:</w:t>
      </w:r>
    </w:p>
    <w:p>
      <w:pPr>
        <w:spacing w:after="4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overage = monthlyAchievement - monthlyTarget</w:t>
      </w:r>
    </w:p>
    <w:p>
      <w:pPr>
        <w:spacing w:after="4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monthlyIncentive = overage × 10%</w:t>
      </w:r>
    </w:p>
    <w:p>
      <w:pPr>
        <w:spacing w:after="4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akiPayout = isNewJoiner ? totalAKI : totalAKI / 2</w:t>
      </w:r>
    </w:p>
    <w:p>
      <w:pPr>
        <w:spacing w:after="4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totalIncentive = akiPayout + monthlyIncentive</w:t>
      </w:r>
    </w:p>
    <w:p>
      <w:pPr>
        <w:spacing w:after="4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else:</w:t>
      </w:r>
    </w:p>
    <w:p>
      <w:pPr>
        <w:spacing w:after="12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akiPayout = 0, monthlyIncentive = 0, totalIncentive = 0</w:t>
      </w:r>
    </w:p>
    <w:p>
      <w:pPr>
        <w:pStyle w:val="Heading1"/>
        <w:spacing w:after="200" w:before="400"/>
      </w:pPr>
      <w:r>
        <w:rPr>
          <w:b/>
          <w:bCs/>
          <w:color w:val="1A1A2E"/>
          <w:sz w:val="28"/>
          <w:szCs w:val="28"/>
        </w:rPr>
        <w:t xml:space="preserve">9. Examples</w:t>
      </w:r>
    </w:p>
    <w:p>
      <w:pPr>
        <w:pStyle w:val="Heading2"/>
        <w:spacing w:after="200" w:before="300"/>
      </w:pPr>
      <w:r>
        <w:rPr>
          <w:b/>
          <w:bCs/>
          <w:color w:val="1A1A2E"/>
          <w:sz w:val="24"/>
          <w:szCs w:val="24"/>
        </w:rPr>
        <w:t xml:space="preserve">Example 1: Priya — Dual-NGO Split</w:t>
      </w:r>
    </w:p>
    <w:p>
      <w:pPr>
        <w:spacing w:after="120"/>
      </w:pPr>
      <w:r>
        <w:rPr>
          <w:color w:val="1A1A2E"/>
          <w:sz w:val="20"/>
          <w:szCs w:val="20"/>
        </w:rPr>
        <w:t xml:space="preserve">Priya has a total salary of ₹30,000. She is split across two NGOs:</w:t>
      </w:r>
    </w:p>
    <w:p>
      <w:pPr>
        <w:spacing w:after="120"/>
      </w:pPr>
      <w:r>
        <w:rPr>
          <w:color w:val="1A1A2E"/>
          <w:sz w:val="20"/>
          <w:szCs w:val="20"/>
        </w:rPr>
        <w:t xml:space="preserve">NGO A (Helping Hands): ₹15,000 | NGO B (Care &amp; Share): ₹15,000</w:t>
      </w:r>
    </w:p>
    <w:p>
      <w:pPr>
        <w:spacing w:after="120"/>
      </w:pPr>
      <w:r>
        <w:rPr>
          <w:color w:val="1A1A2E"/>
          <w:sz w:val="20"/>
          <w:szCs w:val="20"/>
        </w:rPr>
        <w:t xml:space="preserve">Attendance is shared — both allocations use the same attendance data.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pct" w:w="25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NGO A (₹15k)</w:t>
            </w:r>
          </w:p>
        </w:tc>
        <w:tc>
          <w:tcPr>
            <w:tcW w:type="pct" w:w="25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NGO B (₹15k)</w:t>
            </w:r>
          </w:p>
        </w:tc>
        <w:tc>
          <w:tcPr>
            <w:tcW w:type="pct" w:w="25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Merged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Days in month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30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30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Paid days (after deductions)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27.5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27.5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27.5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Per-day rate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₹500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₹500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₹1,000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Total Due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₹13,750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₹13,750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₹27,500</w:t>
            </w:r>
          </w:p>
        </w:tc>
      </w:tr>
    </w:tbl>
    <w:p>
      <w:pPr>
        <w:spacing w:after="80"/>
      </w:pPr>
    </w:p>
    <w:p>
      <w:pPr>
        <w:pStyle w:val="Heading2"/>
        <w:spacing w:after="200" w:before="300"/>
      </w:pPr>
      <w:r>
        <w:rPr>
          <w:b/>
          <w:bCs/>
          <w:color w:val="1A1A2E"/>
          <w:sz w:val="24"/>
          <w:szCs w:val="24"/>
        </w:rPr>
        <w:t xml:space="preserve">Example 2: Rajesh — New Joiner, Target Met</w:t>
      </w:r>
    </w:p>
    <w:p>
      <w:pPr>
        <w:spacing w:after="120"/>
      </w:pPr>
      <w:r>
        <w:rPr>
          <w:color w:val="1A1A2E"/>
          <w:sz w:val="20"/>
          <w:szCs w:val="20"/>
        </w:rPr>
        <w:t xml:space="preserve">Rajesh joins June 1, salary ₹20,000. Target = ₹20,000 (salary × 1). Since ₹20,000 &gt; ₹15,000, he is split: NGO A ₹15,000 + NGO B ₹5,000.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pct" w:w="50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Monthly Achievement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₹54,200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Monthly Target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₹20,000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Target Met?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✓ Yes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Total AKI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₹2,800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AKI Payout (new joiner → full)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₹2,800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Overage (₹54,200 - ₹20,000)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₹34,200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Monthly Incentive (10% of overage)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₹3,420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TOTAL INCENTIVE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₹6,220</w:t>
            </w:r>
          </w:p>
        </w:tc>
      </w:tr>
    </w:tbl>
    <w:p>
      <w:pPr>
        <w:pStyle w:val="Heading2"/>
        <w:spacing w:after="200" w:before="300"/>
      </w:pPr>
      <w:r>
        <w:rPr>
          <w:b/>
          <w:bCs/>
          <w:color w:val="1A1A2E"/>
          <w:sz w:val="24"/>
          <w:szCs w:val="24"/>
        </w:rPr>
        <w:t xml:space="preserve">Example 3: Priya — Old User, Target Met</w:t>
      </w:r>
    </w:p>
    <w:p>
      <w:pPr>
        <w:spacing w:after="120"/>
      </w:pPr>
      <w:r>
        <w:rPr>
          <w:color w:val="1A1A2E"/>
          <w:sz w:val="20"/>
          <w:szCs w:val="20"/>
        </w:rPr>
        <w:t xml:space="preserve">Priya is in month 6, salary ₹25,000. Target = ₹75,000. Old user (&gt; 3 months).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pct" w:w="50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Monthly Achievement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₹82,000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Monthly Target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₹75,000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Target Met?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✓ Yes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Total AKI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₹3,500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AKI Payout (old user → half)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₹1,750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Monthly Incentive (10%)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₹700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TOTAL INCENTIVE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₹2,450</w:t>
            </w:r>
          </w:p>
        </w:tc>
      </w:tr>
    </w:tbl>
    <w:p>
      <w:pPr>
        <w:pStyle w:val="Heading2"/>
        <w:spacing w:after="200" w:before="300"/>
      </w:pPr>
      <w:r>
        <w:rPr>
          <w:b/>
          <w:bCs/>
          <w:color w:val="1A1A2E"/>
          <w:sz w:val="24"/>
          <w:szCs w:val="24"/>
        </w:rPr>
        <w:t xml:space="preserve">Example 4: Priya — Target NOT Met</w:t>
      </w:r>
    </w:p>
    <w:p>
      <w:pPr>
        <w:spacing w:after="120"/>
      </w:pPr>
      <w:r>
        <w:rPr>
          <w:color w:val="1A1A2E"/>
          <w:sz w:val="20"/>
          <w:szCs w:val="20"/>
        </w:rPr>
        <w:t xml:space="preserve">Same Priya, but lower achievement: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pct" w:w="50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Monthly Achievement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₹60,000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Monthly Target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₹75,000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Target Met?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✗ No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AKI Payout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₹0 (forfeited)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Monthly Incentive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TOTAL INCENTIVE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₹0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A1A2E"/>
          <w:sz w:val="28"/>
          <w:szCs w:val="28"/>
        </w:rPr>
        <w:t xml:space="preserve">10. Database Tables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pct" w:w="50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workers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Worker info: name, department, salary, shift, created_at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worker_ngo_allocations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NGO salary split: worker_id, ngo_id, salary_portion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attendance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Daily punch in/out, late_minutes, status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salary_history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Monthly salary records: amount, from_month, to_month, paid_at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incentive_targets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FRO monthly targets: worker_id, month, target_amount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daily_achievements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FRO daily collections: worker_id, date, amount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A1A2E"/>
          <w:sz w:val="28"/>
          <w:szCs w:val="28"/>
        </w:rPr>
        <w:t xml:space="preserve">11. API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33.333333333333336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pct" w:w="33.333333333333336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/api/workers/:id/allocations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Get worker NGO allocations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/api/workers/:id/allocations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PUT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Set worker NGO allocations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/api/salary/worker/:workerId/allocations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Get worker salary + NGO allocations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/api/salary/my-breakdown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Worker salary breakdown + allocations + incentives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/api/salary/workers-summary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All workers salary summary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/api/incentive/worker/:id/targets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Target history for a worker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/api/incentive/worker/:id/month/:month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PUT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Set/update target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/api/incentive/generate-all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Auto-generate targets for FRO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/api/incentive/worker/:id/incentive-summary/:month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Full incentive breakdown</w:t>
            </w:r>
          </w:p>
        </w:tc>
      </w:tr>
    </w:tbl>
    <w:p>
      <w:pPr>
        <w:spacing w:before="400"/>
      </w:pPr>
      <w:r>
        <w:t xml:space="preserve"/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Document generated on 17 June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2026-06-17T05:36:06.071Z</dcterms:created>
  <dcterms:modified xsi:type="dcterms:W3CDTF">2026-06-17T05:36:06.071Z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