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eastAsia="Times New Roman"/>
          <w:color w:val="000000"/>
          <w:sz w:val="24"/>
        </w:rPr>
        <w:t>República Bolivariana de Venezuela</w:t>
      </w:r>
    </w:p>
    <w:p>
      <w:pPr>
        <w:spacing w:before="0" w:after="0" w:line="480" w:lineRule="auto"/>
        <w:jc w:val="center"/>
      </w:pPr>
      <w:r>
        <w:rPr>
          <w:rFonts w:ascii="Times New Roman" w:hAnsi="Times New Roman" w:eastAsia="Times New Roman"/>
          <w:color w:val="000000"/>
          <w:sz w:val="24"/>
        </w:rPr>
        <w:t>Ministerio del Poder Popular para la Educación Universitaria</w:t>
      </w:r>
    </w:p>
    <w:p>
      <w:pPr>
        <w:spacing w:before="0" w:after="0" w:line="480" w:lineRule="auto"/>
        <w:jc w:val="center"/>
      </w:pPr>
      <w:r>
        <w:rPr>
          <w:rFonts w:ascii="Times New Roman" w:hAnsi="Times New Roman" w:eastAsia="Times New Roman"/>
          <w:color w:val="000000"/>
          <w:sz w:val="24"/>
        </w:rPr>
        <w:t>Universidad Central de Venezuela</w:t>
      </w:r>
    </w:p>
    <w:p>
      <w:pPr>
        <w:spacing w:before="0" w:after="0" w:line="480" w:lineRule="auto"/>
        <w:jc w:val="center"/>
      </w:pPr>
      <w:r>
        <w:rPr>
          <w:rFonts w:ascii="Times New Roman" w:hAnsi="Times New Roman" w:eastAsia="Times New Roman"/>
          <w:color w:val="000000"/>
          <w:sz w:val="24"/>
        </w:rPr>
        <w:t>Facultad de Ciencias</w:t>
      </w:r>
    </w:p>
    <w:p>
      <w:pPr>
        <w:spacing w:before="0" w:after="0" w:line="480" w:lineRule="auto"/>
        <w:jc w:val="center"/>
      </w:pPr>
      <w:r>
        <w:rPr>
          <w:rFonts w:ascii="Times New Roman" w:hAnsi="Times New Roman" w:eastAsia="Times New Roman"/>
          <w:color w:val="000000"/>
          <w:sz w:val="24"/>
        </w:rPr>
        <w:t>Escuela de Computación</w:t>
      </w:r>
    </w:p>
    <w:p>
      <w:pPr>
        <w:spacing w:before="0" w:after="0" w:line="480" w:lineRule="auto"/>
        <w:jc w:val="center"/>
      </w:pPr>
      <w:r>
        <w:rPr>
          <w:rFonts w:ascii="Times New Roman" w:hAnsi="Times New Roman" w:eastAsia="Times New Roman"/>
          <w:color w:val="000000"/>
          <w:sz w:val="24"/>
        </w:rPr>
        <w:t>Diseño y Prototipado de Recursos Educativos Digitales (DPRED)</w:t>
      </w:r>
    </w:p>
    <w:p>
      <w:pPr>
        <w:spacing w:before="0" w:after="0" w:line="480" w:lineRule="auto"/>
        <w:jc w:val="left"/>
      </w:pPr>
    </w:p>
    <w:p>
      <w:pPr>
        <w:spacing w:before="0" w:after="0" w:line="480" w:lineRule="auto"/>
        <w:jc w:val="left"/>
      </w:pPr>
    </w:p>
    <w:p>
      <w:pPr>
        <w:spacing w:before="0" w:after="0" w:line="480" w:lineRule="auto"/>
        <w:jc w:val="center"/>
      </w:pPr>
      <w:r>
        <w:rPr>
          <w:rFonts w:ascii="Times New Roman" w:hAnsi="Times New Roman" w:eastAsia="Times New Roman"/>
          <w:b/>
          <w:color w:val="000000"/>
          <w:sz w:val="24"/>
        </w:rPr>
        <w:t>Aprende Git Interactivo: Plataforma de Simulación Visual y Tutoría Inteligente para la Enseñanza y Comprensión del Control de Versiones</w:t>
      </w:r>
    </w:p>
    <w:p>
      <w:pPr>
        <w:spacing w:before="0" w:after="0" w:line="480" w:lineRule="auto"/>
        <w:jc w:val="left"/>
      </w:pPr>
    </w:p>
    <w:p>
      <w:pPr>
        <w:spacing w:before="0" w:after="0" w:line="480" w:lineRule="auto"/>
        <w:jc w:val="center"/>
      </w:pPr>
      <w:r>
        <w:rPr>
          <w:rFonts w:ascii="Times New Roman" w:hAnsi="Times New Roman" w:eastAsia="Times New Roman"/>
          <w:color w:val="000000"/>
          <w:sz w:val="24"/>
        </w:rPr>
        <w:t>Jonathan Torres, Ricardo Riera y Javier Darder (Grupo 4)</w:t>
      </w:r>
    </w:p>
    <w:p>
      <w:pPr>
        <w:spacing w:before="0" w:after="0" w:line="480" w:lineRule="auto"/>
        <w:jc w:val="center"/>
      </w:pPr>
      <w:r>
        <w:rPr>
          <w:rFonts w:ascii="Times New Roman" w:hAnsi="Times New Roman" w:eastAsia="Times New Roman"/>
          <w:color w:val="000000"/>
          <w:sz w:val="24"/>
        </w:rPr>
        <w:t>Informe del Proyecto, Fases I y II</w:t>
      </w:r>
    </w:p>
    <w:p>
      <w:pPr>
        <w:spacing w:before="0" w:after="0" w:line="480" w:lineRule="auto"/>
        <w:jc w:val="center"/>
      </w:pPr>
      <w:r>
        <w:rPr>
          <w:rFonts w:ascii="Times New Roman" w:hAnsi="Times New Roman" w:eastAsia="Times New Roman"/>
          <w:color w:val="000000"/>
          <w:sz w:val="24"/>
        </w:rPr>
        <w:t>Prof. Felix Urbano (QEPD) y Profa. Yusneyi Carballo Barrera</w:t>
      </w:r>
    </w:p>
    <w:p>
      <w:pPr>
        <w:spacing w:before="0" w:after="0" w:line="480" w:lineRule="auto"/>
        <w:jc w:val="center"/>
      </w:pPr>
      <w:r>
        <w:rPr>
          <w:rFonts w:ascii="Times New Roman" w:hAnsi="Times New Roman" w:eastAsia="Times New Roman"/>
          <w:color w:val="000000"/>
          <w:sz w:val="24"/>
        </w:rPr>
        <w:t>19 de octubre de 2026</w:t>
      </w:r>
    </w:p>
    <w:p>
      <w:pPr>
        <w:spacing w:before="0" w:after="0" w:line="480" w:lineRule="auto"/>
      </w:pPr>
      <w:r>
        <w:rPr>
          <w:rFonts w:ascii="Times New Roman" w:hAnsi="Times New Roman" w:eastAsia="Times New Roman"/>
          <w:color w:val="000000"/>
          <w:sz w:val="24"/>
        </w:rPr>
        <w:br w:type="page"/>
      </w:r>
    </w:p>
    <w:p>
      <w:pPr>
        <w:keepNext/>
        <w:spacing w:before="0" w:after="0" w:line="480" w:lineRule="auto"/>
        <w:jc w:val="center"/>
      </w:pPr>
      <w:r>
        <w:rPr>
          <w:rFonts w:ascii="Times New Roman" w:hAnsi="Times New Roman" w:eastAsia="Times New Roman"/>
          <w:b/>
          <w:i w:val="0"/>
          <w:color w:val="000000"/>
          <w:sz w:val="24"/>
        </w:rPr>
        <w:t>Contenido</w:t>
      </w:r>
    </w:p>
    <w:p>
      <w:pPr>
        <w:spacing w:before="0" w:after="0" w:line="480" w:lineRule="auto"/>
        <w:ind w:firstLine="720"/>
        <w:jc w:val="left"/>
      </w:pPr>
      <w:r>
        <w:rPr>
          <w:rFonts w:ascii="Times New Roman" w:hAnsi="Times New Roman" w:eastAsia="Times New Roman"/>
          <w:b/>
          <w:color w:val="000000"/>
          <w:sz w:val="24"/>
        </w:rPr>
        <w:t>PARTE I — FASE I: ANÁLISIS Y DISEÑO (corregida según la retroalimentación docente)</w:t>
      </w:r>
    </w:p>
    <w:p>
      <w:pPr>
        <w:spacing w:before="0" w:after="0" w:line="480" w:lineRule="auto"/>
        <w:ind w:left="432"/>
        <w:jc w:val="left"/>
      </w:pPr>
      <w:r>
        <w:rPr>
          <w:rFonts w:ascii="Times New Roman" w:hAnsi="Times New Roman" w:eastAsia="Times New Roman"/>
          <w:color w:val="000000"/>
          <w:sz w:val="24"/>
        </w:rPr>
        <w:t>1. Definición del Problema y Delimitación del Alcance</w:t>
      </w:r>
    </w:p>
    <w:p>
      <w:pPr>
        <w:spacing w:before="0" w:after="0" w:line="480" w:lineRule="auto"/>
        <w:ind w:left="432"/>
        <w:jc w:val="left"/>
      </w:pPr>
      <w:r>
        <w:rPr>
          <w:rFonts w:ascii="Times New Roman" w:hAnsi="Times New Roman" w:eastAsia="Times New Roman"/>
          <w:color w:val="000000"/>
          <w:sz w:val="24"/>
        </w:rPr>
        <w:t>2. Metodología para la Elaboración del Recurso Educativo Digital</w:t>
      </w:r>
    </w:p>
    <w:p>
      <w:pPr>
        <w:spacing w:before="0" w:after="0" w:line="480" w:lineRule="auto"/>
        <w:ind w:left="432"/>
        <w:jc w:val="left"/>
      </w:pPr>
      <w:r>
        <w:rPr>
          <w:rFonts w:ascii="Times New Roman" w:hAnsi="Times New Roman" w:eastAsia="Times New Roman"/>
          <w:color w:val="000000"/>
          <w:sz w:val="24"/>
        </w:rPr>
        <w:t>3. Análisis del Entorno (PESTEL)</w:t>
      </w:r>
    </w:p>
    <w:p>
      <w:pPr>
        <w:spacing w:before="0" w:after="0" w:line="480" w:lineRule="auto"/>
        <w:ind w:left="432"/>
        <w:jc w:val="left"/>
      </w:pPr>
      <w:r>
        <w:rPr>
          <w:rFonts w:ascii="Times New Roman" w:hAnsi="Times New Roman" w:eastAsia="Times New Roman"/>
          <w:color w:val="000000"/>
          <w:sz w:val="24"/>
        </w:rPr>
        <w:t>4. Análisis Estratégico Interno y Externo (FODA)</w:t>
      </w:r>
    </w:p>
    <w:p>
      <w:pPr>
        <w:spacing w:before="0" w:after="0" w:line="480" w:lineRule="auto"/>
        <w:ind w:left="432"/>
        <w:jc w:val="left"/>
      </w:pPr>
      <w:r>
        <w:rPr>
          <w:rFonts w:ascii="Times New Roman" w:hAnsi="Times New Roman" w:eastAsia="Times New Roman"/>
          <w:color w:val="000000"/>
          <w:sz w:val="24"/>
        </w:rPr>
        <w:t>5. Análisis de Usuarios, Usuarias y Clientela (User Personas)</w:t>
      </w:r>
    </w:p>
    <w:p>
      <w:pPr>
        <w:spacing w:before="0" w:after="0" w:line="480" w:lineRule="auto"/>
        <w:ind w:left="432"/>
        <w:jc w:val="left"/>
      </w:pPr>
      <w:r>
        <w:rPr>
          <w:rFonts w:ascii="Times New Roman" w:hAnsi="Times New Roman" w:eastAsia="Times New Roman"/>
          <w:color w:val="000000"/>
          <w:sz w:val="24"/>
        </w:rPr>
        <w:t>6. Análisis de la Competencia (Benchmarking)</w:t>
      </w:r>
    </w:p>
    <w:p>
      <w:pPr>
        <w:spacing w:before="0" w:after="0" w:line="480" w:lineRule="auto"/>
        <w:ind w:left="432"/>
        <w:jc w:val="left"/>
      </w:pPr>
      <w:r>
        <w:rPr>
          <w:rFonts w:ascii="Times New Roman" w:hAnsi="Times New Roman" w:eastAsia="Times New Roman"/>
          <w:color w:val="000000"/>
          <w:sz w:val="24"/>
        </w:rPr>
        <w:t>7. Propuesta de Solución, Justificación Pedagógica y Arquitectura</w:t>
      </w:r>
    </w:p>
    <w:p>
      <w:pPr>
        <w:spacing w:before="0" w:after="0" w:line="480" w:lineRule="auto"/>
        <w:ind w:left="432"/>
        <w:jc w:val="left"/>
      </w:pPr>
      <w:r>
        <w:rPr>
          <w:rFonts w:ascii="Times New Roman" w:hAnsi="Times New Roman" w:eastAsia="Times New Roman"/>
          <w:color w:val="000000"/>
          <w:sz w:val="24"/>
        </w:rPr>
        <w:t>8. Encaje de Valor (Value Proposition Canvas)</w:t>
      </w:r>
    </w:p>
    <w:p>
      <w:pPr>
        <w:spacing w:before="0" w:after="0" w:line="480" w:lineRule="auto"/>
        <w:ind w:firstLine="720"/>
        <w:jc w:val="left"/>
      </w:pPr>
      <w:r>
        <w:rPr>
          <w:rFonts w:ascii="Times New Roman" w:hAnsi="Times New Roman" w:eastAsia="Times New Roman"/>
          <w:b/>
          <w:color w:val="000000"/>
          <w:sz w:val="24"/>
        </w:rPr>
        <w:t>PARTE II — FASE II: DISEÑO INSTRUCCIONAL, DISEÑO INFORMÁTICO Y DESARROLLO</w:t>
      </w:r>
    </w:p>
    <w:p>
      <w:pPr>
        <w:spacing w:before="0" w:after="0" w:line="480" w:lineRule="auto"/>
        <w:ind w:left="432"/>
        <w:jc w:val="left"/>
      </w:pPr>
      <w:r>
        <w:rPr>
          <w:rFonts w:ascii="Times New Roman" w:hAnsi="Times New Roman" w:eastAsia="Times New Roman"/>
          <w:color w:val="000000"/>
          <w:sz w:val="24"/>
        </w:rPr>
        <w:t>9. Diseño Instruccional</w:t>
      </w:r>
    </w:p>
    <w:p>
      <w:pPr>
        <w:spacing w:before="0" w:after="0" w:line="480" w:lineRule="auto"/>
        <w:ind w:left="432"/>
        <w:jc w:val="left"/>
      </w:pPr>
      <w:r>
        <w:rPr>
          <w:rFonts w:ascii="Times New Roman" w:hAnsi="Times New Roman" w:eastAsia="Times New Roman"/>
          <w:color w:val="000000"/>
          <w:sz w:val="24"/>
        </w:rPr>
        <w:t>10. Diseño Informático</w:t>
      </w:r>
    </w:p>
    <w:p>
      <w:pPr>
        <w:spacing w:before="0" w:after="0" w:line="480" w:lineRule="auto"/>
        <w:ind w:left="432"/>
        <w:jc w:val="left"/>
      </w:pPr>
      <w:r>
        <w:rPr>
          <w:rFonts w:ascii="Times New Roman" w:hAnsi="Times New Roman" w:eastAsia="Times New Roman"/>
          <w:color w:val="000000"/>
          <w:sz w:val="24"/>
        </w:rPr>
        <w:t>11. Validación y Correspondencia con el Prototipo Funcional</w:t>
      </w:r>
    </w:p>
    <w:p>
      <w:pPr>
        <w:spacing w:before="0" w:after="0" w:line="480" w:lineRule="auto"/>
        <w:ind w:left="432"/>
        <w:jc w:val="left"/>
      </w:pPr>
      <w:r>
        <w:rPr>
          <w:rFonts w:ascii="Times New Roman" w:hAnsi="Times New Roman" w:eastAsia="Times New Roman"/>
          <w:color w:val="000000"/>
          <w:sz w:val="24"/>
        </w:rPr>
        <w:t>12. Declaración de Uso de Inteligencia Artificial Generativa (IAG)</w:t>
      </w:r>
    </w:p>
    <w:p>
      <w:pPr>
        <w:spacing w:before="0" w:after="0" w:line="480" w:lineRule="auto"/>
        <w:ind w:left="432"/>
        <w:jc w:val="left"/>
      </w:pPr>
      <w:r>
        <w:rPr>
          <w:rFonts w:ascii="Times New Roman" w:hAnsi="Times New Roman" w:eastAsia="Times New Roman"/>
          <w:color w:val="000000"/>
          <w:sz w:val="24"/>
        </w:rPr>
        <w:t>Referencias</w:t>
      </w:r>
    </w:p>
    <w:p>
      <w:pPr>
        <w:spacing w:before="0" w:after="0" w:line="480" w:lineRule="auto"/>
      </w:pPr>
      <w:r>
        <w:rPr>
          <w:rFonts w:ascii="Times New Roman" w:hAnsi="Times New Roman" w:eastAsia="Times New Roman"/>
          <w:color w:val="000000"/>
          <w:sz w:val="24"/>
        </w:rPr>
        <w:br w:type="page"/>
      </w:r>
    </w:p>
    <w:p>
      <w:pPr>
        <w:spacing w:before="0" w:after="0" w:line="480" w:lineRule="auto"/>
        <w:jc w:val="center"/>
      </w:pPr>
      <w:r>
        <w:rPr>
          <w:rFonts w:ascii="Times New Roman" w:hAnsi="Times New Roman" w:eastAsia="Times New Roman"/>
          <w:b/>
          <w:color w:val="000000"/>
          <w:sz w:val="24"/>
        </w:rPr>
        <w:t>PARTE I — FASE I: ANÁLISIS Y DISEÑO</w:t>
      </w:r>
    </w:p>
    <w:p>
      <w:pPr>
        <w:keepNext/>
        <w:spacing w:before="0" w:after="0" w:line="480" w:lineRule="auto"/>
        <w:jc w:val="center"/>
      </w:pPr>
      <w:r>
        <w:rPr>
          <w:rFonts w:ascii="Times New Roman" w:hAnsi="Times New Roman" w:eastAsia="Times New Roman"/>
          <w:b/>
          <w:i w:val="0"/>
          <w:color w:val="000000"/>
          <w:sz w:val="24"/>
        </w:rPr>
        <w:t>1. Definición del Problema y Delimitación del Alcance</w:t>
      </w:r>
    </w:p>
    <w:p>
      <w:pPr>
        <w:spacing w:before="0" w:after="0" w:line="480" w:lineRule="auto"/>
        <w:ind w:firstLine="720"/>
        <w:jc w:val="left"/>
      </w:pPr>
      <w:r>
        <w:rPr>
          <w:rFonts w:ascii="Times New Roman" w:hAnsi="Times New Roman" w:eastAsia="Times New Roman"/>
          <w:color w:val="000000"/>
          <w:sz w:val="24"/>
        </w:rPr>
        <w:t>En la formación universitaria de ingenieros y licenciados en computación, el dominio de sistemas de control de versiones distribuido —con Git como estándar de facto de la industria— constituye una competencia profesional transversal básica no negociable (Spinellis, 2012). No obstante, investigaciones pedagógicas en enseñanza de la computación (Haaranen y Lehtinen, 2015; Zagalsky et al., 2015) demuestran de manera consistente que los estudiantes experimentan severas dificultades para asimilar el modelo conceptual de Git, recurriendo frecuentemente a la memorización mecánica de sintaxis desarticulada.</w:t>
      </w:r>
    </w:p>
    <w:p>
      <w:pPr>
        <w:spacing w:before="0" w:after="0" w:line="480" w:lineRule="auto"/>
        <w:ind w:firstLine="720"/>
        <w:jc w:val="left"/>
      </w:pPr>
      <w:r>
        <w:rPr>
          <w:rFonts w:ascii="Times New Roman" w:hAnsi="Times New Roman" w:eastAsia="Times New Roman"/>
          <w:color w:val="000000"/>
          <w:sz w:val="24"/>
        </w:rPr>
        <w:t xml:space="preserve">A partir de observaciones diagnósticas de campo y la experiencia docente acumulada en la Escuela de Computación de la Universidad Central de Venezuela (UCV), se plantea como </w:t>
      </w:r>
      <w:r>
        <w:rPr>
          <w:rFonts w:ascii="Times New Roman" w:hAnsi="Times New Roman" w:eastAsia="Times New Roman"/>
          <w:b/>
          <w:color w:val="000000"/>
          <w:sz w:val="24"/>
        </w:rPr>
        <w:t>hipótesis diagnóstica de partida</w:t>
      </w:r>
      <w:r>
        <w:rPr>
          <w:rFonts w:ascii="Times New Roman" w:hAnsi="Times New Roman" w:eastAsia="Times New Roman"/>
          <w:color w:val="000000"/>
          <w:sz w:val="24"/>
        </w:rPr>
        <w:t xml:space="preserve"> que una proporción sustancial de estudiantes en sus primeras asignaturas de desarrollo grupal (tales como Algoritmos y Programación, Programación Orientada a Objetos e Ingeniería de Software) no logra consolidar el modelo mental de Git. El alumnado suele memorizar comandos sintácticos (</w:t>
      </w:r>
      <w:r>
        <w:rPr>
          <w:rFonts w:ascii="Times New Roman" w:hAnsi="Times New Roman" w:eastAsia="Times New Roman"/>
          <w:i/>
          <w:color w:val="000000"/>
          <w:sz w:val="24"/>
        </w:rPr>
        <w:t>git add, git commit, git push</w:t>
      </w:r>
      <w:r>
        <w:rPr>
          <w:rFonts w:ascii="Times New Roman" w:hAnsi="Times New Roman" w:eastAsia="Times New Roman"/>
          <w:color w:val="000000"/>
          <w:sz w:val="24"/>
        </w:rPr>
        <w:t>) sin comprender la arquitectura de estados internos (Working Directory, Staging Area, Local Repository) ni la estructura subyacente de Grafo Acíclico Dirigido (DAG) que fundamenta el historial de cambios (Chacon y Straub, 2014).</w:t>
      </w:r>
    </w:p>
    <w:p>
      <w:pPr>
        <w:spacing w:before="0" w:after="0" w:line="480" w:lineRule="auto"/>
        <w:ind w:firstLine="720"/>
        <w:jc w:val="left"/>
      </w:pPr>
      <w:r>
        <w:rPr>
          <w:rFonts w:ascii="Times New Roman" w:hAnsi="Times New Roman" w:eastAsia="Times New Roman"/>
          <w:color w:val="000000"/>
          <w:sz w:val="24"/>
        </w:rPr>
        <w:t>Esta brecha formativa desemboca en la denominada «ansiedad ante la terminal» (</w:t>
      </w:r>
      <w:r>
        <w:rPr>
          <w:rFonts w:ascii="Times New Roman" w:hAnsi="Times New Roman" w:eastAsia="Times New Roman"/>
          <w:i/>
          <w:color w:val="000000"/>
          <w:sz w:val="24"/>
        </w:rPr>
        <w:t>CLI anxiety</w:t>
      </w:r>
      <w:r>
        <w:rPr>
          <w:rFonts w:ascii="Times New Roman" w:hAnsi="Times New Roman" w:eastAsia="Times New Roman"/>
          <w:color w:val="000000"/>
          <w:sz w:val="24"/>
        </w:rPr>
        <w:t>), parálisis frente a mensajes de error en inglés y colapso de repositorios compartidos en asignaturas de desarrollo grupal. Frente a este panorama, el problema no reside en la falta de documentación, sino en la ausencia de herramientas didácticas interactivas y contextualizadas en español que hagan visible el modelo mental abstracto de Git.</w:t>
      </w:r>
    </w:p>
    <w:p>
      <w:pPr>
        <w:spacing w:before="0" w:after="0" w:line="480" w:lineRule="auto"/>
        <w:ind w:firstLine="720"/>
        <w:jc w:val="left"/>
      </w:pPr>
      <w:r>
        <w:rPr>
          <w:rFonts w:ascii="Times New Roman" w:hAnsi="Times New Roman" w:eastAsia="Times New Roman"/>
          <w:b/>
          <w:color w:val="000000"/>
          <w:sz w:val="24"/>
        </w:rPr>
        <w:t xml:space="preserve">Delimitación Poblacional e Institucional: </w:t>
      </w:r>
      <w:r>
        <w:rPr>
          <w:rFonts w:ascii="Times New Roman" w:hAnsi="Times New Roman" w:eastAsia="Times New Roman"/>
          <w:color w:val="000000"/>
          <w:sz w:val="24"/>
        </w:rPr>
        <w:t>La población de estudio y beneficiaria directa está conformada por estudiantes de pregrado de la Escuela de Computación (Facultad de Ciencias, UCV) matriculados en materias que demandan integración continua y trabajo colaborativo de código, con una población secundaria compuesta por los docentes de dichas asignaturas, quienes requieren herramientas confiables de andamiaje para mitigar fallas recurrentes en los proyectos grupales.</w:t>
      </w:r>
    </w:p>
    <w:p>
      <w:pPr>
        <w:keepNext/>
        <w:spacing w:before="0" w:after="0" w:line="480" w:lineRule="auto"/>
        <w:jc w:val="left"/>
      </w:pPr>
      <w:r>
        <w:rPr>
          <w:rFonts w:ascii="Times New Roman" w:hAnsi="Times New Roman" w:eastAsia="Times New Roman"/>
          <w:b/>
          <w:i w:val="0"/>
          <w:color w:val="000000"/>
          <w:sz w:val="24"/>
        </w:rPr>
        <w:t>1.1. Delimitación del Alcance y Definición del Producto Mínimo Viable (MVP)</w:t>
      </w:r>
    </w:p>
    <w:p>
      <w:pPr>
        <w:spacing w:before="0" w:after="0" w:line="480" w:lineRule="auto"/>
        <w:ind w:firstLine="720"/>
        <w:jc w:val="left"/>
      </w:pPr>
      <w:r>
        <w:rPr>
          <w:rFonts w:ascii="Times New Roman" w:hAnsi="Times New Roman" w:eastAsia="Times New Roman"/>
          <w:color w:val="000000"/>
          <w:sz w:val="24"/>
        </w:rPr>
        <w:t>Para favorecer la viabilidad pedagógica, técnica y temporal en el marco del período semestral de la cátedra DPRED, el proyecto adopta los principios de formulación de Producto Mínimo Viable en contextos académicos de innovación (Ospina y Carballo Barrera, 2022), estructurando el alcance en un Roadmap de tres fases bien diferenciadas:</w:t>
      </w:r>
    </w:p>
    <w:p>
      <w:pPr>
        <w:pStyle w:val="ListBullet"/>
        <w:spacing w:before="0" w:after="0" w:line="480" w:lineRule="auto"/>
      </w:pPr>
      <w:r>
        <w:rPr>
          <w:rFonts w:ascii="Times New Roman" w:hAnsi="Times New Roman" w:eastAsia="Times New Roman"/>
          <w:b/>
          <w:color w:val="000000"/>
          <w:sz w:val="24"/>
        </w:rPr>
        <w:t xml:space="preserve">Fase 1 — Producto Mínimo Viable (MVP Semestral DPRED): </w:t>
      </w:r>
      <w:r>
        <w:rPr>
          <w:rFonts w:ascii="Times New Roman" w:hAnsi="Times New Roman" w:eastAsia="Times New Roman"/>
          <w:color w:val="000000"/>
          <w:sz w:val="24"/>
        </w:rPr>
        <w:t>Comprende la totalidad del Módulo 1 (El Core: simulación de áreas de trabajo locales y Grafo Vivo interactivo en tiempo real con renderizado de nodos de commit, ramas y puntero HEAD), junto con una experiencia esencial y guiada de resolución de conflictos locales entre dos ramas (subconjunto prioritario del Módulo 3). Incluye terminal simulada en el navegador, asistencia mediante reglas de andamiaje socrático determinista y metas de accesibilidad digital. Durante el desarrollo (Fase II) se incorporaron además seis lecciones animadas y una versión simulada del Módulo 2 (push, Pull Requests y revisión sin conexión real con GitHub), sin servicios externos obligatorios.</w:t>
      </w:r>
    </w:p>
    <w:p>
      <w:pPr>
        <w:pStyle w:val="ListBullet"/>
        <w:spacing w:before="0" w:after="0" w:line="480" w:lineRule="auto"/>
      </w:pPr>
      <w:r>
        <w:rPr>
          <w:rFonts w:ascii="Times New Roman" w:hAnsi="Times New Roman" w:eastAsia="Times New Roman"/>
          <w:b/>
          <w:color w:val="000000"/>
          <w:sz w:val="24"/>
        </w:rPr>
        <w:t xml:space="preserve">Fase 2 — Extensiones Evolutivas de Colaboración (Post-MVP): </w:t>
      </w:r>
      <w:r>
        <w:rPr>
          <w:rFonts w:ascii="Times New Roman" w:hAnsi="Times New Roman" w:eastAsia="Times New Roman"/>
          <w:color w:val="000000"/>
          <w:sz w:val="24"/>
        </w:rPr>
        <w:t>Registro de usuarios con progreso almacenado en un servidor, integración opcional con la API pública de GitHub mediante autenticación OAuth para portafolios y ampliación del Módulo 2 con escenarios de colaboración adicionales.</w:t>
      </w:r>
    </w:p>
    <w:p>
      <w:pPr>
        <w:pStyle w:val="ListBullet"/>
        <w:spacing w:before="0" w:after="0" w:line="480" w:lineRule="auto"/>
      </w:pPr>
      <w:r>
        <w:rPr>
          <w:rFonts w:ascii="Times New Roman" w:hAnsi="Times New Roman" w:eastAsia="Times New Roman"/>
          <w:b/>
          <w:color w:val="000000"/>
          <w:sz w:val="24"/>
        </w:rPr>
        <w:t xml:space="preserve">Fase 3 — Tutoría Cognitiva Avanzada y Operaciones Complejas (Evolución Futura): </w:t>
      </w:r>
      <w:r>
        <w:rPr>
          <w:rFonts w:ascii="Times New Roman" w:hAnsi="Times New Roman" w:eastAsia="Times New Roman"/>
          <w:color w:val="000000"/>
          <w:sz w:val="24"/>
        </w:rPr>
        <w:t>Módulo 3 completo (simulador avanzado de Merge vs. Rebase interactivo, diagnóstico de historiales rotos mediante simulación de reflog) y tutoría dinámica con modelos generativos de lenguaje externos con canal socrático en tiempo real.</w:t>
      </w:r>
    </w:p>
    <w:p>
      <w:pPr>
        <w:pStyle w:val="ListBullet"/>
        <w:spacing w:before="0" w:after="0" w:line="480" w:lineRule="auto"/>
      </w:pPr>
      <w:r>
        <w:rPr>
          <w:rFonts w:ascii="Times New Roman" w:hAnsi="Times New Roman" w:eastAsia="Times New Roman"/>
          <w:b/>
          <w:color w:val="000000"/>
          <w:sz w:val="24"/>
        </w:rPr>
        <w:t xml:space="preserve">Exclusiones Explícitas del Proyecto: </w:t>
      </w:r>
      <w:r>
        <w:rPr>
          <w:rFonts w:ascii="Times New Roman" w:hAnsi="Times New Roman" w:eastAsia="Times New Roman"/>
          <w:color w:val="000000"/>
          <w:sz w:val="24"/>
        </w:rPr>
        <w:t>El RED no contempla emular la especificación completa de Git (como comandos internos de bajo nivel tipo plumbing: cat-file, hash-object, ni hooks de servidor o submódulos complejos), sino consolidar con alta precisión pedagógica los flujos de trabajo profesionales fundamentales (Feature Branching y Trunk-based) requeridos en el ámbito universitario y laboral junior.</w:t>
      </w:r>
    </w:p>
    <w:p>
      <w:pPr>
        <w:keepNext/>
        <w:spacing w:before="0" w:after="0" w:line="480" w:lineRule="auto"/>
        <w:jc w:val="left"/>
      </w:pPr>
      <w:r>
        <w:rPr>
          <w:rFonts w:ascii="Times New Roman" w:hAnsi="Times New Roman" w:eastAsia="Times New Roman"/>
          <w:b/>
          <w:i w:val="0"/>
          <w:color w:val="000000"/>
          <w:sz w:val="24"/>
        </w:rPr>
        <w:t>1.2. Objetivos del Recurso Educativo Digital (RED)</w:t>
      </w:r>
    </w:p>
    <w:p>
      <w:pPr>
        <w:spacing w:before="0" w:after="0" w:line="480" w:lineRule="auto"/>
        <w:ind w:firstLine="720"/>
        <w:jc w:val="left"/>
      </w:pPr>
      <w:r>
        <w:rPr>
          <w:rFonts w:ascii="Times New Roman" w:hAnsi="Times New Roman" w:eastAsia="Times New Roman"/>
          <w:color w:val="000000"/>
          <w:sz w:val="24"/>
        </w:rPr>
        <w:t>Con la finalidad de guiar el proceso de ingeniería y evaluación con metas medibles y verificables, se establecen los siguientes objetivos:</w:t>
      </w:r>
    </w:p>
    <w:p>
      <w:pPr>
        <w:spacing w:before="0" w:after="0" w:line="480" w:lineRule="auto"/>
        <w:ind w:firstLine="720"/>
        <w:jc w:val="left"/>
      </w:pPr>
      <w:r>
        <w:rPr>
          <w:rFonts w:ascii="Times New Roman" w:hAnsi="Times New Roman" w:eastAsia="Times New Roman"/>
          <w:b/>
          <w:color w:val="000000"/>
          <w:sz w:val="24"/>
        </w:rPr>
        <w:t xml:space="preserve">Objetivo General: </w:t>
      </w:r>
      <w:r>
        <w:rPr>
          <w:rFonts w:ascii="Times New Roman" w:hAnsi="Times New Roman" w:eastAsia="Times New Roman"/>
          <w:color w:val="000000"/>
          <w:sz w:val="24"/>
        </w:rPr>
        <w:t>Diseñar y validar un prototipo web interactivo (Recurso Educativo Digital) que facilite la comprensión conceptual y el modelado mental de los flujos fundamentales de control de versiones con Git en estudiantes de la Licenciatura en Computación de la Universidad Central de Venezuela, mediante simulación gráfica visual y retroalimentación formativa inmediata.</w:t>
      </w:r>
    </w:p>
    <w:p>
      <w:pPr>
        <w:spacing w:before="0" w:after="0" w:line="480" w:lineRule="auto"/>
        <w:ind w:firstLine="720"/>
        <w:jc w:val="left"/>
      </w:pPr>
      <w:r>
        <w:rPr>
          <w:rFonts w:ascii="Times New Roman" w:hAnsi="Times New Roman" w:eastAsia="Times New Roman"/>
          <w:b/>
          <w:color w:val="000000"/>
          <w:sz w:val="24"/>
        </w:rPr>
        <w:t>Objetivos Específicos:</w:t>
      </w:r>
    </w:p>
    <w:p>
      <w:pPr>
        <w:pStyle w:val="ListBullet"/>
        <w:spacing w:before="0" w:after="0" w:line="480" w:lineRule="auto"/>
      </w:pPr>
      <w:r>
        <w:rPr>
          <w:rFonts w:ascii="Times New Roman" w:hAnsi="Times New Roman" w:eastAsia="Times New Roman"/>
          <w:b/>
          <w:color w:val="000000"/>
          <w:sz w:val="24"/>
        </w:rPr>
        <w:t xml:space="preserve">1. </w:t>
      </w:r>
      <w:r>
        <w:rPr>
          <w:rFonts w:ascii="Times New Roman" w:hAnsi="Times New Roman" w:eastAsia="Times New Roman"/>
          <w:color w:val="000000"/>
          <w:sz w:val="24"/>
        </w:rPr>
        <w:t>Diagnosticar las principales dificultades cognitivas, barreras sintácticas y concepciones erróneas que presentan los estudiantes de la Escuela de Computación (UCV) al interactuar con el sistema de control de versiones Git.</w:t>
      </w:r>
    </w:p>
    <w:p>
      <w:pPr>
        <w:pStyle w:val="ListBullet"/>
        <w:spacing w:before="0" w:after="0" w:line="480" w:lineRule="auto"/>
      </w:pPr>
      <w:r>
        <w:rPr>
          <w:rFonts w:ascii="Times New Roman" w:hAnsi="Times New Roman" w:eastAsia="Times New Roman"/>
          <w:b/>
          <w:color w:val="000000"/>
          <w:sz w:val="24"/>
        </w:rPr>
        <w:t xml:space="preserve">2. </w:t>
      </w:r>
      <w:r>
        <w:rPr>
          <w:rFonts w:ascii="Times New Roman" w:hAnsi="Times New Roman" w:eastAsia="Times New Roman"/>
          <w:color w:val="000000"/>
          <w:sz w:val="24"/>
        </w:rPr>
        <w:t>Fundamentar pedagógicamente el recurso bajo los principios del constructivismo interactivo, el aprendizaje significativo y el Diseño Universal para el Aprendizaje (DUA), procurando su pertinencia didáctica.</w:t>
      </w:r>
    </w:p>
    <w:p>
      <w:pPr>
        <w:pStyle w:val="ListBullet"/>
        <w:spacing w:before="0" w:after="0" w:line="480" w:lineRule="auto"/>
      </w:pPr>
      <w:r>
        <w:rPr>
          <w:rFonts w:ascii="Times New Roman" w:hAnsi="Times New Roman" w:eastAsia="Times New Roman"/>
          <w:b/>
          <w:color w:val="000000"/>
          <w:sz w:val="24"/>
        </w:rPr>
        <w:t xml:space="preserve">3. </w:t>
      </w:r>
      <w:r>
        <w:rPr>
          <w:rFonts w:ascii="Times New Roman" w:hAnsi="Times New Roman" w:eastAsia="Times New Roman"/>
          <w:color w:val="000000"/>
          <w:sz w:val="24"/>
        </w:rPr>
        <w:t>Diseñar la arquitectura de interacción, la interfaz gráfica de usuario y las directrices de accesibilidad digital orientadas al cumplimiento de las pautas WCAG 2.2 nivel AA.</w:t>
      </w:r>
    </w:p>
    <w:p>
      <w:pPr>
        <w:pStyle w:val="ListBullet"/>
        <w:spacing w:before="0" w:after="0" w:line="480" w:lineRule="auto"/>
      </w:pPr>
      <w:r>
        <w:rPr>
          <w:rFonts w:ascii="Times New Roman" w:hAnsi="Times New Roman" w:eastAsia="Times New Roman"/>
          <w:b/>
          <w:color w:val="000000"/>
          <w:sz w:val="24"/>
        </w:rPr>
        <w:t xml:space="preserve">4. </w:t>
      </w:r>
      <w:r>
        <w:rPr>
          <w:rFonts w:ascii="Times New Roman" w:hAnsi="Times New Roman" w:eastAsia="Times New Roman"/>
          <w:color w:val="000000"/>
          <w:sz w:val="24"/>
        </w:rPr>
        <w:t>Desarrollar un Producto Mínimo Viable (MVP) ejecutable en el navegador que integre la emulación del motor local de Git, el renderizado reactivo del grafo de commits y un simulador didáctico de conflictos locales.</w:t>
      </w:r>
    </w:p>
    <w:p>
      <w:pPr>
        <w:pStyle w:val="ListBullet"/>
        <w:spacing w:before="0" w:after="0" w:line="480" w:lineRule="auto"/>
      </w:pPr>
      <w:r>
        <w:rPr>
          <w:rFonts w:ascii="Times New Roman" w:hAnsi="Times New Roman" w:eastAsia="Times New Roman"/>
          <w:b/>
          <w:color w:val="000000"/>
          <w:sz w:val="24"/>
        </w:rPr>
        <w:t xml:space="preserve">5. </w:t>
      </w:r>
      <w:r>
        <w:rPr>
          <w:rFonts w:ascii="Times New Roman" w:hAnsi="Times New Roman" w:eastAsia="Times New Roman"/>
          <w:color w:val="000000"/>
          <w:sz w:val="24"/>
        </w:rPr>
        <w:t>Evaluar la usabilidad, carga cognitiva percibida y efectividad formativa del prototipo con estudiantes y docentes de asignaturas de desarrollo de software en la UCV.</w:t>
      </w:r>
    </w:p>
    <w:p>
      <w:pPr>
        <w:keepNext/>
        <w:spacing w:before="0" w:after="0" w:line="480" w:lineRule="auto"/>
        <w:jc w:val="center"/>
      </w:pPr>
      <w:r>
        <w:rPr>
          <w:rFonts w:ascii="Times New Roman" w:hAnsi="Times New Roman" w:eastAsia="Times New Roman"/>
          <w:b/>
          <w:i w:val="0"/>
          <w:color w:val="000000"/>
          <w:sz w:val="24"/>
        </w:rPr>
        <w:t>2. Metodología para la Elaboración del Recurso Educativo Digital</w:t>
      </w:r>
    </w:p>
    <w:p>
      <w:pPr>
        <w:spacing w:before="0" w:after="0" w:line="480" w:lineRule="auto"/>
        <w:ind w:firstLine="720"/>
        <w:jc w:val="left"/>
      </w:pPr>
      <w:r>
        <w:rPr>
          <w:rFonts w:ascii="Times New Roman" w:hAnsi="Times New Roman" w:eastAsia="Times New Roman"/>
          <w:color w:val="000000"/>
          <w:sz w:val="24"/>
        </w:rPr>
        <w:t xml:space="preserve">Para responder a las exigencias metodológicas del diseño instruccional y la ingeniería de software educativo (Gros Salvat, 1997; Herrera Batista, 2006), el proyecto adopta un enfoque metodológico híbrido que articula el modelo instruccional </w:t>
      </w:r>
      <w:r>
        <w:rPr>
          <w:rFonts w:ascii="Times New Roman" w:hAnsi="Times New Roman" w:eastAsia="Times New Roman"/>
          <w:b/>
          <w:color w:val="000000"/>
          <w:sz w:val="24"/>
        </w:rPr>
        <w:t>ADDIE</w:t>
      </w:r>
      <w:r>
        <w:rPr>
          <w:rFonts w:ascii="Times New Roman" w:hAnsi="Times New Roman" w:eastAsia="Times New Roman"/>
          <w:color w:val="000000"/>
          <w:sz w:val="24"/>
        </w:rPr>
        <w:t xml:space="preserve"> (Análisis, Diseño, Desarrollo, Implementación y Evaluación) con el marco de </w:t>
      </w:r>
      <w:r>
        <w:rPr>
          <w:rFonts w:ascii="Times New Roman" w:hAnsi="Times New Roman" w:eastAsia="Times New Roman"/>
          <w:b/>
          <w:color w:val="000000"/>
          <w:sz w:val="24"/>
        </w:rPr>
        <w:t>Diseño Centrado en el Usuario (DCU / Design Thinking)</w:t>
      </w:r>
      <w:r>
        <w:rPr>
          <w:rFonts w:ascii="Times New Roman" w:hAnsi="Times New Roman" w:eastAsia="Times New Roman"/>
          <w:color w:val="000000"/>
          <w:sz w:val="24"/>
        </w:rPr>
        <w:t xml:space="preserve"> (Brown, 2008; Costa Montenegro et al., 2016). Este modelo asegura rigor pedagógico, empatía con las necesidades reales del estudiante y entregables estructurados a lo largo de las fases de la asignatura.</w:t>
      </w:r>
    </w:p>
    <w:p>
      <w:pPr>
        <w:keepNext/>
        <w:spacing w:before="0" w:after="0" w:line="480" w:lineRule="auto"/>
        <w:jc w:val="left"/>
      </w:pPr>
      <w:r>
        <w:rPr>
          <w:rFonts w:ascii="Times New Roman" w:hAnsi="Times New Roman" w:eastAsia="Times New Roman"/>
          <w:b/>
          <w:color w:val="000000"/>
          <w:sz w:val="24"/>
        </w:rPr>
        <w:t>Tabla 1</w:t>
      </w:r>
    </w:p>
    <w:p>
      <w:pPr>
        <w:keepNext/>
        <w:spacing w:before="0" w:after="0" w:line="480" w:lineRule="auto"/>
      </w:pPr>
      <w:r>
        <w:rPr>
          <w:rFonts w:ascii="Times New Roman" w:hAnsi="Times New Roman" w:eastAsia="Times New Roman"/>
          <w:i/>
          <w:color w:val="000000"/>
          <w:sz w:val="24"/>
        </w:rPr>
        <w:t>Metodología de elaboración del RED articulando ADDIE y DCU.</w:t>
      </w:r>
    </w:p>
    <w:tbl>
      <w:tblPr>
        <w:jc w:val="center"/>
        <w:tblLook w:firstColumn="1" w:firstRow="1" w:lastColumn="0" w:lastRow="0" w:noHBand="0" w:noVBand="1" w:val="04A0"/>
        <w:tblW w:w="9360" w:type="dxa"/>
        <w:tblLayout w:type="fixed"/>
      </w:tblPr>
      <w:tblGrid>
        <w:gridCol w:w="1950"/>
        <w:gridCol w:w="2990"/>
        <w:gridCol w:w="2340"/>
        <w:gridCol w:w="2080"/>
      </w:tblGrid>
      <w:tr>
        <w:trPr>
          <w:cantSplit/>
          <w:tblHeader/>
        </w:trPr>
        <w:tc>
          <w:tcPr>
            <w:tcW w:type="dxa" w:w="195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Etapa ADDIE / DCU</w:t>
            </w:r>
          </w:p>
        </w:tc>
        <w:tc>
          <w:tcPr>
            <w:tcW w:type="dxa" w:w="299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Objetivo y Actividades Clave</w:t>
            </w:r>
          </w:p>
        </w:tc>
        <w:tc>
          <w:tcPr>
            <w:tcW w:type="dxa" w:w="234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Entregables del Proyecto</w:t>
            </w:r>
          </w:p>
        </w:tc>
        <w:tc>
          <w:tcPr>
            <w:tcW w:type="dxa" w:w="208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Evidencias y Validación</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 Análisis</w:t>
              <w:br/>
              <w:t>(Empatizar y Definir)</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Investigación de necesidades formativas; benchmarking de alternativas existentes; análisis PESTEL y FODA; modelado de User Persona y Journey Map.</w:t>
            </w:r>
          </w:p>
        </w:tc>
        <w:tc>
          <w:tcPr>
            <w:tcW w:type="dxa" w:w="23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Informe de Análisis Preliminar (Entrega #1); Arquetipos de usuario; Matriz de encaje de valor.</w:t>
            </w:r>
          </w:p>
        </w:tc>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Observaciones de aula UCV; encuestas diagnósticas preliminares; matriz de benchmarking comparativo.</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2. Diseño</w:t>
              <w:br/>
              <w:t>(Idear y Conceptualizar)</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Definición de objetivos de aprendizaje; diseño instruccional de niveles y andamiaje; arquitectura de información; wireframes y mockups con criterios DUA/WCAG.</w:t>
            </w:r>
          </w:p>
        </w:tc>
        <w:tc>
          <w:tcPr>
            <w:tcW w:type="dxa" w:w="23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Informe de Diseño Detallado (Entrega #2); Mockup navegable en herramienta de prototipado; Guía de estilo accesible.</w:t>
            </w:r>
          </w:p>
        </w:tc>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Especificación de interacción; árbol de navegación; rúbricas de contraste y accesibilidad.</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3. Desarrollo</w:t>
              <w:br/>
              <w:t>(Prototipar)</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Construcción del Producto Mínimo Viable (MVP): motor de estados de Git en JavaScript, renderizador de grafo dinámico en Canvas/SVG y reglas heurísticas de tutoría Nova.</w:t>
            </w:r>
          </w:p>
        </w:tc>
        <w:tc>
          <w:tcPr>
            <w:tcW w:type="dxa" w:w="23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Código fuente del prototipo funcional; despliegue web del MVP en entorno de pruebas (Netlify).</w:t>
            </w:r>
          </w:p>
        </w:tc>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Repositorio Git con control de versiones; bitácora de commits; pruebas unitarias del simulador de comandos.</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4. Implementación</w:t>
              <w:br/>
              <w:t>(Prueba Piloto)</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Despliegue controlado del prototipo para pruebas con la muestra seleccionada de estudiantes y docentes de la Escuela de Computación.</w:t>
            </w:r>
          </w:p>
        </w:tc>
        <w:tc>
          <w:tcPr>
            <w:tcW w:type="dxa" w:w="23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Guía de usuario y manual pedagógico para el docente; entorno de pruebas en línea operativo.</w:t>
            </w:r>
          </w:p>
        </w:tc>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Registros de interacción y sesiones piloto de uso en laboratorios de la universidad.</w:t>
            </w:r>
          </w:p>
        </w:tc>
      </w:tr>
      <w:tr>
        <w:trPr>
          <w:cantSplit/>
        </w:trPr>
        <w:tc>
          <w:tcPr>
            <w:tcW w:type="dxa" w:w="195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5. Evaluación</w:t>
              <w:br/>
              <w:t>(Testear y Ajustar)</w:t>
            </w:r>
          </w:p>
        </w:tc>
        <w:tc>
          <w:tcPr>
            <w:tcW w:type="dxa" w:w="299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Evaluación de usabilidad (SUS - System Usability Scale); medición de carga cognitiva; evaluación de accesibilidad técnica (Lighthouse/WAVE) y feedback docente.</w:t>
            </w:r>
          </w:p>
        </w:tc>
        <w:tc>
          <w:tcPr>
            <w:tcW w:type="dxa" w:w="234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Informe Final de Evaluación y Validación (Entrega #3); plan de mejoras y roadmap post-semestre.</w:t>
            </w:r>
          </w:p>
        </w:tc>
        <w:tc>
          <w:tcPr>
            <w:tcW w:type="dxa" w:w="208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Resultados estadísticos de usabilidad; matriz de hallazgos y correcciones aplicadas.</w:t>
            </w:r>
          </w:p>
        </w:tc>
      </w:tr>
    </w:tbl>
    <w:p>
      <w:pPr>
        <w:keepNext/>
        <w:spacing w:before="0" w:after="0" w:line="480" w:lineRule="auto"/>
        <w:jc w:val="center"/>
      </w:pPr>
      <w:r>
        <w:rPr>
          <w:rFonts w:ascii="Times New Roman" w:hAnsi="Times New Roman" w:eastAsia="Times New Roman"/>
          <w:b/>
          <w:i w:val="0"/>
          <w:color w:val="000000"/>
          <w:sz w:val="24"/>
        </w:rPr>
        <w:t>3. Análisis del Entorno (PESTEL)</w:t>
      </w:r>
    </w:p>
    <w:p>
      <w:pPr>
        <w:spacing w:before="0" w:after="0" w:line="480" w:lineRule="auto"/>
        <w:ind w:firstLine="720"/>
        <w:jc w:val="left"/>
      </w:pPr>
      <w:r>
        <w:rPr>
          <w:rFonts w:ascii="Times New Roman" w:hAnsi="Times New Roman" w:eastAsia="Times New Roman"/>
          <w:color w:val="000000"/>
          <w:sz w:val="24"/>
        </w:rPr>
        <w:t>Para asegurar la viabilidad contextual y sostenibilidad de la plataforma, se realiza un análisis de las seis dimensiones macroambientales, sustentando las condiciones políticas y normativas en marcos jurídicos verificables y matizando supuestos tecnológicos y ambientales:</w:t>
      </w:r>
    </w:p>
    <w:p>
      <w:pPr>
        <w:pStyle w:val="ListBullet"/>
        <w:spacing w:before="0" w:after="0" w:line="480" w:lineRule="auto"/>
      </w:pPr>
      <w:r>
        <w:rPr>
          <w:rFonts w:ascii="Times New Roman" w:hAnsi="Times New Roman" w:eastAsia="Times New Roman"/>
          <w:b/>
          <w:color w:val="000000"/>
          <w:sz w:val="24"/>
        </w:rPr>
        <w:t xml:space="preserve">Dimensión Política (P): </w:t>
      </w:r>
      <w:r>
        <w:rPr>
          <w:rFonts w:ascii="Times New Roman" w:hAnsi="Times New Roman" w:eastAsia="Times New Roman"/>
          <w:color w:val="000000"/>
          <w:sz w:val="24"/>
        </w:rPr>
        <w:t>Promoción institucional y regional de competencias digitales y educación STEM. En el ámbito venezolano, la Ley Orgánica de Ciencia, Tecnología e Innovación (LOCTI) y la Ley de Infogobierno (República Bolivariana de Venezuela, 2013) establecen la primacía del software libre y los estándares abiertos en las instituciones públicas y de educación superior. A nivel internacional, se alinea con la Recomendación sobre los Recursos Educativos Abiertos (REA) de la UNESCO (2019). Riesgo político bajo de restricciones sobre servicios de distribución de código abierto.</w:t>
      </w:r>
    </w:p>
    <w:p>
      <w:pPr>
        <w:pStyle w:val="ListBullet"/>
        <w:spacing w:before="0" w:after="0" w:line="480" w:lineRule="auto"/>
      </w:pPr>
      <w:r>
        <w:rPr>
          <w:rFonts w:ascii="Times New Roman" w:hAnsi="Times New Roman" w:eastAsia="Times New Roman"/>
          <w:b/>
          <w:color w:val="000000"/>
          <w:sz w:val="24"/>
        </w:rPr>
        <w:t xml:space="preserve">Dimensión Económica (E): </w:t>
      </w:r>
      <w:r>
        <w:rPr>
          <w:rFonts w:ascii="Times New Roman" w:hAnsi="Times New Roman" w:eastAsia="Times New Roman"/>
          <w:color w:val="000000"/>
          <w:sz w:val="24"/>
        </w:rPr>
        <w:t>Restricciones presupuestarias severas en la educación universitaria pública venezolana y altos costos de licencias de software comercial. Frente a esto, el modelo arquitectónico se diseña para minimizar costos de infraestructura: al ejecutar el motor de simulación de Git directamente en el navegador del cliente mediante JavaScript/WebAssembly, se reducen drásticamente los requerimientos de computación centralizada en backend. El alojamiento estático se sostiene bajo capas gratuitas institucionales (GitHub Pages, Vercel Hobby tier), manteniendo los costos operativos recurrentes en niveles marginales cercanos a cero para la universidad (IBM, s.f.).</w:t>
      </w:r>
    </w:p>
    <w:p>
      <w:pPr>
        <w:pStyle w:val="ListBullet"/>
        <w:spacing w:before="0" w:after="0" w:line="480" w:lineRule="auto"/>
      </w:pPr>
      <w:r>
        <w:rPr>
          <w:rFonts w:ascii="Times New Roman" w:hAnsi="Times New Roman" w:eastAsia="Times New Roman"/>
          <w:b/>
          <w:color w:val="000000"/>
          <w:sz w:val="24"/>
        </w:rPr>
        <w:t xml:space="preserve">Dimensión Social (S): </w:t>
      </w:r>
      <w:r>
        <w:rPr>
          <w:rFonts w:ascii="Times New Roman" w:hAnsi="Times New Roman" w:eastAsia="Times New Roman"/>
          <w:color w:val="000000"/>
          <w:sz w:val="24"/>
        </w:rPr>
        <w:t>Las nuevas cohortes de estudiantes demandan experiencias activas de aprendizaje interactivo y gamificado («learn-by-doing»), mostrando rechazo hacia manuales estáticos o videos teóricos pasivos. La interfaz busca mitigar la «ansiedad ante la terminal» (CLI anxiety) mediante representaciones visuales humanizadas, diseño empático y soporte 100% en idioma español, superando la barrera idiomática que presentan la mayoría de recursos técnicos oficiales.</w:t>
      </w:r>
    </w:p>
    <w:p>
      <w:pPr>
        <w:pStyle w:val="ListBullet"/>
        <w:spacing w:before="0" w:after="0" w:line="480" w:lineRule="auto"/>
      </w:pPr>
      <w:r>
        <w:rPr>
          <w:rFonts w:ascii="Times New Roman" w:hAnsi="Times New Roman" w:eastAsia="Times New Roman"/>
          <w:b/>
          <w:color w:val="000000"/>
          <w:sz w:val="24"/>
        </w:rPr>
        <w:t xml:space="preserve">Dimensión Tecnológica (T): </w:t>
      </w:r>
      <w:r>
        <w:rPr>
          <w:rFonts w:ascii="Times New Roman" w:hAnsi="Times New Roman" w:eastAsia="Times New Roman"/>
          <w:color w:val="000000"/>
          <w:sz w:val="24"/>
        </w:rPr>
        <w:t>La madurez de los estándares web modernos (HTML5 Canvas, SVG reactivo, Web Workers y WebAssembly) permite virtualizar un sistema de archivos y un motor simplificado de control de versiones en el cliente sin requerir instalación local ni privilegios de administrador en salas de laboratorio universitarias. La arquitectura se desacopla de APIs externas en su MVP para evitar caídas de servicio ante fluctuaciones de conectividad (Chacon y Straub, 2014).</w:t>
      </w:r>
    </w:p>
    <w:p>
      <w:pPr>
        <w:pStyle w:val="ListBullet"/>
        <w:spacing w:before="0" w:after="0" w:line="480" w:lineRule="auto"/>
      </w:pPr>
      <w:r>
        <w:rPr>
          <w:rFonts w:ascii="Times New Roman" w:hAnsi="Times New Roman" w:eastAsia="Times New Roman"/>
          <w:b/>
          <w:color w:val="000000"/>
          <w:sz w:val="24"/>
        </w:rPr>
        <w:t xml:space="preserve">Dimensión Ecológica / Ambiental (E): </w:t>
      </w:r>
      <w:r>
        <w:rPr>
          <w:rFonts w:ascii="Times New Roman" w:hAnsi="Times New Roman" w:eastAsia="Times New Roman"/>
          <w:color w:val="000000"/>
          <w:sz w:val="24"/>
        </w:rPr>
        <w:t>Adopción de principios de Green Computing y computación sostenible. Al procesar los estados de Git del lado del cliente y optimizar las cargas de red (JAMstack), se reduce la demanda de procesamiento constante en servidores y centros de datos. Asimismo, elimina la dependencia de guías y manuales impresos de laboratorio. Si bien no elimina de manera absoluta el consumo energético intrínseco del dispositivo del usuario ni la infraestructura de red global, disminuye sensiblemente la huella de carbono asociada al cómputo dedicado.</w:t>
      </w:r>
    </w:p>
    <w:p>
      <w:pPr>
        <w:pStyle w:val="ListBullet"/>
        <w:spacing w:before="0" w:after="0" w:line="480" w:lineRule="auto"/>
      </w:pPr>
      <w:r>
        <w:rPr>
          <w:rFonts w:ascii="Times New Roman" w:hAnsi="Times New Roman" w:eastAsia="Times New Roman"/>
          <w:b/>
          <w:color w:val="000000"/>
          <w:sz w:val="24"/>
        </w:rPr>
        <w:t xml:space="preserve">Dimensión Legal (L): </w:t>
      </w:r>
      <w:r>
        <w:rPr>
          <w:rFonts w:ascii="Times New Roman" w:hAnsi="Times New Roman" w:eastAsia="Times New Roman"/>
          <w:color w:val="000000"/>
          <w:sz w:val="24"/>
        </w:rPr>
        <w:t>Cumplimiento del marco normativo venezolano, específicamente la Constitución de la República Bolivariana de Venezuela (Art. 28 sobre protección del honor y datos personales) y la Ley sobre Mensajes de Datos y Firmas Electrónicas (República Bolivariana de Venezuela, 2001). A nivel de mejores prácticas internacionales, se contemplan los principios de minimización de datos del Reglamento General de Protección de Datos (RGPD / GDPR de la Unión Europea). El MVP operará sin recolectar datos personales ni credenciales. Para fases posteriores que integren la API de GitHub, se acatarán estrictamente los Términos de Servicio de la API de GitHub Developer, incorporando un descargo de responsabilidad (disclaimer) legal explícito que aclare que la plataforma es un proyecto académico independiente sin filiación oficial con Microsoft o GitHub.</w:t>
      </w:r>
    </w:p>
    <w:p>
      <w:pPr>
        <w:keepNext/>
        <w:spacing w:before="0" w:after="0" w:line="480" w:lineRule="auto"/>
        <w:jc w:val="center"/>
      </w:pPr>
      <w:r>
        <w:rPr>
          <w:rFonts w:ascii="Times New Roman" w:hAnsi="Times New Roman" w:eastAsia="Times New Roman"/>
          <w:b/>
          <w:i w:val="0"/>
          <w:color w:val="000000"/>
          <w:sz w:val="24"/>
        </w:rPr>
        <w:t>4. Análisis Estratégico Interno y Externo (FODA)</w:t>
      </w:r>
    </w:p>
    <w:p>
      <w:pPr>
        <w:spacing w:before="0" w:after="0" w:line="480" w:lineRule="auto"/>
        <w:ind w:firstLine="720"/>
        <w:jc w:val="left"/>
      </w:pPr>
      <w:r>
        <w:rPr>
          <w:rFonts w:ascii="Times New Roman" w:hAnsi="Times New Roman" w:eastAsia="Times New Roman"/>
          <w:color w:val="000000"/>
          <w:sz w:val="24"/>
        </w:rPr>
        <w:t>Para articular las capacidades internas del equipo con los desafíos del entorno, se presenta la matriz FODA y, de forma complementaria, la matriz de estrategias cruzadas resultantes (FO, DO, FA, DA):</w:t>
      </w:r>
    </w:p>
    <w:p>
      <w:pPr>
        <w:keepNext/>
        <w:spacing w:before="0" w:after="0" w:line="480" w:lineRule="auto"/>
        <w:jc w:val="left"/>
      </w:pPr>
      <w:r>
        <w:rPr>
          <w:rFonts w:ascii="Times New Roman" w:hAnsi="Times New Roman" w:eastAsia="Times New Roman"/>
          <w:b/>
          <w:color w:val="000000"/>
          <w:sz w:val="24"/>
        </w:rPr>
        <w:t>Tabla 2</w:t>
      </w:r>
    </w:p>
    <w:p>
      <w:pPr>
        <w:keepNext/>
        <w:spacing w:before="0" w:after="0" w:line="480" w:lineRule="auto"/>
      </w:pPr>
      <w:r>
        <w:rPr>
          <w:rFonts w:ascii="Times New Roman" w:hAnsi="Times New Roman" w:eastAsia="Times New Roman"/>
          <w:i/>
          <w:color w:val="000000"/>
          <w:sz w:val="24"/>
        </w:rPr>
        <w:t>Matriz FODA del proyecto Aprende Git Interactivo.</w:t>
      </w:r>
    </w:p>
    <w:tbl>
      <w:tblPr>
        <w:jc w:val="center"/>
        <w:tblLook w:firstColumn="1" w:firstRow="1" w:lastColumn="0" w:lastRow="0" w:noHBand="0" w:noVBand="1" w:val="04A0"/>
        <w:tblW w:w="9360" w:type="dxa"/>
        <w:tblLayout w:type="fixed"/>
      </w:tblPr>
      <w:tblGrid>
        <w:gridCol w:w="4680"/>
        <w:gridCol w:w="4680"/>
      </w:tblGrid>
      <w:tr>
        <w:trPr>
          <w:cantSplit/>
          <w:tblHeader/>
        </w:trPr>
        <w:tc>
          <w:tcPr>
            <w:tcW w:type="dxa" w:w="468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ORIGEN INTERNO (Controlable por el equipo)</w:t>
            </w:r>
          </w:p>
        </w:tc>
        <w:tc>
          <w:tcPr>
            <w:tcW w:type="dxa" w:w="468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ORIGEN EXTERNO (Entorno macro y micro)</w:t>
            </w:r>
          </w:p>
        </w:tc>
      </w:tr>
      <w:tr>
        <w:trPr>
          <w:cantSplit/>
        </w:trPr>
        <w:tc>
          <w:tcPr>
            <w:tcW w:type="dxa" w:w="46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FORTALEZAS (F)</w:t>
              <w:br/>
              <w:t>1. Interactividad Real: Simulación visual y gráfica inmediata superior a manuales y videos pasivos.</w:t>
              <w:br/>
              <w:t>2. Arquitectura Client-Side: Ejecución en el navegador con costos de infraestructura marginales y alta velocidad.</w:t>
              <w:br/>
              <w:t>3. Andamiaje Pedagógico Integrado: Asistencia heurística contextual mediante la tutora Nova para guiar en atascos.</w:t>
              <w:br/>
              <w:t>4. Enfoque DUA y Accesibilidad: Concepción nativa orientada a pautas WCAG 2.2 AA e inclusión en español.</w:t>
            </w:r>
          </w:p>
        </w:tc>
        <w:tc>
          <w:tcPr>
            <w:tcW w:type="dxa" w:w="46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OPORTUNIDADES (O)</w:t>
              <w:br/>
              <w:t>1. Demanda Curricular Ineludible: Requerimiento mandatorio de Git en la carrera de Computación UCV y el mercado tech.</w:t>
              <w:br/>
              <w:t>2. Adopción Académica Institucional: Posibilidad de convertirse en recurso didáctico recomendado en Ingeniería de Software.</w:t>
              <w:br/>
              <w:t>3. Ecosistema de Software Libre: Facilidad para liberar el código del RED y recibir retroalimentación de la comunidad.</w:t>
              <w:br/>
              <w:t>4. Infraestructura Gratuita para Educación: Uso de planes gratuitos de Netlify, Vercel o GitHub Pages y programas educativos.</w:t>
            </w:r>
          </w:p>
        </w:tc>
      </w:tr>
      <w:tr>
        <w:trPr>
          <w:cantSplit/>
        </w:trPr>
        <w:tc>
          <w:tcPr>
            <w:tcW w:type="dxa" w:w="468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DEBILIDADES (D)</w:t>
              <w:br/>
              <w:t>1. Restricción Temporal Semestral: Cronograma académico limitado de una asignatura para abarcar la complejidad total de Git.</w:t>
              <w:br/>
              <w:t>2. Presupuesto Cero: Carencia de fondos comerciales para infraestructura de servidores dedicados de cómputo intensivo.</w:t>
              <w:br/>
              <w:t>3. Complejidad en la Emulación de Consola: Desafío técnico de compatibilizar una terminal accesible con lectores de pantalla.</w:t>
              <w:br/>
              <w:t>4. Capacidad Operativa Acotada: Equipo conformado por tres estudiantes de pregrado con múltiples obligaciones académicas.</w:t>
            </w:r>
          </w:p>
        </w:tc>
        <w:tc>
          <w:tcPr>
            <w:tcW w:type="dxa" w:w="468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AMENAZAS (A)</w:t>
              <w:br/>
              <w:t>1. Competidores Consolidados: Plataformas internacionales con alto tráfico web (Learngitbranching, Oh My Git!).</w:t>
              <w:br/>
              <w:t>2. Frustración y Abandono Temprano: Riesgo de deserción si la interfaz o los niveles iniciales no guían adecuadamente.</w:t>
              <w:br/>
              <w:t>3. Variabilidad en Políticas de APIs Externas: Dependencia de cambios en OAuth o políticas de GitHub si se integra tempranamente.</w:t>
              <w:br/>
              <w:t>4. Sobreconfianza en Asistentes de IA Comerciales: Estudiantes que usan IA para generar comandos sin comprender su funcionamiento.</w:t>
            </w:r>
          </w:p>
        </w:tc>
      </w:tr>
    </w:tbl>
    <w:p>
      <w:pPr>
        <w:keepNext/>
        <w:spacing w:before="0" w:after="0" w:line="480" w:lineRule="auto"/>
        <w:jc w:val="left"/>
      </w:pPr>
      <w:r>
        <w:rPr>
          <w:rFonts w:ascii="Times New Roman" w:hAnsi="Times New Roman" w:eastAsia="Times New Roman"/>
          <w:b/>
          <w:color w:val="000000"/>
          <w:sz w:val="24"/>
        </w:rPr>
        <w:t>Tabla 3</w:t>
      </w:r>
    </w:p>
    <w:p>
      <w:pPr>
        <w:keepNext/>
        <w:spacing w:before="0" w:after="0" w:line="480" w:lineRule="auto"/>
      </w:pPr>
      <w:r>
        <w:rPr>
          <w:rFonts w:ascii="Times New Roman" w:hAnsi="Times New Roman" w:eastAsia="Times New Roman"/>
          <w:i/>
          <w:color w:val="000000"/>
          <w:sz w:val="24"/>
        </w:rPr>
        <w:t>Matriz de Estrategias Cruzadas derivadas del FODA.</w:t>
      </w:r>
    </w:p>
    <w:tbl>
      <w:tblPr>
        <w:jc w:val="center"/>
        <w:tblLook w:firstColumn="1" w:firstRow="1" w:lastColumn="0" w:lastRow="0" w:noHBand="0" w:noVBand="1" w:val="04A0"/>
        <w:tblW w:w="9360" w:type="dxa"/>
        <w:tblLayout w:type="fixed"/>
      </w:tblPr>
      <w:tblGrid>
        <w:gridCol w:w="2600"/>
        <w:gridCol w:w="6760"/>
      </w:tblGrid>
      <w:tr>
        <w:trPr>
          <w:cantSplit/>
          <w:tblHeader/>
        </w:trPr>
        <w:tc>
          <w:tcPr>
            <w:tcW w:type="dxa" w:w="260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Tipo de Estrategia</w:t>
            </w:r>
          </w:p>
        </w:tc>
        <w:tc>
          <w:tcPr>
            <w:tcW w:type="dxa" w:w="676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Acciones Estratégicas Formuladas</w:t>
            </w:r>
          </w:p>
        </w:tc>
      </w:tr>
      <w:tr>
        <w:trPr>
          <w:cantSplit/>
        </w:trPr>
        <w:tc>
          <w:tcPr>
            <w:tcW w:type="dxa" w:w="2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Estrategias FO</w:t>
              <w:br/>
              <w:t>(Fortalezas + Oportunidades)</w:t>
            </w:r>
          </w:p>
        </w:tc>
        <w:tc>
          <w:tcPr>
            <w:tcW w:type="dxa" w:w="67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 FO1: Promover el despliegue del prototipo client-side en las cátedras de programación de la UCV, aprovechando que no requiere presupuesto de servidores ni instalación en los laboratorios.</w:t>
              <w:br/>
              <w:t>• FO2: Difundir el recurso como software libre educativo bajo licencia permisiva, captando el interés de estudiantes de semestres superiores para enriquecer la biblioteca de ejercicios.</w:t>
            </w:r>
          </w:p>
        </w:tc>
      </w:tr>
      <w:tr>
        <w:trPr>
          <w:cantSplit/>
        </w:trPr>
        <w:tc>
          <w:tcPr>
            <w:tcW w:type="dxa" w:w="2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Estrategias DO</w:t>
              <w:br/>
              <w:t>(Debilidades + Oportunidades)</w:t>
            </w:r>
          </w:p>
        </w:tc>
        <w:tc>
          <w:tcPr>
            <w:tcW w:type="dxa" w:w="67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 DO1 (Priorización de MVP): Acotar estrictamente el alcance semestral al Módulo 1 y experiencia esencial de conflictos, asegurando la entrega de un producto robusto y validable en los tiempos académicos.</w:t>
              <w:br/>
              <w:t>• DO2: Emplear servicios de alojamiento estático gratuito con integración continua (publicación automática de Netlify desde GitHub), mitigando la ausencia de presupuesto de infraestructura.</w:t>
            </w:r>
          </w:p>
        </w:tc>
      </w:tr>
      <w:tr>
        <w:trPr>
          <w:cantSplit/>
        </w:trPr>
        <w:tc>
          <w:tcPr>
            <w:tcW w:type="dxa" w:w="2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Estrategias FA</w:t>
              <w:br/>
              <w:t>(Fortalezas + Amenazas)</w:t>
            </w:r>
          </w:p>
        </w:tc>
        <w:tc>
          <w:tcPr>
            <w:tcW w:type="dxa" w:w="67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 FA1 (Diferenciación Didáctica): Posicionar a «Aprende Git Interactivo» frente a competidores en inglés mediante una interfaz íntegramente en español, diseño accesible DUA y orientación constructivista adaptada al estudiante venezolano.</w:t>
              <w:br/>
              <w:t>• FA2: Incorporar la tutoría Nova como un andamiaje socrático guiado que enseñe a reflexionar sobre el grafo, diferenciándose de las herramientas de IA generativa comercial que solo escupen comandos ciegos.</w:t>
            </w:r>
          </w:p>
        </w:tc>
      </w:tr>
      <w:tr>
        <w:trPr>
          <w:cantSplit/>
        </w:trPr>
        <w:tc>
          <w:tcPr>
            <w:tcW w:type="dxa" w:w="260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Estrategias DA</w:t>
              <w:br/>
              <w:t>(Debilidades + Amenazas)</w:t>
            </w:r>
          </w:p>
        </w:tc>
        <w:tc>
          <w:tcPr>
            <w:tcW w:type="dxa" w:w="676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 DA1 (Desacoplamiento Tecnológico): Diseñar el motor del MVP completamente independiente de APIs externas de terceros (OAuth/GitHub), eliminando el riesgo de quiebre funcional durante el semestre.</w:t>
              <w:br/>
              <w:t>• DA2: Diseñar una curva de dificultad progresiva y mecánicas de onboarding empático para reducir drásticamente la tasa de frustración y abandono inicial de los usuarios.</w:t>
            </w:r>
          </w:p>
        </w:tc>
      </w:tr>
    </w:tbl>
    <w:p>
      <w:pPr>
        <w:keepNext/>
        <w:spacing w:before="0" w:after="0" w:line="480" w:lineRule="auto"/>
        <w:jc w:val="center"/>
      </w:pPr>
      <w:r>
        <w:rPr>
          <w:rFonts w:ascii="Times New Roman" w:hAnsi="Times New Roman" w:eastAsia="Times New Roman"/>
          <w:b/>
          <w:i w:val="0"/>
          <w:color w:val="000000"/>
          <w:sz w:val="24"/>
        </w:rPr>
        <w:t>5. Análisis de Usuarios, Usuarias y Clientela (User Personas)</w:t>
      </w:r>
    </w:p>
    <w:p>
      <w:pPr>
        <w:keepNext/>
        <w:spacing w:before="0" w:after="0" w:line="480" w:lineRule="auto"/>
        <w:jc w:val="left"/>
      </w:pPr>
      <w:r>
        <w:rPr>
          <w:rFonts w:ascii="Times New Roman" w:hAnsi="Times New Roman" w:eastAsia="Times New Roman"/>
          <w:b/>
          <w:i w:val="0"/>
          <w:color w:val="000000"/>
          <w:sz w:val="24"/>
        </w:rPr>
        <w:t>5.1. Metodología de Obtención y Validación del Perfil</w:t>
      </w:r>
    </w:p>
    <w:p>
      <w:pPr>
        <w:spacing w:before="0" w:after="0" w:line="480" w:lineRule="auto"/>
        <w:ind w:firstLine="720"/>
        <w:jc w:val="left"/>
      </w:pPr>
      <w:r>
        <w:rPr>
          <w:rFonts w:ascii="Times New Roman" w:hAnsi="Times New Roman" w:eastAsia="Times New Roman"/>
          <w:color w:val="000000"/>
          <w:sz w:val="24"/>
        </w:rPr>
        <w:t>Para sustentar la representatividad de los arquetipos formulados y evitar sesgos de diseño, el perfilamiento de usuarios se estructuró a través de tres técnicas de recolección cualitativa en el contexto de la Escuela de Computación (UCV):</w:t>
      </w:r>
    </w:p>
    <w:p>
      <w:pPr>
        <w:pStyle w:val="ListBullet"/>
        <w:spacing w:before="0" w:after="0" w:line="480" w:lineRule="auto"/>
      </w:pPr>
      <w:r>
        <w:rPr>
          <w:rFonts w:ascii="Times New Roman" w:hAnsi="Times New Roman" w:eastAsia="Times New Roman"/>
          <w:b/>
          <w:color w:val="000000"/>
          <w:sz w:val="24"/>
        </w:rPr>
        <w:t xml:space="preserve">1. Observación Directa Participante: </w:t>
      </w:r>
      <w:r>
        <w:rPr>
          <w:rFonts w:ascii="Times New Roman" w:hAnsi="Times New Roman" w:eastAsia="Times New Roman"/>
          <w:color w:val="000000"/>
          <w:sz w:val="24"/>
        </w:rPr>
        <w:t>Registro de patrones de interacción y dificultades en sesiones prácticas de laboratorio durante las primeras semanas del período académico I-2026.</w:t>
      </w:r>
    </w:p>
    <w:p>
      <w:pPr>
        <w:pStyle w:val="ListBullet"/>
        <w:spacing w:before="0" w:after="0" w:line="480" w:lineRule="auto"/>
      </w:pPr>
      <w:r>
        <w:rPr>
          <w:rFonts w:ascii="Times New Roman" w:hAnsi="Times New Roman" w:eastAsia="Times New Roman"/>
          <w:b/>
          <w:color w:val="000000"/>
          <w:sz w:val="24"/>
        </w:rPr>
        <w:t xml:space="preserve">2. Entrevistas Semiestructuradas Exploratorias: </w:t>
      </w:r>
      <w:r>
        <w:rPr>
          <w:rFonts w:ascii="Times New Roman" w:hAnsi="Times New Roman" w:eastAsia="Times New Roman"/>
          <w:color w:val="000000"/>
          <w:sz w:val="24"/>
        </w:rPr>
        <w:t>Aplicadas a una muestra inicial de 6 estudiantes de pregrado que cursaban o habían cursado recientemente asignaturas con proyectos grupales (Ingeniería de Software), indagando sobre sus mayores temores y puntos de quiebre con Git.</w:t>
      </w:r>
    </w:p>
    <w:p>
      <w:pPr>
        <w:pStyle w:val="ListBullet"/>
        <w:spacing w:before="0" w:after="0" w:line="480" w:lineRule="auto"/>
      </w:pPr>
      <w:r>
        <w:rPr>
          <w:rFonts w:ascii="Times New Roman" w:hAnsi="Times New Roman" w:eastAsia="Times New Roman"/>
          <w:b/>
          <w:color w:val="000000"/>
          <w:sz w:val="24"/>
        </w:rPr>
        <w:t xml:space="preserve">3. Consulta Diagnóstica a Docentes de la Especialidad: </w:t>
      </w:r>
      <w:r>
        <w:rPr>
          <w:rFonts w:ascii="Times New Roman" w:hAnsi="Times New Roman" w:eastAsia="Times New Roman"/>
          <w:color w:val="000000"/>
          <w:sz w:val="24"/>
        </w:rPr>
        <w:t>Intercambio cualitativo con profesores de desarrollo de software para identificar los errores más destructivos que cometen los equipos en sus repositorios de entrega.</w:t>
      </w:r>
    </w:p>
    <w:p>
      <w:pPr>
        <w:keepNext/>
        <w:spacing w:before="0" w:after="0" w:line="480" w:lineRule="auto"/>
        <w:jc w:val="left"/>
      </w:pPr>
      <w:r>
        <w:rPr>
          <w:rFonts w:ascii="Times New Roman" w:hAnsi="Times New Roman" w:eastAsia="Times New Roman"/>
          <w:b/>
          <w:i w:val="0"/>
          <w:color w:val="000000"/>
          <w:sz w:val="24"/>
        </w:rPr>
        <w:t>5.2. Arquetipo Primario: Carlos Mendoza (El Estudiante Abrumado)</w:t>
      </w:r>
    </w:p>
    <w:p>
      <w:pPr>
        <w:pStyle w:val="ListBullet"/>
        <w:spacing w:before="0" w:after="0" w:line="480" w:lineRule="auto"/>
      </w:pPr>
      <w:r>
        <w:rPr>
          <w:rFonts w:ascii="Times New Roman" w:hAnsi="Times New Roman" w:eastAsia="Times New Roman"/>
          <w:b/>
          <w:color w:val="000000"/>
          <w:sz w:val="24"/>
        </w:rPr>
        <w:t xml:space="preserve">Datos Demográficos: </w:t>
      </w:r>
      <w:r>
        <w:rPr>
          <w:rFonts w:ascii="Times New Roman" w:hAnsi="Times New Roman" w:eastAsia="Times New Roman"/>
          <w:color w:val="000000"/>
          <w:sz w:val="24"/>
        </w:rPr>
        <w:t>21 años, estudiante del 4to semestre de la Licenciatura en Computación, UCV. Desarrollador junior autodidacta.</w:t>
      </w:r>
    </w:p>
    <w:p>
      <w:pPr>
        <w:pStyle w:val="ListBullet"/>
        <w:spacing w:before="0" w:after="0" w:line="480" w:lineRule="auto"/>
      </w:pPr>
      <w:r>
        <w:rPr>
          <w:rFonts w:ascii="Times New Roman" w:hAnsi="Times New Roman" w:eastAsia="Times New Roman"/>
          <w:b/>
          <w:color w:val="000000"/>
          <w:sz w:val="24"/>
        </w:rPr>
        <w:t xml:space="preserve">Contexto Académico: </w:t>
      </w:r>
      <w:r>
        <w:rPr>
          <w:rFonts w:ascii="Times New Roman" w:hAnsi="Times New Roman" w:eastAsia="Times New Roman"/>
          <w:color w:val="000000"/>
          <w:sz w:val="24"/>
        </w:rPr>
        <w:t>Domina la lógica de algoritmos y programación estructurada/POO, pero carece de entrenamiento formal en flujos de trabajo colaborativos y herramientas distribuidas de control de versiones.</w:t>
      </w:r>
    </w:p>
    <w:p>
      <w:pPr>
        <w:pStyle w:val="ListBullet"/>
        <w:spacing w:before="0" w:after="0" w:line="480" w:lineRule="auto"/>
      </w:pPr>
      <w:r>
        <w:rPr>
          <w:rFonts w:ascii="Times New Roman" w:hAnsi="Times New Roman" w:eastAsia="Times New Roman"/>
          <w:b/>
          <w:color w:val="000000"/>
          <w:sz w:val="24"/>
        </w:rPr>
        <w:t xml:space="preserve">Trabajos del Usuario (Jobs to be Done): </w:t>
      </w:r>
      <w:r>
        <w:rPr>
          <w:rFonts w:ascii="Times New Roman" w:hAnsi="Times New Roman" w:eastAsia="Times New Roman"/>
          <w:color w:val="000000"/>
          <w:sz w:val="24"/>
        </w:rPr>
        <w:t>Aprobar la asignatura de desarrollo colaborativo; integrar su código al repositorio del equipo sin colapsar el proyecto; dominar las herramientas estándar para construir un portafolio técnico.</w:t>
      </w:r>
    </w:p>
    <w:p>
      <w:pPr>
        <w:pStyle w:val="ListBullet"/>
        <w:spacing w:before="0" w:after="0" w:line="480" w:lineRule="auto"/>
      </w:pPr>
      <w:r>
        <w:rPr>
          <w:rFonts w:ascii="Times New Roman" w:hAnsi="Times New Roman" w:eastAsia="Times New Roman"/>
          <w:b/>
          <w:color w:val="000000"/>
          <w:sz w:val="24"/>
        </w:rPr>
        <w:t xml:space="preserve">Frustraciones y Dolores (Pains): </w:t>
      </w:r>
      <w:r>
        <w:rPr>
          <w:rFonts w:ascii="Times New Roman" w:hAnsi="Times New Roman" w:eastAsia="Times New Roman"/>
          <w:color w:val="000000"/>
          <w:sz w:val="24"/>
        </w:rPr>
        <w:t>Terror paralizante a cometer un error irreparable (ej. sobreescritura accidental o merge fallido); desorientación espacial ante la falta de feedback visual en la terminal; confusión conceptual ante mensajes de conflicto con marcadores crípticos (&lt;&lt;&lt;&lt;&lt;&lt;&lt; HEAD); documentación densa exclusivamente en inglés.</w:t>
      </w:r>
    </w:p>
    <w:p>
      <w:pPr>
        <w:pStyle w:val="ListBullet"/>
        <w:spacing w:before="0" w:after="0" w:line="480" w:lineRule="auto"/>
      </w:pPr>
      <w:r>
        <w:rPr>
          <w:rFonts w:ascii="Times New Roman" w:hAnsi="Times New Roman" w:eastAsia="Times New Roman"/>
          <w:b/>
          <w:color w:val="000000"/>
          <w:sz w:val="24"/>
        </w:rPr>
        <w:t xml:space="preserve">Ganancias Esperadas (Gains): </w:t>
      </w:r>
      <w:r>
        <w:rPr>
          <w:rFonts w:ascii="Times New Roman" w:hAnsi="Times New Roman" w:eastAsia="Times New Roman"/>
          <w:color w:val="000000"/>
          <w:sz w:val="24"/>
        </w:rPr>
        <w:t>Espacio seguro de simulación (sandbox) donde equivocarse no destruya archivos reales; comprensión visual del movimiento de commits y punteros; explicaciones claras en español cuando ocurra una colisión; sensación de progreso gamificado.</w:t>
      </w:r>
    </w:p>
    <w:p>
      <w:pPr>
        <w:keepNext/>
        <w:spacing w:before="0" w:after="0" w:line="480" w:lineRule="auto"/>
        <w:jc w:val="left"/>
      </w:pPr>
      <w:r>
        <w:rPr>
          <w:rFonts w:ascii="Times New Roman" w:hAnsi="Times New Roman" w:eastAsia="Times New Roman"/>
          <w:b/>
          <w:i w:val="0"/>
          <w:color w:val="000000"/>
          <w:sz w:val="24"/>
        </w:rPr>
        <w:t>5.3. Arquetipo Secundario: Profa. Elena Valero (La Docente Facilitadora)</w:t>
      </w:r>
    </w:p>
    <w:p>
      <w:pPr>
        <w:pStyle w:val="ListBullet"/>
        <w:spacing w:before="0" w:after="0" w:line="480" w:lineRule="auto"/>
      </w:pPr>
      <w:r>
        <w:rPr>
          <w:rFonts w:ascii="Times New Roman" w:hAnsi="Times New Roman" w:eastAsia="Times New Roman"/>
          <w:b/>
          <w:color w:val="000000"/>
          <w:sz w:val="24"/>
        </w:rPr>
        <w:t xml:space="preserve">Datos Demográficos: </w:t>
      </w:r>
      <w:r>
        <w:rPr>
          <w:rFonts w:ascii="Times New Roman" w:hAnsi="Times New Roman" w:eastAsia="Times New Roman"/>
          <w:color w:val="000000"/>
          <w:sz w:val="24"/>
        </w:rPr>
        <w:t>42 años, Profesora Agregada de la Escuela de Computación (UCV), docente de asignaturas de Ingeniería de Software y Proyectos de Programación.</w:t>
      </w:r>
    </w:p>
    <w:p>
      <w:pPr>
        <w:pStyle w:val="ListBullet"/>
        <w:spacing w:before="0" w:after="0" w:line="480" w:lineRule="auto"/>
      </w:pPr>
      <w:r>
        <w:rPr>
          <w:rFonts w:ascii="Times New Roman" w:hAnsi="Times New Roman" w:eastAsia="Times New Roman"/>
          <w:b/>
          <w:color w:val="000000"/>
          <w:sz w:val="24"/>
        </w:rPr>
        <w:t xml:space="preserve">Contexto Docente: </w:t>
      </w:r>
      <w:r>
        <w:rPr>
          <w:rFonts w:ascii="Times New Roman" w:hAnsi="Times New Roman" w:eastAsia="Times New Roman"/>
          <w:color w:val="000000"/>
          <w:sz w:val="24"/>
        </w:rPr>
        <w:t>Coordina equipos de 4 a 6 estudiantes que deben desarrollar software integral durante el semestre. Cuenta con escaso tiempo en el plan curricular para dedicar clases enteras a la sintaxis básica de Git.</w:t>
      </w:r>
    </w:p>
    <w:p>
      <w:pPr>
        <w:pStyle w:val="ListBullet"/>
        <w:spacing w:before="0" w:after="0" w:line="480" w:lineRule="auto"/>
      </w:pPr>
      <w:r>
        <w:rPr>
          <w:rFonts w:ascii="Times New Roman" w:hAnsi="Times New Roman" w:eastAsia="Times New Roman"/>
          <w:b/>
          <w:color w:val="000000"/>
          <w:sz w:val="24"/>
        </w:rPr>
        <w:t xml:space="preserve">Trabajos del Usuario: </w:t>
      </w:r>
      <w:r>
        <w:rPr>
          <w:rFonts w:ascii="Times New Roman" w:hAnsi="Times New Roman" w:eastAsia="Times New Roman"/>
          <w:color w:val="000000"/>
          <w:sz w:val="24"/>
        </w:rPr>
        <w:t>Asegurar que los equipos estudiantiles trabajen de forma colaborativa ordenada y sin dependencias bloqueantes; evaluar la trazabilidad y contribución real de cada alumno en el historial de commits.</w:t>
      </w:r>
    </w:p>
    <w:p>
      <w:pPr>
        <w:pStyle w:val="ListBullet"/>
        <w:spacing w:before="0" w:after="0" w:line="480" w:lineRule="auto"/>
      </w:pPr>
      <w:r>
        <w:rPr>
          <w:rFonts w:ascii="Times New Roman" w:hAnsi="Times New Roman" w:eastAsia="Times New Roman"/>
          <w:b/>
          <w:color w:val="000000"/>
          <w:sz w:val="24"/>
        </w:rPr>
        <w:t xml:space="preserve">Frustraciones y Dolores: </w:t>
      </w:r>
      <w:r>
        <w:rPr>
          <w:rFonts w:ascii="Times New Roman" w:hAnsi="Times New Roman" w:eastAsia="Times New Roman"/>
          <w:color w:val="000000"/>
          <w:sz w:val="24"/>
        </w:rPr>
        <w:t>Invertir horas valiosas de asesoría técnica reparando repositorios estudiantiles corrompidos o desalineados en lugar de revisar diseño y arquitectura; excusas recurrentes de alumnos que «perdieron el código por culpa de Git»; herramientas existentes en inglés y desarticuladas del currículo.</w:t>
      </w:r>
    </w:p>
    <w:p>
      <w:pPr>
        <w:pStyle w:val="ListBullet"/>
        <w:spacing w:before="0" w:after="0" w:line="480" w:lineRule="auto"/>
      </w:pPr>
      <w:r>
        <w:rPr>
          <w:rFonts w:ascii="Times New Roman" w:hAnsi="Times New Roman" w:eastAsia="Times New Roman"/>
          <w:b/>
          <w:color w:val="000000"/>
          <w:sz w:val="24"/>
        </w:rPr>
        <w:t xml:space="preserve">Ganancias Esperadas: </w:t>
      </w:r>
      <w:r>
        <w:rPr>
          <w:rFonts w:ascii="Times New Roman" w:hAnsi="Times New Roman" w:eastAsia="Times New Roman"/>
          <w:color w:val="000000"/>
          <w:sz w:val="24"/>
        </w:rPr>
        <w:t>Disponer de un recurso didáctico interactivo de libre acceso para asignar como nivelación previa a los proyectos grupales; constatar que los estudiantes adquieran autonomía conceptual en resolución de ramas y conflictos; reducción de incidencias en entregas evaluadas.</w:t>
      </w:r>
    </w:p>
    <w:p>
      <w:pPr>
        <w:keepNext/>
        <w:spacing w:before="0" w:after="0" w:line="480" w:lineRule="auto"/>
        <w:jc w:val="left"/>
      </w:pPr>
      <w:r>
        <w:rPr>
          <w:rFonts w:ascii="Times New Roman" w:hAnsi="Times New Roman" w:eastAsia="Times New Roman"/>
          <w:b/>
          <w:i w:val="0"/>
          <w:color w:val="000000"/>
          <w:sz w:val="24"/>
        </w:rPr>
        <w:t>5.4. Mapa de Viaje del Usuario (User Journey Map)</w:t>
      </w:r>
    </w:p>
    <w:p>
      <w:pPr>
        <w:spacing w:before="0" w:after="0" w:line="480" w:lineRule="auto"/>
        <w:ind w:firstLine="720"/>
        <w:jc w:val="left"/>
      </w:pPr>
      <w:r>
        <w:rPr>
          <w:rFonts w:ascii="Times New Roman" w:hAnsi="Times New Roman" w:eastAsia="Times New Roman"/>
          <w:color w:val="000000"/>
          <w:sz w:val="24"/>
        </w:rPr>
        <w:t>A continuación se modela el flujo de experiencia de Carlos Mendoza al interactuar con el recurso propuesto:</w:t>
      </w:r>
    </w:p>
    <w:p>
      <w:pPr>
        <w:keepNext/>
        <w:spacing w:before="0" w:after="0" w:line="480" w:lineRule="auto"/>
        <w:jc w:val="left"/>
      </w:pPr>
      <w:r>
        <w:rPr>
          <w:rFonts w:ascii="Times New Roman" w:hAnsi="Times New Roman" w:eastAsia="Times New Roman"/>
          <w:b/>
          <w:color w:val="000000"/>
          <w:sz w:val="24"/>
        </w:rPr>
        <w:t>Tabla 4</w:t>
      </w:r>
    </w:p>
    <w:p>
      <w:pPr>
        <w:keepNext/>
        <w:spacing w:before="0" w:after="0" w:line="480" w:lineRule="auto"/>
      </w:pPr>
      <w:r>
        <w:rPr>
          <w:rFonts w:ascii="Times New Roman" w:hAnsi="Times New Roman" w:eastAsia="Times New Roman"/>
          <w:i/>
          <w:color w:val="000000"/>
          <w:sz w:val="24"/>
        </w:rPr>
        <w:t>Mapa de Viaje del Usuario (Carlos Mendoza).</w:t>
      </w:r>
    </w:p>
    <w:tbl>
      <w:tblPr>
        <w:jc w:val="center"/>
        <w:tblLook w:firstColumn="1" w:firstRow="1" w:lastColumn="0" w:lastRow="0" w:noHBand="0" w:noVBand="1" w:val="04A0"/>
        <w:tblW w:w="9360" w:type="dxa"/>
        <w:tblLayout w:type="fixed"/>
      </w:tblPr>
      <w:tblGrid>
        <w:gridCol w:w="1430"/>
        <w:gridCol w:w="1820"/>
        <w:gridCol w:w="1430"/>
        <w:gridCol w:w="1690"/>
        <w:gridCol w:w="1430"/>
        <w:gridCol w:w="1560"/>
      </w:tblGrid>
      <w:tr>
        <w:trPr>
          <w:cantSplit/>
          <w:tblHeader/>
        </w:trPr>
        <w:tc>
          <w:tcPr>
            <w:tcW w:type="dxa" w:w="143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Etapa del Flujo</w:t>
            </w:r>
          </w:p>
        </w:tc>
        <w:tc>
          <w:tcPr>
            <w:tcW w:type="dxa" w:w="182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Acciones del Usuario</w:t>
            </w:r>
          </w:p>
        </w:tc>
        <w:tc>
          <w:tcPr>
            <w:tcW w:type="dxa" w:w="143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Puntos de Contacto</w:t>
            </w:r>
          </w:p>
        </w:tc>
        <w:tc>
          <w:tcPr>
            <w:tcW w:type="dxa" w:w="169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Pensamientos y Emociones</w:t>
            </w:r>
          </w:p>
        </w:tc>
        <w:tc>
          <w:tcPr>
            <w:tcW w:type="dxa" w:w="143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Puntos de Dolor</w:t>
            </w:r>
          </w:p>
        </w:tc>
        <w:tc>
          <w:tcPr>
            <w:tcW w:type="dxa" w:w="156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Oportunidad Didáctica en RED</w:t>
            </w:r>
          </w:p>
        </w:tc>
      </w:tr>
      <w:tr>
        <w:trPr>
          <w:cantSplit/>
        </w:trPr>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 Descubrimiento</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Accede al enlace del RED sugerido por la Profa. Elena en el aula virtual de la UCV.</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Enlace en Classroom / Moodle institucional.</w:t>
            </w:r>
          </w:p>
        </w:tc>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Curioso, pero escéptico. «Otra guía teórica aburrida que tendré que leer».</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Miedo a que requiera configuraciones complejas o instalaciones pesadas.</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Carga ultra-rápida en el navegador, sin registro forzoso y mensaje de bienvenida motivador.</w:t>
            </w:r>
          </w:p>
        </w:tc>
      </w:tr>
      <w:tr>
        <w:trPr>
          <w:cantSplit/>
        </w:trPr>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2. Onboarding</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Explora la interfaz interactiva e inicia el primer módulo sin necesidad de cuenta.</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Pantalla de bienvenida y selector de nivel inicial.</w:t>
            </w:r>
          </w:p>
        </w:tc>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Aliviado. «No me pide instalar nada en la máquina del laboratorio».</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Incertidumbre sobre qué nivel tomar.</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Test diagnóstico rápido y visual de 3 preguntas para recomendar nivel de inicio.</w:t>
            </w:r>
          </w:p>
        </w:tc>
      </w:tr>
      <w:tr>
        <w:trPr>
          <w:cantSplit/>
        </w:trPr>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3. Aprendizaje Core</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Ingresa comandos de Git local (init, add, commit) en la terminal simulada.</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Terminal web, panel de estados y Grafo Vivo.</w:t>
            </w:r>
          </w:p>
        </w:tc>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Entusiasmado y enfocado. «¡Por fin veo adónde va el commit cuando hago add!».</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Duda si escribe un comando con sintaxis incorrecta.</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Feedback inmediato de sintaxis en español y animación fluida del nodo en el grafo.</w:t>
            </w:r>
          </w:p>
        </w:tc>
      </w:tr>
      <w:tr>
        <w:trPr>
          <w:cantSplit/>
        </w:trPr>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4. Conflicto Guiado</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En el módulo de conflicto, fusiona dos ramas que modificaron la misma línea.</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Consola y editor visual de conflicto interactivo.</w:t>
            </w:r>
          </w:p>
        </w:tc>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Ansioso y tenso. «Este es el error que siempre me daña el proyecto».</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Bloqueo cognitivo ante marcadores crípticos de colisión de código.</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Interfaz limpia de comparación línea por línea con resaltado en colores contrastados.</w:t>
            </w:r>
          </w:p>
        </w:tc>
      </w:tr>
      <w:tr>
        <w:trPr>
          <w:cantSplit/>
        </w:trPr>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5. Andamiaje Nova</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Tras 90 segundos de inactividad, se activa la sugerencia socrática de la tutora Nova.</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Panel flotante de tutoría y nodos resaltados.</w:t>
            </w:r>
          </w:p>
        </w:tc>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Comprendido y empoderado. «Me explica por qué chocó, no solo qué botón tocar».</w:t>
            </w:r>
          </w:p>
        </w:tc>
        <w:tc>
          <w:tcPr>
            <w:tcW w:type="dxa" w:w="143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Riesgo de que la IA le dé la respuesta directa sin que aprenda.</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Pistas heurísticas en forma de preguntas guía que orientan la deducción autónoma.</w:t>
            </w:r>
          </w:p>
        </w:tc>
      </w:tr>
      <w:tr>
        <w:trPr>
          <w:cantSplit/>
        </w:trPr>
        <w:tc>
          <w:tcPr>
            <w:tcW w:type="dxa" w:w="143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6. Consolidación</w:t>
            </w:r>
          </w:p>
        </w:tc>
        <w:tc>
          <w:tcPr>
            <w:tcW w:type="dxa" w:w="182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Resuelve la colisión, visualiza el commit de fusión integrado y completa el reto.</w:t>
            </w:r>
          </w:p>
        </w:tc>
        <w:tc>
          <w:tcPr>
            <w:tcW w:type="dxa" w:w="143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Pantalla de logro superado y resumen conceptual.</w:t>
            </w:r>
          </w:p>
        </w:tc>
        <w:tc>
          <w:tcPr>
            <w:tcW w:type="dxa" w:w="169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Orgulloso, seguro y con autoeficacia. «Ya no le tengo miedo a un merge en equipo».</w:t>
            </w:r>
          </w:p>
        </w:tc>
        <w:tc>
          <w:tcPr>
            <w:tcW w:type="dxa" w:w="143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Deseo de demostrar su aprendizaje al grupo y docente.</w:t>
            </w:r>
          </w:p>
        </w:tc>
        <w:tc>
          <w:tcPr>
            <w:tcW w:type="dxa" w:w="156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Insignia de logro descargable con resumen de conceptos dominados.</w:t>
            </w:r>
          </w:p>
        </w:tc>
      </w:tr>
    </w:tbl>
    <w:p>
      <w:pPr>
        <w:keepNext/>
        <w:spacing w:before="0" w:after="0" w:line="480" w:lineRule="auto"/>
        <w:jc w:val="center"/>
      </w:pPr>
      <w:r>
        <w:rPr>
          <w:rFonts w:ascii="Times New Roman" w:hAnsi="Times New Roman" w:eastAsia="Times New Roman"/>
          <w:b/>
          <w:i w:val="0"/>
          <w:color w:val="000000"/>
          <w:sz w:val="24"/>
        </w:rPr>
        <w:t>6. Análisis de la Competencia (Benchmarking)</w:t>
      </w:r>
    </w:p>
    <w:p>
      <w:pPr>
        <w:spacing w:before="0" w:after="0" w:line="480" w:lineRule="auto"/>
        <w:ind w:firstLine="720"/>
        <w:jc w:val="left"/>
      </w:pPr>
      <w:r>
        <w:rPr>
          <w:rFonts w:ascii="Times New Roman" w:hAnsi="Times New Roman" w:eastAsia="Times New Roman"/>
          <w:color w:val="000000"/>
          <w:sz w:val="24"/>
        </w:rPr>
        <w:t>Para determinar la propuesta de valor diferencial de «Aprende Git Interactivo», se realizó un análisis comparativo frente a soluciones existentes en el ecosistema internacional. Para subsanar declaraciones genéricas de accesibilidad, las alternativas se evaluaron bajo criterios técnicos concretos (inspección de código DOM, soporte de tecnologías asistivas y pruebas preliminares con herramientas de auditoría Lighthouse y WAVE):</w:t>
      </w:r>
    </w:p>
    <w:p>
      <w:pPr>
        <w:pStyle w:val="ListBullet"/>
        <w:spacing w:before="0" w:after="0" w:line="480" w:lineRule="auto"/>
      </w:pPr>
      <w:r>
        <w:rPr>
          <w:rFonts w:ascii="Times New Roman" w:hAnsi="Times New Roman" w:eastAsia="Times New Roman"/>
          <w:b/>
          <w:color w:val="000000"/>
          <w:sz w:val="24"/>
        </w:rPr>
        <w:t xml:space="preserve">Competidor Directo 1: Learn Git Branching (Cottle, s.f.). </w:t>
      </w:r>
      <w:r>
        <w:rPr>
          <w:rFonts w:ascii="Times New Roman" w:hAnsi="Times New Roman" w:eastAsia="Times New Roman"/>
          <w:color w:val="000000"/>
          <w:sz w:val="24"/>
        </w:rPr>
        <w:t>Es el referente más extendido a nivel global. Destaca por su visualizador de grafos y terminal interactiva. Deficiencias técnicas verificadas: carece de soporte de accesibilidad digital demostrable (el lienzo SVG carece de etiquetas WAI-ARIA, los nodos no son navegables mediante teclado ni poseen descripciones de texto alternativas para lectores de pantalla, y el contraste cromático de ciertas ramas es menor a 3:1); no ofrece tutoría explicativa contextual ante errores; y la traducción al español contiene incoherencias sintácticas.</w:t>
      </w:r>
    </w:p>
    <w:p>
      <w:pPr>
        <w:pStyle w:val="ListBullet"/>
        <w:spacing w:before="0" w:after="0" w:line="480" w:lineRule="auto"/>
      </w:pPr>
      <w:r>
        <w:rPr>
          <w:rFonts w:ascii="Times New Roman" w:hAnsi="Times New Roman" w:eastAsia="Times New Roman"/>
          <w:b/>
          <w:color w:val="000000"/>
          <w:sz w:val="24"/>
        </w:rPr>
        <w:t xml:space="preserve">Competidor Directo 2: Oh My Git! (Wieluch y Morr, s.f.). </w:t>
      </w:r>
      <w:r>
        <w:rPr>
          <w:rFonts w:ascii="Times New Roman" w:hAnsi="Times New Roman" w:eastAsia="Times New Roman"/>
          <w:color w:val="000000"/>
          <w:sz w:val="24"/>
        </w:rPr>
        <w:t>Videojuego de código abierto con excelente representación gráfica del repositorio. Deficiencias verificadas: al ser una aplicación de escritorio compilada (requiere descarga e instalación), resulta impracticable en computadoras institucionales con privilegios restringidos; carece por completo de accesibilidad para personas con discapacidad visual al renderizarse en motor gráfico no compatible con tecnologías asistivas nativas.</w:t>
      </w:r>
    </w:p>
    <w:p>
      <w:pPr>
        <w:pStyle w:val="ListBullet"/>
        <w:spacing w:before="0" w:after="0" w:line="480" w:lineRule="auto"/>
      </w:pPr>
      <w:r>
        <w:rPr>
          <w:rFonts w:ascii="Times New Roman" w:hAnsi="Times New Roman" w:eastAsia="Times New Roman"/>
          <w:b/>
          <w:color w:val="000000"/>
          <w:sz w:val="24"/>
        </w:rPr>
        <w:t xml:space="preserve">Competidores Indirectos: Clientes Gráficos de Producción (GitKraken, GitHub Desktop, Sourcetree). </w:t>
      </w:r>
      <w:r>
        <w:rPr>
          <w:rFonts w:ascii="Times New Roman" w:hAnsi="Times New Roman" w:eastAsia="Times New Roman"/>
          <w:color w:val="000000"/>
          <w:sz w:val="24"/>
        </w:rPr>
        <w:t>Herramientas de entorno laboral que resuelven operaciones mediante botones, pero no poseen fines pedagógicos: el estudiante ejecuta acciones sin comprender el modelo mental subyacente, fomentando la dependencia instrumental.</w:t>
      </w:r>
    </w:p>
    <w:p>
      <w:pPr>
        <w:pStyle w:val="ListBullet"/>
        <w:spacing w:before="0" w:after="0" w:line="480" w:lineRule="auto"/>
      </w:pPr>
      <w:r>
        <w:rPr>
          <w:rFonts w:ascii="Times New Roman" w:hAnsi="Times New Roman" w:eastAsia="Times New Roman"/>
          <w:b/>
          <w:color w:val="000000"/>
          <w:sz w:val="24"/>
        </w:rPr>
        <w:t xml:space="preserve">Competidores de Contenido Pasivo: Cursos en Video y Documentación Oficial (Chacon y Straub, 2014; Git Project, s.f.). </w:t>
      </w:r>
      <w:r>
        <w:rPr>
          <w:rFonts w:ascii="Times New Roman" w:hAnsi="Times New Roman" w:eastAsia="Times New Roman"/>
          <w:color w:val="000000"/>
          <w:sz w:val="24"/>
        </w:rPr>
        <w:t>Tutoriales lineales y documentación estática de alto contenido teórico con nula interactividad práctica, propensos a la fatiga cognitiva y abandono prematuro.</w:t>
      </w:r>
    </w:p>
    <w:p>
      <w:pPr>
        <w:keepNext/>
        <w:spacing w:before="0" w:after="0" w:line="480" w:lineRule="auto"/>
        <w:jc w:val="left"/>
      </w:pPr>
      <w:r>
        <w:rPr>
          <w:rFonts w:ascii="Times New Roman" w:hAnsi="Times New Roman" w:eastAsia="Times New Roman"/>
          <w:b/>
          <w:color w:val="000000"/>
          <w:sz w:val="24"/>
        </w:rPr>
        <w:t>Tabla 5</w:t>
      </w:r>
    </w:p>
    <w:p>
      <w:pPr>
        <w:keepNext/>
        <w:spacing w:before="0" w:after="0" w:line="480" w:lineRule="auto"/>
      </w:pPr>
      <w:r>
        <w:rPr>
          <w:rFonts w:ascii="Times New Roman" w:hAnsi="Times New Roman" w:eastAsia="Times New Roman"/>
          <w:i/>
          <w:color w:val="000000"/>
          <w:sz w:val="24"/>
        </w:rPr>
        <w:t>Matriz de Benchmarking Competitivo con criterios técnicos.</w:t>
      </w:r>
    </w:p>
    <w:tbl>
      <w:tblPr>
        <w:jc w:val="center"/>
        <w:tblLook w:firstColumn="1" w:firstRow="1" w:lastColumn="0" w:lastRow="0" w:noHBand="0" w:noVBand="1" w:val="04A0"/>
        <w:tblW w:w="9360" w:type="dxa"/>
        <w:tblLayout w:type="fixed"/>
      </w:tblPr>
      <w:tblGrid>
        <w:gridCol w:w="1560"/>
        <w:gridCol w:w="1560"/>
        <w:gridCol w:w="1300"/>
        <w:gridCol w:w="1300"/>
        <w:gridCol w:w="1300"/>
        <w:gridCol w:w="1170"/>
        <w:gridCol w:w="1170"/>
      </w:tblGrid>
      <w:tr>
        <w:trPr>
          <w:cantSplit/>
          <w:tblHeader/>
        </w:trPr>
        <w:tc>
          <w:tcPr>
            <w:tcW w:type="dxa" w:w="156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Criterio Evaluado</w:t>
            </w:r>
          </w:p>
        </w:tc>
        <w:tc>
          <w:tcPr>
            <w:tcW w:type="dxa" w:w="156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Aprende Git Interactivo (Propuesta UCV)</w:t>
            </w:r>
          </w:p>
        </w:tc>
        <w:tc>
          <w:tcPr>
            <w:tcW w:type="dxa" w:w="130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Learn Git Branching (Web)</w:t>
            </w:r>
          </w:p>
        </w:tc>
        <w:tc>
          <w:tcPr>
            <w:tcW w:type="dxa" w:w="130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Oh My Git! (Juego Escritorio)</w:t>
            </w:r>
          </w:p>
        </w:tc>
        <w:tc>
          <w:tcPr>
            <w:tcW w:type="dxa" w:w="130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Clientes Gráficos (GitKraken)</w:t>
            </w:r>
          </w:p>
        </w:tc>
        <w:tc>
          <w:tcPr>
            <w:tcW w:type="dxa" w:w="117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Git-SCM (Doc Oficial)</w:t>
            </w:r>
          </w:p>
        </w:tc>
        <w:tc>
          <w:tcPr>
            <w:tcW w:type="dxa" w:w="117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Cursos en Video (Udemy/YouTube)</w:t>
            </w:r>
          </w:p>
        </w:tc>
      </w:tr>
      <w:tr>
        <w:trPr>
          <w:cantSplit/>
        </w:trPr>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Simulación de Grafo Vivo</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dinámico y reactivo en tiempo real.</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visual en árbol interactivo.</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representación gráfica en juego.</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lectura de repositorio real local.</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solo diagramas estáticos ASCII/PNG.</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grabaciones pregrabadas fijas.</w:t>
            </w:r>
          </w:p>
        </w:tc>
      </w:tr>
      <w:tr>
        <w:trPr>
          <w:cantSplit/>
        </w:trPr>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Resolución Guiada de Conflictos</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editor interactivo línea por línea con colores y contexto.</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resolución abstracta mediante comandos.</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resolución automática simplificada.</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interfaz de merge industrial no didáctica.</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instrucciones puramente textuales.</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demostración pasiva del instructor.</w:t>
            </w:r>
          </w:p>
        </w:tc>
      </w:tr>
      <w:tr>
        <w:trPr>
          <w:cantSplit/>
        </w:trPr>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Tutoría Cognitiva y Andamiaje</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Sí, tutora Nova con pistas socráticas basadas en reglas.</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únicamente mensajes de error de Git.</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mensajes lúdicos preestablecidos.</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diseñado para profesionales.</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carece de feedback interactivo.</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sin interactividad adaptativa.</w:t>
            </w:r>
          </w:p>
        </w:tc>
      </w:tr>
      <w:tr>
        <w:trPr>
          <w:cantSplit/>
        </w:trPr>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Criterios de Accesibilidad Digital</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Meta de diseño: pautas WCAG 2.2 AA y principios DUA en español.</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Deficiente: sin navegación por teclado en grafo ni ARIA en SVG.</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No accesible: aplicación compilada sin soporte lector pantalla.</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Parcial: modos alto contraste, pero baja usabilidad asistiva.</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Parcial: lectores de pantalla leen texto, pero no diagramas.</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Deficiente: dependiente de subtítulos automáticos en video.</w:t>
            </w:r>
          </w:p>
        </w:tc>
      </w:tr>
      <w:tr>
        <w:trPr>
          <w:cantSplit/>
        </w:trPr>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Disponibilidad y Costo de Acceso</w:t>
            </w:r>
          </w:p>
        </w:tc>
        <w:tc>
          <w:tcPr>
            <w:tcW w:type="dxa" w:w="15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Web gratuita, sin registro forzoso ni instalación.</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Web gratuita en línea (cero costo).</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Requiere instalación de binario local.</w:t>
            </w:r>
          </w:p>
        </w:tc>
        <w:tc>
          <w:tcPr>
            <w:tcW w:type="dxa" w:w="13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Freemium / Licencias de pago comercial.</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Web gratuita abierta.</w:t>
            </w:r>
          </w:p>
        </w:tc>
        <w:tc>
          <w:tcPr>
            <w:tcW w:type="dxa" w:w="11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Modelos de suscripción o pago por curso.</w:t>
            </w:r>
          </w:p>
        </w:tc>
      </w:tr>
      <w:tr>
        <w:trPr>
          <w:cantSplit/>
        </w:trPr>
        <w:tc>
          <w:tcPr>
            <w:tcW w:type="dxa" w:w="156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Idioma y Contexto Cultural</w:t>
            </w:r>
          </w:p>
        </w:tc>
        <w:tc>
          <w:tcPr>
            <w:tcW w:type="dxa" w:w="156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Nativo en español, contextualizado a necesidades UCV.</w:t>
            </w:r>
          </w:p>
        </w:tc>
        <w:tc>
          <w:tcPr>
            <w:tcW w:type="dxa" w:w="130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Inglés (traducciones voluntarias parciales).</w:t>
            </w:r>
          </w:p>
        </w:tc>
        <w:tc>
          <w:tcPr>
            <w:tcW w:type="dxa" w:w="130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Inglés prioritario.</w:t>
            </w:r>
          </w:p>
        </w:tc>
        <w:tc>
          <w:tcPr>
            <w:tcW w:type="dxa" w:w="130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Multi-idioma técnico.</w:t>
            </w:r>
          </w:p>
        </w:tc>
        <w:tc>
          <w:tcPr>
            <w:tcW w:type="dxa" w:w="117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Multi-idioma formal.</w:t>
            </w:r>
          </w:p>
        </w:tc>
        <w:tc>
          <w:tcPr>
            <w:tcW w:type="dxa" w:w="117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Variable según creador de contenido.</w:t>
            </w:r>
          </w:p>
        </w:tc>
      </w:tr>
    </w:tbl>
    <w:p>
      <w:pPr>
        <w:keepNext/>
        <w:spacing w:before="0" w:after="0" w:line="480" w:lineRule="auto"/>
        <w:jc w:val="center"/>
      </w:pPr>
      <w:r>
        <w:rPr>
          <w:rFonts w:ascii="Times New Roman" w:hAnsi="Times New Roman" w:eastAsia="Times New Roman"/>
          <w:b/>
          <w:i w:val="0"/>
          <w:color w:val="000000"/>
          <w:sz w:val="24"/>
        </w:rPr>
        <w:t>7. Propuesta de Solución, Justificación Pedagógica y Arquitectura</w:t>
      </w:r>
    </w:p>
    <w:p>
      <w:pPr>
        <w:keepNext/>
        <w:spacing w:before="0" w:after="0" w:line="480" w:lineRule="auto"/>
        <w:jc w:val="left"/>
      </w:pPr>
      <w:r>
        <w:rPr>
          <w:rFonts w:ascii="Times New Roman" w:hAnsi="Times New Roman" w:eastAsia="Times New Roman"/>
          <w:b/>
          <w:i w:val="0"/>
          <w:color w:val="000000"/>
          <w:sz w:val="24"/>
        </w:rPr>
        <w:t>7.1. Justificación Pedagógica y de Diseño Instruccional</w:t>
      </w:r>
    </w:p>
    <w:p>
      <w:pPr>
        <w:spacing w:before="0" w:after="0" w:line="480" w:lineRule="auto"/>
        <w:ind w:firstLine="720"/>
        <w:jc w:val="left"/>
      </w:pPr>
      <w:r>
        <w:rPr>
          <w:rFonts w:ascii="Times New Roman" w:hAnsi="Times New Roman" w:eastAsia="Times New Roman"/>
          <w:color w:val="000000"/>
          <w:sz w:val="24"/>
        </w:rPr>
        <w:t>El recurso «Aprende Git Interactivo» se cimenta sobre sólidas teorías del aprendizaje contemporáneo y el diseño de software educativo:</w:t>
      </w:r>
    </w:p>
    <w:p>
      <w:pPr>
        <w:pStyle w:val="ListBullet"/>
        <w:spacing w:before="0" w:after="0" w:line="480" w:lineRule="auto"/>
      </w:pPr>
      <w:r>
        <w:rPr>
          <w:rFonts w:ascii="Times New Roman" w:hAnsi="Times New Roman" w:eastAsia="Times New Roman"/>
          <w:b/>
          <w:color w:val="000000"/>
          <w:sz w:val="24"/>
        </w:rPr>
        <w:t xml:space="preserve">Constructivismo y Modelado Mental (Novak y Gowin, 1988): </w:t>
      </w:r>
      <w:r>
        <w:rPr>
          <w:rFonts w:ascii="Times New Roman" w:hAnsi="Times New Roman" w:eastAsia="Times New Roman"/>
          <w:color w:val="000000"/>
          <w:sz w:val="24"/>
        </w:rPr>
        <w:t>El aprendizaje del control de versiones no puede ocurrir mediante memorización pasiva. Al manipular el Grafo Vivo, el estudiante autoconstruye el modelo mental de Git como un conjunto inmutable de instantáneas conectadas por referencias dirigidas, transformando conceptos invisibles en entidades espaciales manipulables.</w:t>
      </w:r>
    </w:p>
    <w:p>
      <w:pPr>
        <w:pStyle w:val="ListBullet"/>
        <w:spacing w:before="0" w:after="0" w:line="480" w:lineRule="auto"/>
      </w:pPr>
      <w:r>
        <w:rPr>
          <w:rFonts w:ascii="Times New Roman" w:hAnsi="Times New Roman" w:eastAsia="Times New Roman"/>
          <w:b/>
          <w:color w:val="000000"/>
          <w:sz w:val="24"/>
        </w:rPr>
        <w:t xml:space="preserve">Metas de Accesibilidad Universal y Principios DUA (Álvarez González et al., 2014; CAST, 2018; World Wide Web Consortium, 2023): </w:t>
      </w:r>
      <w:r>
        <w:rPr>
          <w:rFonts w:ascii="Times New Roman" w:hAnsi="Times New Roman" w:eastAsia="Times New Roman"/>
          <w:color w:val="000000"/>
          <w:sz w:val="24"/>
        </w:rPr>
        <w:t>Se formula como meta de diseño el cumplimiento de las pautas WCAG 2.2 nivel AA y los principios del Diseño Universal para el Aprendizaje. Esto se traduce en: (a) Múltiples formas de representación: el estado del repositorio se comunica simultáneamente en texto estructurado en consola, tabla semántica accesible y grafo visual con doble codificación (forma + color); (b) Múltiples formas de acción: navegación integral por teclado con foco visible gestionado; y (c) Múltiples formas de motivación: progreso dosificado con niveles de dificultad adaptativa.</w:t>
      </w:r>
    </w:p>
    <w:p>
      <w:pPr>
        <w:pStyle w:val="ListBullet"/>
        <w:spacing w:before="0" w:after="0" w:line="480" w:lineRule="auto"/>
      </w:pPr>
      <w:r>
        <w:rPr>
          <w:rFonts w:ascii="Times New Roman" w:hAnsi="Times New Roman" w:eastAsia="Times New Roman"/>
          <w:b/>
          <w:color w:val="000000"/>
          <w:sz w:val="24"/>
        </w:rPr>
        <w:t xml:space="preserve">Aprendizaje Significativo y Andamiaje (Díaz-Barriga Arceo y Hernández Rojas, 2002; Woolf, 2009): </w:t>
      </w:r>
      <w:r>
        <w:rPr>
          <w:rFonts w:ascii="Times New Roman" w:hAnsi="Times New Roman" w:eastAsia="Times New Roman"/>
          <w:color w:val="000000"/>
          <w:sz w:val="24"/>
        </w:rPr>
        <w:t>El andamiaje instruccional se activa dinámicamente cuando el alumno se enfrenta a situaciones de conflicto o bloqueo, evitando que la frustración degenere en abandono.</w:t>
      </w:r>
    </w:p>
    <w:p>
      <w:pPr>
        <w:pStyle w:val="ListBullet"/>
        <w:spacing w:before="0" w:after="0" w:line="480" w:lineRule="auto"/>
      </w:pPr>
      <w:r>
        <w:rPr>
          <w:rFonts w:ascii="Times New Roman" w:hAnsi="Times New Roman" w:eastAsia="Times New Roman"/>
          <w:b/>
          <w:color w:val="000000"/>
          <w:sz w:val="24"/>
        </w:rPr>
        <w:t xml:space="preserve">Interacción Persona-Computadora y Pensamiento Computacional (Lodi y Martini, 2021; Shneiderman y Plaisant, 2005): </w:t>
      </w:r>
      <w:r>
        <w:rPr>
          <w:rFonts w:ascii="Times New Roman" w:hAnsi="Times New Roman" w:eastAsia="Times New Roman"/>
          <w:color w:val="000000"/>
          <w:sz w:val="24"/>
        </w:rPr>
        <w:t>Diseño de interfaz con retroalimentación visual continua y reducción de carga cognitiva, permitiendo al estudiante razonar en términos de abstracciones computacionales claras.</w:t>
      </w:r>
    </w:p>
    <w:p>
      <w:pPr>
        <w:keepNext/>
        <w:spacing w:before="0" w:after="0" w:line="480" w:lineRule="auto"/>
        <w:jc w:val="left"/>
      </w:pPr>
      <w:r>
        <w:rPr>
          <w:rFonts w:ascii="Times New Roman" w:hAnsi="Times New Roman" w:eastAsia="Times New Roman"/>
          <w:b/>
          <w:i w:val="0"/>
          <w:color w:val="000000"/>
          <w:sz w:val="24"/>
        </w:rPr>
        <w:t>7.2. Arquitectura de la Tutoría Inteligente (Nova): Especificación y Salvaguardas</w:t>
      </w:r>
    </w:p>
    <w:p>
      <w:pPr>
        <w:spacing w:before="0" w:after="0" w:line="480" w:lineRule="auto"/>
        <w:ind w:firstLine="720"/>
        <w:jc w:val="left"/>
      </w:pPr>
      <w:r>
        <w:rPr>
          <w:rFonts w:ascii="Times New Roman" w:hAnsi="Times New Roman" w:eastAsia="Times New Roman"/>
          <w:color w:val="000000"/>
          <w:sz w:val="24"/>
        </w:rPr>
        <w:t>En atención a los requerimientos de rigor y viabilidad, se detalla el funcionamiento de la tutora pedagógica Nova:</w:t>
      </w:r>
    </w:p>
    <w:p>
      <w:pPr>
        <w:pStyle w:val="ListBullet"/>
        <w:spacing w:before="0" w:after="0" w:line="480" w:lineRule="auto"/>
      </w:pPr>
      <w:r>
        <w:rPr>
          <w:rFonts w:ascii="Times New Roman" w:hAnsi="Times New Roman" w:eastAsia="Times New Roman"/>
          <w:b/>
          <w:color w:val="000000"/>
          <w:sz w:val="24"/>
        </w:rPr>
        <w:t xml:space="preserve">Arquitectura Técnica en el MVP: </w:t>
      </w:r>
      <w:r>
        <w:rPr>
          <w:rFonts w:ascii="Times New Roman" w:hAnsi="Times New Roman" w:eastAsia="Times New Roman"/>
          <w:color w:val="000000"/>
          <w:sz w:val="24"/>
        </w:rPr>
        <w:t>En el Producto Mínimo Viable, Nova opera a través de un motor de reglas heurísticas e inferencia determinista en el cliente (JavaScript). Analiza el estado JSON del árbol de Git (ramas existentes, posición del puntero HEAD, archivos en staging) y el último comando ingresado, contrastándolo con el objetivo pedagógico del nivel.</w:t>
      </w:r>
    </w:p>
    <w:p>
      <w:pPr>
        <w:pStyle w:val="ListBullet"/>
        <w:spacing w:before="0" w:after="0" w:line="480" w:lineRule="auto"/>
      </w:pPr>
      <w:r>
        <w:rPr>
          <w:rFonts w:ascii="Times New Roman" w:hAnsi="Times New Roman" w:eastAsia="Times New Roman"/>
          <w:b/>
          <w:color w:val="000000"/>
          <w:sz w:val="24"/>
        </w:rPr>
        <w:t xml:space="preserve">Datos Procesados y Privacidad Estricta: </w:t>
      </w:r>
      <w:r>
        <w:rPr>
          <w:rFonts w:ascii="Times New Roman" w:hAnsi="Times New Roman" w:eastAsia="Times New Roman"/>
          <w:color w:val="000000"/>
          <w:sz w:val="24"/>
        </w:rPr>
        <w:t>Nova procesa exclusivamente el estado abstracto de la simulación (nombres de ramas de ejercicio, identificadores hash de commits simulados y mensajes de error estándar). No recopila nombres, direcciones IP, código fuente personal ni datos sensibles, aplicando el principio de minimización de datos. Si se activa la pasarela opcional a un modelo de lenguaje, solo se envían la pregunta del estudiante y ese estado abstracto de la simulación.</w:t>
      </w:r>
    </w:p>
    <w:p>
      <w:pPr>
        <w:pStyle w:val="ListBullet"/>
        <w:spacing w:before="0" w:after="0" w:line="480" w:lineRule="auto"/>
      </w:pPr>
      <w:r>
        <w:rPr>
          <w:rFonts w:ascii="Times New Roman" w:hAnsi="Times New Roman" w:eastAsia="Times New Roman"/>
          <w:b/>
          <w:color w:val="000000"/>
          <w:sz w:val="24"/>
        </w:rPr>
        <w:t xml:space="preserve">Prevención de Alucinaciones y Enfoque Socrático: </w:t>
      </w:r>
      <w:r>
        <w:rPr>
          <w:rFonts w:ascii="Times New Roman" w:hAnsi="Times New Roman" w:eastAsia="Times New Roman"/>
          <w:color w:val="000000"/>
          <w:sz w:val="24"/>
        </w:rPr>
        <w:t>A diferencia de un chat generativo abierto que podría inventar comandos o entregar la respuesta resuelta privando al alumno del proceso de aprendizaje, Nova está restringida por salvaguardas (guardrails): emite pistas en tres niveles de andamiaje: (1) Pregunta reflexiva («Observa a qué rama apunta tu puntero HEAD actualmente»); (2) Pista analítica («Para fusionar los cambios de 'feature' en 'main', debes situarte primero en la rama receptora»); y (3) Orientación sintáctica («Revisa la documentación del comando checkout o switch»).</w:t>
      </w:r>
    </w:p>
    <w:p>
      <w:pPr>
        <w:keepNext/>
        <w:spacing w:before="0" w:after="0" w:line="480" w:lineRule="auto"/>
        <w:jc w:val="left"/>
      </w:pPr>
      <w:r>
        <w:rPr>
          <w:rFonts w:ascii="Times New Roman" w:hAnsi="Times New Roman" w:eastAsia="Times New Roman"/>
          <w:b/>
          <w:i w:val="0"/>
          <w:color w:val="000000"/>
          <w:sz w:val="24"/>
        </w:rPr>
        <w:t>7.3. Prototipo Conceptual de Interfaz (Mockup)</w:t>
      </w:r>
    </w:p>
    <w:p>
      <w:pPr>
        <w:spacing w:before="0" w:after="0" w:line="480" w:lineRule="auto"/>
        <w:ind w:firstLine="720"/>
        <w:jc w:val="left"/>
      </w:pPr>
      <w:r>
        <w:rPr>
          <w:rFonts w:ascii="Times New Roman" w:hAnsi="Times New Roman" w:eastAsia="Times New Roman"/>
          <w:color w:val="000000"/>
          <w:sz w:val="24"/>
        </w:rPr>
        <w:t>A continuación se presenta el diseño preliminar de la interfaz del RED en modo de alto contraste oscuro, optimizada para minimizar la carga cognitiva del usuario:</w:t>
      </w:r>
    </w:p>
    <w:p>
      <w:pPr>
        <w:keepNext/>
        <w:spacing w:before="0" w:after="0" w:line="480" w:lineRule="auto"/>
        <w:jc w:val="left"/>
      </w:pPr>
      <w:r>
        <w:rPr>
          <w:rFonts w:ascii="Times New Roman" w:hAnsi="Times New Roman" w:eastAsia="Times New Roman"/>
          <w:b/>
          <w:color w:val="000000"/>
          <w:sz w:val="24"/>
        </w:rPr>
        <w:t>Figura 1</w:t>
      </w:r>
    </w:p>
    <w:p>
      <w:pPr>
        <w:keepNext/>
        <w:spacing w:before="0" w:after="0" w:line="480" w:lineRule="auto"/>
      </w:pPr>
      <w:r>
        <w:rPr>
          <w:rFonts w:ascii="Times New Roman" w:hAnsi="Times New Roman" w:eastAsia="Times New Roman"/>
          <w:i/>
          <w:color w:val="000000"/>
          <w:sz w:val="24"/>
        </w:rPr>
        <w:t>Mockup conceptual de la plataforma «Aprende Git Interactivo» en modo oscuro accesible. Distribución tripartita: editor/terminal a la izquierda, Grafo Vivo interactivo al centro y panel de tutoría socrática Nova a la derecha.</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image1.jpeg"/>
                    <pic:cNvPicPr/>
                  </pic:nvPicPr>
                  <pic:blipFill>
                    <a:blip r:embed="rId10"/>
                    <a:stretch>
                      <a:fillRect/>
                    </a:stretch>
                  </pic:blipFill>
                  <pic:spPr>
                    <a:xfrm>
                      <a:off x="0" y="0"/>
                      <a:ext cx="5486400" cy="3062177"/>
                    </a:xfrm>
                    <a:prstGeom prst="rect"/>
                  </pic:spPr>
                </pic:pic>
              </a:graphicData>
            </a:graphic>
          </wp:inline>
        </w:drawing>
      </w:r>
    </w:p>
    <w:p>
      <w:pPr>
        <w:keepNext/>
        <w:spacing w:before="0" w:after="0" w:line="480" w:lineRule="auto"/>
        <w:jc w:val="center"/>
      </w:pPr>
      <w:r>
        <w:rPr>
          <w:rFonts w:ascii="Times New Roman" w:hAnsi="Times New Roman" w:eastAsia="Times New Roman"/>
          <w:b/>
          <w:i w:val="0"/>
          <w:color w:val="000000"/>
          <w:sz w:val="24"/>
        </w:rPr>
        <w:t>8. Encaje de Valor (Value Proposition Canvas)</w:t>
      </w:r>
    </w:p>
    <w:p>
      <w:pPr>
        <w:spacing w:before="0" w:after="0" w:line="480" w:lineRule="auto"/>
        <w:ind w:firstLine="720"/>
        <w:jc w:val="left"/>
      </w:pPr>
      <w:r>
        <w:rPr>
          <w:rFonts w:ascii="Times New Roman" w:hAnsi="Times New Roman" w:eastAsia="Times New Roman"/>
          <w:color w:val="000000"/>
          <w:sz w:val="24"/>
        </w:rPr>
        <w:t>Para verificar la correspondencia unívoca entre las necesidades del perfil de usuario y la arquitectura de la solución, se estructura el encaje de valor a través de una matriz integral que relaciona cada trabajo, dolor y ganancia con su respectivo producto, aliviador o creador de ganancia:</w:t>
      </w:r>
    </w:p>
    <w:p>
      <w:pPr>
        <w:keepNext/>
        <w:spacing w:before="0" w:after="0" w:line="480" w:lineRule="auto"/>
        <w:jc w:val="left"/>
      </w:pPr>
      <w:r>
        <w:rPr>
          <w:rFonts w:ascii="Times New Roman" w:hAnsi="Times New Roman" w:eastAsia="Times New Roman"/>
          <w:b/>
          <w:color w:val="000000"/>
          <w:sz w:val="24"/>
        </w:rPr>
        <w:t>Tabla 6</w:t>
      </w:r>
    </w:p>
    <w:p>
      <w:pPr>
        <w:keepNext/>
        <w:spacing w:before="0" w:after="0" w:line="480" w:lineRule="auto"/>
      </w:pPr>
      <w:r>
        <w:rPr>
          <w:rFonts w:ascii="Times New Roman" w:hAnsi="Times New Roman" w:eastAsia="Times New Roman"/>
          <w:i/>
          <w:color w:val="000000"/>
          <w:sz w:val="24"/>
        </w:rPr>
        <w:t>Matriz Integral de Encaje de Valor (Correspondencia 1 a 1).</w:t>
      </w:r>
    </w:p>
    <w:tbl>
      <w:tblPr>
        <w:jc w:val="center"/>
        <w:tblLook w:firstColumn="1" w:firstRow="1" w:lastColumn="0" w:lastRow="0" w:noHBand="0" w:noVBand="1" w:val="04A0"/>
        <w:tblW w:w="9360" w:type="dxa"/>
        <w:tblLayout w:type="fixed"/>
      </w:tblPr>
      <w:tblGrid>
        <w:gridCol w:w="2990"/>
        <w:gridCol w:w="3380"/>
        <w:gridCol w:w="2990"/>
      </w:tblGrid>
      <w:tr>
        <w:trPr>
          <w:cantSplit/>
          <w:tblHeader/>
        </w:trPr>
        <w:tc>
          <w:tcPr>
            <w:tcW w:type="dxa" w:w="299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Dimensión del Usuario (Carlos / Docente)</w:t>
            </w:r>
          </w:p>
        </w:tc>
        <w:tc>
          <w:tcPr>
            <w:tcW w:type="dxa" w:w="338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Propuesta de Valor del RED (Solución)</w:t>
            </w:r>
          </w:p>
        </w:tc>
        <w:tc>
          <w:tcPr>
            <w:tcW w:type="dxa" w:w="299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Mecanismo de Correspondencia y Validación</w:t>
            </w:r>
          </w:p>
        </w:tc>
      </w:tr>
      <w:tr>
        <w:trPr>
          <w:cantSplit/>
        </w:trPr>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Trabajo 1: Aprender a usar Git para coordinar proyectos de asignaturas colaborativas.</w:t>
            </w:r>
          </w:p>
        </w:tc>
        <w:tc>
          <w:tcPr>
            <w:tcW w:type="dxa" w:w="33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Producto: Entorno web de simulación con terminal guiada y ejercicios de flujo grupal.</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Correspondencia directa: Los ejercicios replican escenarios reales de asignaturas de la UCV.</w:t>
            </w:r>
          </w:p>
        </w:tc>
      </w:tr>
      <w:tr>
        <w:trPr>
          <w:cantSplit/>
        </w:trPr>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Trabajo 2: Comprender qué ocurre internamente al fusionar ramas de código.</w:t>
            </w:r>
          </w:p>
        </w:tc>
        <w:tc>
          <w:tcPr>
            <w:tcW w:type="dxa" w:w="33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Producto: Grafo Vivo reactivo que dibuja commits y punteros en tiempo real.</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Correspondencia directa: Transforma la memoria sintáctica ciega en comprensión topológica espacial.</w:t>
            </w:r>
          </w:p>
        </w:tc>
      </w:tr>
      <w:tr>
        <w:trPr>
          <w:cantSplit/>
        </w:trPr>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Dolor 1 (Terror al error): Miedo a ejecutar comandos destructivos y borrar código del equipo.</w:t>
            </w:r>
          </w:p>
        </w:tc>
        <w:tc>
          <w:tcPr>
            <w:tcW w:type="dxa" w:w="33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Aliviador: Entorno sandbox en el navegador, sin consecuencias sobre archivos reales.</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Mitigación de dolor: Permite experimentar y equivocarse libremente construyendo resiliencia.</w:t>
            </w:r>
          </w:p>
        </w:tc>
      </w:tr>
      <w:tr>
        <w:trPr>
          <w:cantSplit/>
        </w:trPr>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Dolor 2 (CLI Anxiety): Bloqueo cognitivo ante pantallas negras de consola y mensajes crípticos.</w:t>
            </w:r>
          </w:p>
        </w:tc>
        <w:tc>
          <w:tcPr>
            <w:tcW w:type="dxa" w:w="33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Aliviador: Consola amigable con mensajes explicativos en español y feedback visual sincronizado.</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Mitigación de dolor: Reduce la barrera lingüística y la carga cognitiva de la sintaxis críptica.</w:t>
            </w:r>
          </w:p>
        </w:tc>
      </w:tr>
      <w:tr>
        <w:trPr>
          <w:cantSplit/>
        </w:trPr>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Ganancia 1 (Autonomía): Resolver colisiones de código por cuenta propia sin depender de otros.</w:t>
            </w:r>
          </w:p>
        </w:tc>
        <w:tc>
          <w:tcPr>
            <w:tcW w:type="dxa" w:w="33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Creador de Ganancia: Simulador interactivo de conflictos línea por línea con pistas socráticas Nova.</w:t>
            </w:r>
          </w:p>
        </w:tc>
        <w:tc>
          <w:tcPr>
            <w:tcW w:type="dxa" w:w="29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Generación de valor: Desarrolla autoeficacia técnica y criterio profesional en el estudiante.</w:t>
            </w:r>
          </w:p>
        </w:tc>
      </w:tr>
      <w:tr>
        <w:trPr>
          <w:cantSplit/>
        </w:trPr>
        <w:tc>
          <w:tcPr>
            <w:tcW w:type="dxa" w:w="299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Ganancia 2 (Autoeficacia y Motivación): Sentir un progreso palpable y validado.</w:t>
            </w:r>
          </w:p>
        </w:tc>
        <w:tc>
          <w:tcPr>
            <w:tcW w:type="dxa" w:w="338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Creador de Ganancia: Sistema de logros gamificados e insignias de dominio de conceptos clave.</w:t>
            </w:r>
          </w:p>
        </w:tc>
        <w:tc>
          <w:tcPr>
            <w:tcW w:type="dxa" w:w="299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Generación de valor: Refuerza la persistencia académica y previene la deserción temprana.</w:t>
            </w:r>
          </w:p>
        </w:tc>
      </w:tr>
    </w:tbl>
    <w:p>
      <w:pPr>
        <w:spacing w:before="0" w:after="0" w:line="480" w:lineRule="auto"/>
      </w:pPr>
      <w:r>
        <w:rPr>
          <w:rFonts w:ascii="Times New Roman" w:hAnsi="Times New Roman" w:eastAsia="Times New Roman"/>
          <w:color w:val="000000"/>
          <w:sz w:val="24"/>
        </w:rPr>
        <w:br w:type="page"/>
      </w:r>
    </w:p>
    <w:p>
      <w:pPr>
        <w:spacing w:before="0" w:after="0" w:line="480" w:lineRule="auto"/>
        <w:jc w:val="center"/>
      </w:pPr>
      <w:r>
        <w:rPr>
          <w:rFonts w:ascii="Times New Roman" w:hAnsi="Times New Roman" w:eastAsia="Times New Roman"/>
          <w:b/>
          <w:color w:val="000000"/>
          <w:sz w:val="24"/>
        </w:rPr>
        <w:t>PARTE II — FASE II: DISEÑO INSTRUCCIONAL, DISEÑO INFORMÁTICO Y DESARROLLO DEL PROTOTIPO</w:t>
      </w:r>
    </w:p>
    <w:p>
      <w:pPr>
        <w:spacing w:before="0" w:after="0" w:line="480" w:lineRule="auto"/>
        <w:ind w:firstLine="720"/>
        <w:jc w:val="left"/>
      </w:pPr>
      <w:r>
        <w:rPr>
          <w:rFonts w:ascii="Times New Roman" w:hAnsi="Times New Roman" w:eastAsia="Times New Roman"/>
          <w:color w:val="000000"/>
          <w:sz w:val="24"/>
        </w:rPr>
        <w:t xml:space="preserve">Esta parte documenta el proceso de desarrollo del Producto Mínimo Viable (MVP) del Recurso Educativo Digital, denominado </w:t>
      </w:r>
      <w:r>
        <w:rPr>
          <w:rFonts w:ascii="Times New Roman" w:hAnsi="Times New Roman" w:eastAsia="Times New Roman"/>
          <w:b/>
          <w:i w:val="0"/>
          <w:color w:val="000000"/>
          <w:sz w:val="24"/>
        </w:rPr>
        <w:t>GitPlayground</w:t>
      </w:r>
      <w:r>
        <w:rPr>
          <w:rFonts w:ascii="Times New Roman" w:hAnsi="Times New Roman" w:eastAsia="Times New Roman"/>
          <w:color w:val="000000"/>
          <w:sz w:val="24"/>
        </w:rPr>
        <w:t xml:space="preserve"> (Torres et al., 2026), desplegado públicamente en https://git-playground-ucv.netlify.app y con código fuente versionado en https://github.com/ShonnyAIO/git-playground-drip. Responde a los elementos de diseño instruccional (puntos 4 a 7) y de diseño informático (puntos 8 a 12) solicitados para la Fase II.</w:t>
      </w:r>
    </w:p>
    <w:p>
      <w:pPr>
        <w:keepNext/>
        <w:spacing w:before="0" w:after="0" w:line="480" w:lineRule="auto"/>
        <w:jc w:val="center"/>
      </w:pPr>
      <w:r>
        <w:rPr>
          <w:rFonts w:ascii="Times New Roman" w:hAnsi="Times New Roman" w:eastAsia="Times New Roman"/>
          <w:b/>
          <w:i w:val="0"/>
          <w:color w:val="000000"/>
          <w:sz w:val="24"/>
        </w:rPr>
        <w:t>9. Diseño Instruccional</w:t>
      </w:r>
    </w:p>
    <w:p>
      <w:pPr>
        <w:keepNext/>
        <w:spacing w:before="0" w:after="0" w:line="480" w:lineRule="auto"/>
        <w:jc w:val="left"/>
      </w:pPr>
      <w:r>
        <w:rPr>
          <w:rFonts w:ascii="Times New Roman" w:hAnsi="Times New Roman" w:eastAsia="Times New Roman"/>
          <w:b/>
          <w:i w:val="0"/>
          <w:color w:val="000000"/>
          <w:sz w:val="24"/>
        </w:rPr>
        <w:t>9.1. Competencias y Habilidades que el RED Ayuda a Desarrollar</w:t>
      </w:r>
    </w:p>
    <w:p>
      <w:pPr>
        <w:spacing w:before="0" w:after="0" w:line="480" w:lineRule="auto"/>
        <w:ind w:firstLine="720"/>
        <w:jc w:val="left"/>
      </w:pPr>
      <w:r>
        <w:rPr>
          <w:rFonts w:ascii="Times New Roman" w:hAnsi="Times New Roman" w:eastAsia="Times New Roman"/>
          <w:color w:val="000000"/>
          <w:sz w:val="24"/>
        </w:rPr>
        <w:t>Las competencias se formulan como resultados de aprendizaje observables, siguiendo la taxonomía revisada de Bloom (Anderson y Krathwohl, 2001). Cada una se asocia con el componente del RED donde se ejercita y con la evidencia que permite verificarla, lo que mantiene la trazabilidad entre el problema diagnosticado (sección 1), el perfil del estudiante (sección 5) y las funcionalidades del prototipo.</w:t>
      </w:r>
    </w:p>
    <w:p>
      <w:pPr>
        <w:keepNext/>
        <w:spacing w:before="0" w:after="0" w:line="480" w:lineRule="auto"/>
        <w:jc w:val="left"/>
      </w:pPr>
      <w:r>
        <w:rPr>
          <w:rFonts w:ascii="Times New Roman" w:hAnsi="Times New Roman" w:eastAsia="Times New Roman"/>
          <w:b/>
          <w:color w:val="000000"/>
          <w:sz w:val="24"/>
        </w:rPr>
        <w:t>Tabla 7</w:t>
      </w:r>
    </w:p>
    <w:p>
      <w:pPr>
        <w:keepNext/>
        <w:spacing w:before="0" w:after="0" w:line="480" w:lineRule="auto"/>
      </w:pPr>
      <w:r>
        <w:rPr>
          <w:rFonts w:ascii="Times New Roman" w:hAnsi="Times New Roman" w:eastAsia="Times New Roman"/>
          <w:i/>
          <w:color w:val="000000"/>
          <w:sz w:val="24"/>
        </w:rPr>
        <w:t>Competencias específicas, nivel cognitivo y evidencia en el RED.</w:t>
      </w:r>
    </w:p>
    <w:tbl>
      <w:tblPr>
        <w:jc w:val="center"/>
        <w:tblLook w:firstColumn="1" w:firstRow="1" w:lastColumn="0" w:lastRow="0" w:noHBand="0" w:noVBand="1" w:val="04A0"/>
        <w:tblW w:w="9360" w:type="dxa"/>
        <w:tblLayout w:type="fixed"/>
      </w:tblPr>
      <w:tblGrid>
        <w:gridCol w:w="3024"/>
        <w:gridCol w:w="1440"/>
        <w:gridCol w:w="2304"/>
        <w:gridCol w:w="2592"/>
      </w:tblGrid>
      <w:tr>
        <w:trPr>
          <w:cantSplit/>
          <w:tblHeader/>
        </w:trPr>
        <w:tc>
          <w:tcPr>
            <w:tcW w:type="dxa" w:w="3024"/>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Competencia (el estudiante será capaz de…)</w:t>
            </w:r>
          </w:p>
        </w:tc>
        <w:tc>
          <w:tcPr>
            <w:tcW w:type="dxa" w:w="144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Nivel (Bloom)</w:t>
            </w:r>
          </w:p>
        </w:tc>
        <w:tc>
          <w:tcPr>
            <w:tcW w:type="dxa" w:w="2304"/>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Dónde se ejercita en el RED</w:t>
            </w:r>
          </w:p>
        </w:tc>
        <w:tc>
          <w:tcPr>
            <w:tcW w:type="dxa" w:w="2592"/>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Evidencia de logro</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C1. Explicar el ciclo de vida de un archivo entre Working Directory, Staging Area y repositorio local.</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Comprender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1; Simulador Core (zonas de estado).</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Archivos preparados y confirmados correctamente; medallas «Repositorio Iniciado» y «Creador de Historias».</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C2. Crear ramas, cambiar entre ellas e interpretar la posición del puntero HEAD en el grafo.</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Aplicar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2; Simulador Core, Misión 1.</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Rama creada y commit aislado; medalla «Explorador de Ramas».</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C3. Integrar ramas con git merge y distinguir una fusión fast-forward de una de tres vías.</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Analizar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3; Simulador Core, Misión 1.</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Fusión completada en el grafo; medalla «Maestro del Merge».</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C4. Valorar cuándo conviene rebase o merge y reconocer el riesgo de reescribir historia publicada.</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Evaluar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4; Conflictos (teoría Merge vs Rebase); Quiz.</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Respuesta correcta en el quiz y conflicto resuelto en modo rebase.</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C5. Sincronizar un repositorio local con uno remoto y colaborar mediante Pull Requests y revisión de código.</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Aplicar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5; GitHub &amp; Remotos.</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Secuencia remote → push → PR → review → merge → pull completada; medalla «Enlazador de Nube».</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C6. Resolver un conflicto de fusión leyendo los marcadores y decidiendo la versión final.</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Aplicar / Crear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6; Resolución de Conflictos.</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Conflicto marcado como resuelto y commit de fusión creado; medalla «Domador de Conflictos».</w:t>
            </w:r>
          </w:p>
        </w:tc>
      </w:tr>
      <w:tr>
        <w:trPr>
          <w:cantSplit/>
        </w:trPr>
        <w:tc>
          <w:tcPr>
            <w:tcW w:type="dxa" w:w="302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C7. Recuperarse de errores con git restore, git reset y git revert.</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Aplicar</w:t>
            </w:r>
          </w:p>
        </w:tc>
        <w:tc>
          <w:tcPr>
            <w:tcW w:type="dxa" w:w="23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Simulador Core, Misión 2.</w:t>
            </w:r>
          </w:p>
        </w:tc>
        <w:tc>
          <w:tcPr>
            <w:tcW w:type="dxa" w:w="2592"/>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Misión 2 completada; medalla «Viajero del Tiempo».</w:t>
            </w:r>
          </w:p>
        </w:tc>
      </w:tr>
      <w:tr>
        <w:trPr>
          <w:cantSplit/>
        </w:trPr>
        <w:tc>
          <w:tcPr>
            <w:tcW w:type="dxa" w:w="3024"/>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C8. Seleccionar un flujo de trabajo de equipo (Gitflow o trunk-based) adecuado a un caso.</w:t>
            </w:r>
          </w:p>
        </w:tc>
        <w:tc>
          <w:tcPr>
            <w:tcW w:type="dxa" w:w="144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Evaluar</w:t>
            </w:r>
          </w:p>
        </w:tc>
        <w:tc>
          <w:tcPr>
            <w:tcW w:type="dxa" w:w="2304"/>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Desafíos &amp; Quizzes.</w:t>
            </w:r>
          </w:p>
        </w:tc>
        <w:tc>
          <w:tcPr>
            <w:tcW w:type="dxa" w:w="2592"/>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Cinco respuestas correctas; medalla «Sabio de Git».</w:t>
            </w:r>
          </w:p>
        </w:tc>
      </w:tr>
    </w:tbl>
    <w:p>
      <w:pPr>
        <w:spacing w:before="0" w:after="0" w:line="480" w:lineRule="auto"/>
        <w:jc w:val="left"/>
      </w:pPr>
    </w:p>
    <w:p>
      <w:pPr>
        <w:spacing w:before="0" w:after="0" w:line="480" w:lineRule="auto"/>
        <w:ind w:firstLine="720"/>
        <w:jc w:val="left"/>
      </w:pPr>
      <w:r>
        <w:rPr>
          <w:rFonts w:ascii="Times New Roman" w:hAnsi="Times New Roman" w:eastAsia="Times New Roman"/>
          <w:b/>
          <w:i w:val="0"/>
          <w:color w:val="000000"/>
          <w:sz w:val="24"/>
        </w:rPr>
        <w:t xml:space="preserve">Competencias transversales: </w:t>
      </w:r>
      <w:r>
        <w:rPr>
          <w:rFonts w:ascii="Times New Roman" w:hAnsi="Times New Roman" w:eastAsia="Times New Roman"/>
          <w:color w:val="000000"/>
          <w:sz w:val="24"/>
        </w:rPr>
        <w:t>(a) autorregulación del aprendizaje, mediante el progreso visible (XP, niveles y lecciones completadas) y la posibilidad de repetir pasos a ritmo propio; (b) lectura e interpretación de mensajes técnicos en la terminal, con explicaciones en español; y (c) disposición al trabajo colaborativo en equipos de software, al practicar en un entorno seguro los flujos que luego se usan en asignaturas grupales.</w:t>
      </w:r>
    </w:p>
    <w:p>
      <w:pPr>
        <w:keepNext/>
        <w:spacing w:before="0" w:after="0" w:line="480" w:lineRule="auto"/>
        <w:jc w:val="left"/>
      </w:pPr>
      <w:r>
        <w:rPr>
          <w:rFonts w:ascii="Times New Roman" w:hAnsi="Times New Roman" w:eastAsia="Times New Roman"/>
          <w:b/>
          <w:i w:val="0"/>
          <w:color w:val="000000"/>
          <w:sz w:val="24"/>
        </w:rPr>
        <w:t>9.2. Teoría o Paradigma de Enseñanza y Aprendizaje</w:t>
      </w:r>
    </w:p>
    <w:p>
      <w:pPr>
        <w:spacing w:before="0" w:after="0" w:line="480" w:lineRule="auto"/>
        <w:ind w:firstLine="720"/>
        <w:jc w:val="left"/>
      </w:pPr>
      <w:r>
        <w:rPr>
          <w:rFonts w:ascii="Times New Roman" w:hAnsi="Times New Roman" w:eastAsia="Times New Roman"/>
          <w:color w:val="000000"/>
          <w:sz w:val="24"/>
        </w:rPr>
        <w:t xml:space="preserve">El RED se fundamenta en el </w:t>
      </w:r>
      <w:r>
        <w:rPr>
          <w:rFonts w:ascii="Times New Roman" w:hAnsi="Times New Roman" w:eastAsia="Times New Roman"/>
          <w:b/>
          <w:i w:val="0"/>
          <w:color w:val="000000"/>
          <w:sz w:val="24"/>
        </w:rPr>
        <w:t>paradigma constructivista</w:t>
      </w:r>
      <w:r>
        <w:rPr>
          <w:rFonts w:ascii="Times New Roman" w:hAnsi="Times New Roman" w:eastAsia="Times New Roman"/>
          <w:color w:val="000000"/>
          <w:sz w:val="24"/>
        </w:rPr>
        <w:t>: el estudiante construye el modelo mental de Git actuando sobre un repositorio simulado y observando las consecuencias de cada comando, en lugar de memorizar sintaxis (Novak y Gowin, 1988; Díaz-Barriga Arceo y Hernández Rojas, 2002). Este paradigma se concreta mediante cuatro marcos complementarios, cada uno con una decisión de diseño verificable en el prototipo:</w:t>
      </w:r>
    </w:p>
    <w:p>
      <w:pPr>
        <w:pStyle w:val="ListBullet"/>
        <w:spacing w:before="0" w:after="0" w:line="480" w:lineRule="auto"/>
      </w:pPr>
      <w:r>
        <w:rPr>
          <w:rFonts w:ascii="Times New Roman" w:hAnsi="Times New Roman" w:eastAsia="Times New Roman"/>
          <w:b/>
          <w:color w:val="000000"/>
          <w:sz w:val="24"/>
        </w:rPr>
        <w:t xml:space="preserve">Zona de desarrollo próximo y andamiaje (Vygotsky, 1978; Wood et al., 1976): </w:t>
      </w:r>
      <w:r>
        <w:rPr>
          <w:rFonts w:ascii="Times New Roman" w:hAnsi="Times New Roman" w:eastAsia="Times New Roman"/>
          <w:color w:val="000000"/>
          <w:sz w:val="24"/>
        </w:rPr>
        <w:t>la tutora Nova ofrece ayuda graduada —pregunta reflexiva, pista analítica y orientación sintáctica— que se retira a medida que el estudiante gana autonomía, sin entregar la respuesta resuelta.</w:t>
      </w:r>
    </w:p>
    <w:p>
      <w:pPr>
        <w:pStyle w:val="ListBullet"/>
        <w:spacing w:before="0" w:after="0" w:line="480" w:lineRule="auto"/>
      </w:pPr>
      <w:r>
        <w:rPr>
          <w:rFonts w:ascii="Times New Roman" w:hAnsi="Times New Roman" w:eastAsia="Times New Roman"/>
          <w:b/>
          <w:color w:val="000000"/>
          <w:sz w:val="24"/>
        </w:rPr>
        <w:t xml:space="preserve">Teoría cognitiva del aprendizaje multimedia (Mayer, 2021): </w:t>
      </w:r>
      <w:r>
        <w:rPr>
          <w:rFonts w:ascii="Times New Roman" w:hAnsi="Times New Roman" w:eastAsia="Times New Roman"/>
          <w:color w:val="000000"/>
          <w:sz w:val="24"/>
        </w:rPr>
        <w:t>las lecciones animadas aplican los principios de segmentación (pasos cortos que el estudiante avanza a su ritmo), señalización (resaltado del elemento que el subtítulo nombra), modalidad y redundancia controlada (subtítulos siempre disponibles y narración por voz opcional) y contigüidad (el comando aparece junto a su efecto en el grafo).</w:t>
      </w:r>
    </w:p>
    <w:p>
      <w:pPr>
        <w:pStyle w:val="ListBullet"/>
        <w:spacing w:before="0" w:after="0" w:line="480" w:lineRule="auto"/>
      </w:pPr>
      <w:r>
        <w:rPr>
          <w:rFonts w:ascii="Times New Roman" w:hAnsi="Times New Roman" w:eastAsia="Times New Roman"/>
          <w:b/>
          <w:color w:val="000000"/>
          <w:sz w:val="24"/>
        </w:rPr>
        <w:t xml:space="preserve">Teoría de la carga cognitiva (Sweller, 1988): </w:t>
      </w:r>
      <w:r>
        <w:rPr>
          <w:rFonts w:ascii="Times New Roman" w:hAnsi="Times New Roman" w:eastAsia="Times New Roman"/>
          <w:color w:val="000000"/>
          <w:sz w:val="24"/>
        </w:rPr>
        <w:t>cada escena muestra solo las zonas necesarias para el concepto en curso; la terminal simulada traduce la abstracción en cambios visibles inmediatos, reduciendo la carga extrínseca de interpretar una consola sin retroalimentación.</w:t>
      </w:r>
    </w:p>
    <w:p>
      <w:pPr>
        <w:pStyle w:val="ListBullet"/>
        <w:spacing w:before="0" w:after="0" w:line="480" w:lineRule="auto"/>
      </w:pPr>
      <w:r>
        <w:rPr>
          <w:rFonts w:ascii="Times New Roman" w:hAnsi="Times New Roman" w:eastAsia="Times New Roman"/>
          <w:b/>
          <w:color w:val="000000"/>
          <w:sz w:val="24"/>
        </w:rPr>
        <w:t xml:space="preserve">Aprendizaje experiencial (Kolb, 1984) y Diseño Universal para el Aprendizaje (CAST, 2018): </w:t>
      </w:r>
      <w:r>
        <w:rPr>
          <w:rFonts w:ascii="Times New Roman" w:hAnsi="Times New Roman" w:eastAsia="Times New Roman"/>
          <w:color w:val="000000"/>
          <w:sz w:val="24"/>
        </w:rPr>
        <w:t>la secuencia observar → practicar → reflexionar → aplicar se repite por tema (Figura 2), y el contenido se ofrece por múltiples medios de representación (texto, animación, voz), de acción (ratón, teclado, pantalla táctil) y de compromiso (misiones, medallas, progreso).</w:t>
      </w:r>
    </w:p>
    <w:p>
      <w:pPr>
        <w:keepNext/>
        <w:spacing w:before="0" w:after="0" w:line="480" w:lineRule="auto"/>
        <w:jc w:val="left"/>
      </w:pPr>
      <w:r>
        <w:rPr>
          <w:rFonts w:ascii="Times New Roman" w:hAnsi="Times New Roman" w:eastAsia="Times New Roman"/>
          <w:b/>
          <w:i w:val="0"/>
          <w:color w:val="000000"/>
          <w:sz w:val="24"/>
        </w:rPr>
        <w:t>9.3. Temas, Lecciones y Secciones que Conforman el RED</w:t>
      </w:r>
    </w:p>
    <w:p>
      <w:pPr>
        <w:spacing w:before="0" w:after="0" w:line="480" w:lineRule="auto"/>
        <w:ind w:firstLine="720"/>
        <w:jc w:val="left"/>
      </w:pPr>
      <w:r>
        <w:rPr>
          <w:rFonts w:ascii="Times New Roman" w:hAnsi="Times New Roman" w:eastAsia="Times New Roman"/>
          <w:color w:val="000000"/>
          <w:sz w:val="24"/>
        </w:rPr>
        <w:t>El contenido se organiza en ocho temas de dificultad creciente. Cada tema combina, cuando aplica, una lección animada (modelo mental), una práctica interactiva (aplicación) y un mecanismo de evaluación o reconocimiento (verificación):</w:t>
      </w:r>
    </w:p>
    <w:p>
      <w:pPr>
        <w:keepNext/>
        <w:spacing w:before="0" w:after="0" w:line="480" w:lineRule="auto"/>
        <w:jc w:val="left"/>
      </w:pPr>
      <w:r>
        <w:rPr>
          <w:rFonts w:ascii="Times New Roman" w:hAnsi="Times New Roman" w:eastAsia="Times New Roman"/>
          <w:b/>
          <w:color w:val="000000"/>
          <w:sz w:val="24"/>
        </w:rPr>
        <w:t>Tabla 8</w:t>
      </w:r>
    </w:p>
    <w:p>
      <w:pPr>
        <w:keepNext/>
        <w:spacing w:before="0" w:after="0" w:line="480" w:lineRule="auto"/>
      </w:pPr>
      <w:r>
        <w:rPr>
          <w:rFonts w:ascii="Times New Roman" w:hAnsi="Times New Roman" w:eastAsia="Times New Roman"/>
          <w:i/>
          <w:color w:val="000000"/>
          <w:sz w:val="24"/>
        </w:rPr>
        <w:t>Temas, lecciones y secciones del RED GitPlayground.</w:t>
      </w:r>
    </w:p>
    <w:tbl>
      <w:tblPr>
        <w:jc w:val="center"/>
        <w:tblLook w:firstColumn="1" w:firstRow="1" w:lastColumn="0" w:lastRow="0" w:noHBand="0" w:noVBand="1" w:val="04A0"/>
        <w:tblW w:w="9360" w:type="dxa"/>
        <w:tblLayout w:type="fixed"/>
      </w:tblPr>
      <w:tblGrid>
        <w:gridCol w:w="503"/>
        <w:gridCol w:w="1655"/>
        <w:gridCol w:w="1368"/>
        <w:gridCol w:w="2448"/>
        <w:gridCol w:w="1944"/>
        <w:gridCol w:w="1440"/>
      </w:tblGrid>
      <w:tr>
        <w:trPr>
          <w:cantSplit/>
          <w:tblHeader/>
        </w:trPr>
        <w:tc>
          <w:tcPr>
            <w:tcW w:type="dxa" w:w="504"/>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N.º</w:t>
            </w:r>
          </w:p>
        </w:tc>
        <w:tc>
          <w:tcPr>
            <w:tcW w:type="dxa" w:w="1656"/>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Tema</w:t>
            </w:r>
          </w:p>
        </w:tc>
        <w:tc>
          <w:tcPr>
            <w:tcW w:type="dxa" w:w="1368"/>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Lección animada (duración)</w:t>
            </w:r>
          </w:p>
        </w:tc>
        <w:tc>
          <w:tcPr>
            <w:tcW w:type="dxa" w:w="2448"/>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Práctica interactiva</w:t>
            </w:r>
          </w:p>
        </w:tc>
        <w:tc>
          <w:tcPr>
            <w:tcW w:type="dxa" w:w="1944"/>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Evaluación / reconocimiento</w:t>
            </w:r>
          </w:p>
        </w:tc>
        <w:tc>
          <w:tcPr>
            <w:tcW w:type="dxa" w:w="144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Nivel</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Los tres estados de Git</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1 (0:58)</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Simulador Core: init, add, commit, status</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Medallas «Repositorio Iniciado» y «Creador de Historias»</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Básico</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2</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Ramas y HEAD</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2 (0:49)</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Simulador Core: branch, checkout (Misión 1)</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Medalla «Explorador de Ramas»</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Básico</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3</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Merge: fast-forward y de tres vías</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3 (0:46)</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Simulador Core: merge (Misión 1)</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Medalla «Maestro del Merge»</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Intermedio</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4</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Rebase frente a merge</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4 (0:48)</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Conflictos: teoría y flujo rebase --continue</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Pregunta 2 del quiz</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Avanzado</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5</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Remotos: push, fetch y pull</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5 (0:41)</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GitHub &amp; Remotos: push, Pull Request, review, merge, pull</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Medalla «Enlazador de Nube»</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Intermedio</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6</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Anatomía de un conflicto</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Lección 6 (0:46)</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Resolución de Conflictos: editor de tres vías</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Medalla «Domador de Conflictos»</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Avanzado</w:t>
            </w:r>
          </w:p>
        </w:tc>
      </w:tr>
      <w:tr>
        <w:trPr>
          <w:cantSplit/>
        </w:trPr>
        <w:tc>
          <w:tcPr>
            <w:tcW w:type="dxa" w:w="50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7</w:t>
            </w:r>
          </w:p>
        </w:tc>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Recuperación ante errores</w:t>
            </w:r>
          </w:p>
        </w:tc>
        <w:tc>
          <w:tcPr>
            <w:tcW w:type="dxa" w:w="136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 (práctica directa)</w:t>
            </w:r>
          </w:p>
        </w:tc>
        <w:tc>
          <w:tcPr>
            <w:tcW w:type="dxa" w:w="2448"/>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Simulador Core: restore, reset, revert (Misión 2)</w:t>
            </w:r>
          </w:p>
        </w:tc>
        <w:tc>
          <w:tcPr>
            <w:tcW w:type="dxa" w:w="194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Medalla «Viajero del Tiempo»</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Intermedio</w:t>
            </w:r>
          </w:p>
        </w:tc>
      </w:tr>
      <w:tr>
        <w:trPr>
          <w:cantSplit/>
        </w:trPr>
        <w:tc>
          <w:tcPr>
            <w:tcW w:type="dxa" w:w="504"/>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8</w:t>
            </w:r>
          </w:p>
        </w:tc>
        <w:tc>
          <w:tcPr>
            <w:tcW w:type="dxa" w:w="1656"/>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Flujos de trabajo profesionales</w:t>
            </w:r>
          </w:p>
        </w:tc>
        <w:tc>
          <w:tcPr>
            <w:tcW w:type="dxa" w:w="1368"/>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w:t>
            </w:r>
          </w:p>
        </w:tc>
        <w:tc>
          <w:tcPr>
            <w:tcW w:type="dxa" w:w="2448"/>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Desafíos &amp; Quizzes: 5 casos (Gitflow, trunk-based, rebase, revert, detached HEAD)</w:t>
            </w:r>
          </w:p>
        </w:tc>
        <w:tc>
          <w:tcPr>
            <w:tcW w:type="dxa" w:w="1944"/>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Medalla «Sabio de Git»</w:t>
            </w:r>
          </w:p>
        </w:tc>
        <w:tc>
          <w:tcPr>
            <w:tcW w:type="dxa" w:w="144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Avanzado</w:t>
            </w:r>
          </w:p>
        </w:tc>
      </w:tr>
    </w:tbl>
    <w:p>
      <w:pPr>
        <w:spacing w:before="0" w:after="0" w:line="480" w:lineRule="auto"/>
        <w:jc w:val="left"/>
      </w:pPr>
    </w:p>
    <w:p>
      <w:pPr>
        <w:spacing w:before="0" w:after="0" w:line="480" w:lineRule="auto"/>
        <w:ind w:firstLine="720"/>
        <w:jc w:val="left"/>
      </w:pPr>
      <w:r>
        <w:rPr>
          <w:rFonts w:ascii="Times New Roman" w:hAnsi="Times New Roman" w:eastAsia="Times New Roman"/>
          <w:color w:val="000000"/>
          <w:sz w:val="24"/>
        </w:rPr>
        <w:t>Completar las seis lecciones otorga la medalla «Autodidacta Visual». La tutora Nova y el Dashboard (misión narrativa, nivel y ruta de aprendizaje) acompañan transversalmente a todos los temas. Las lecciones se verificaron contra la documentación oficial de Git (Chacon y Straub, 2014).</w:t>
      </w:r>
    </w:p>
    <w:p>
      <w:pPr>
        <w:keepNext/>
        <w:spacing w:before="0" w:after="0" w:line="480" w:lineRule="auto"/>
        <w:jc w:val="left"/>
      </w:pPr>
      <w:r>
        <w:rPr>
          <w:rFonts w:ascii="Times New Roman" w:hAnsi="Times New Roman" w:eastAsia="Times New Roman"/>
          <w:b/>
          <w:i w:val="0"/>
          <w:color w:val="000000"/>
          <w:sz w:val="24"/>
        </w:rPr>
        <w:t>9.4. Tipo de Aprendizaje que se Potencia y Estrategias Utilizadas</w:t>
      </w:r>
    </w:p>
    <w:p>
      <w:pPr>
        <w:spacing w:before="0" w:after="0" w:line="480" w:lineRule="auto"/>
        <w:ind w:firstLine="720"/>
        <w:jc w:val="left"/>
      </w:pPr>
      <w:r>
        <w:rPr>
          <w:rFonts w:ascii="Times New Roman" w:hAnsi="Times New Roman" w:eastAsia="Times New Roman"/>
          <w:color w:val="000000"/>
          <w:sz w:val="24"/>
        </w:rPr>
        <w:t xml:space="preserve">El RED potencia un </w:t>
      </w:r>
      <w:r>
        <w:rPr>
          <w:rFonts w:ascii="Times New Roman" w:hAnsi="Times New Roman" w:eastAsia="Times New Roman"/>
          <w:b/>
          <w:i w:val="0"/>
          <w:color w:val="000000"/>
          <w:sz w:val="24"/>
        </w:rPr>
        <w:t>aprendizaje activo, experiencial y significativo</w:t>
      </w:r>
      <w:r>
        <w:rPr>
          <w:rFonts w:ascii="Times New Roman" w:hAnsi="Times New Roman" w:eastAsia="Times New Roman"/>
          <w:color w:val="000000"/>
          <w:sz w:val="24"/>
        </w:rPr>
        <w:t>, con descubrimiento guiado: el estudiante formula hipótesis («¿qué pasará con HEAD si hago commit aquí?»), las prueba en el simulador y contrasta el resultado con el modelo de la lección. Se privilegia la comprensión del modelo de datos de Git (instantáneas enlazadas en un grafo dirigido) sobre la memorización de comandos. Las estrategias didácticas implementadas se resumen en la Tabla 9.</w:t>
      </w:r>
    </w:p>
    <w:p>
      <w:pPr>
        <w:keepNext/>
        <w:spacing w:before="0" w:after="0" w:line="480" w:lineRule="auto"/>
        <w:jc w:val="left"/>
      </w:pPr>
      <w:r>
        <w:rPr>
          <w:rFonts w:ascii="Times New Roman" w:hAnsi="Times New Roman" w:eastAsia="Times New Roman"/>
          <w:b/>
          <w:color w:val="000000"/>
          <w:sz w:val="24"/>
        </w:rPr>
        <w:t>Tabla 9</w:t>
      </w:r>
    </w:p>
    <w:p>
      <w:pPr>
        <w:keepNext/>
        <w:spacing w:before="0" w:after="0" w:line="480" w:lineRule="auto"/>
      </w:pPr>
      <w:r>
        <w:rPr>
          <w:rFonts w:ascii="Times New Roman" w:hAnsi="Times New Roman" w:eastAsia="Times New Roman"/>
          <w:i/>
          <w:color w:val="000000"/>
          <w:sz w:val="24"/>
        </w:rPr>
        <w:t>Estrategias didácticas y su implementación en el prototipo.</w:t>
      </w:r>
    </w:p>
    <w:tbl>
      <w:tblPr>
        <w:jc w:val="center"/>
        <w:tblLook w:firstColumn="1" w:firstRow="1" w:lastColumn="0" w:lastRow="0" w:noHBand="0" w:noVBand="1" w:val="04A0"/>
        <w:tblW w:w="9360" w:type="dxa"/>
        <w:tblLayout w:type="fixed"/>
      </w:tblPr>
      <w:tblGrid>
        <w:gridCol w:w="2094"/>
        <w:gridCol w:w="4712"/>
        <w:gridCol w:w="2552"/>
      </w:tblGrid>
      <w:tr>
        <w:trPr>
          <w:cantSplit/>
          <w:tblHeader/>
        </w:trPr>
        <w:tc>
          <w:tcPr>
            <w:tcW w:type="dxa" w:w="209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Estrategia</w:t>
            </w:r>
          </w:p>
        </w:tc>
        <w:tc>
          <w:tcPr>
            <w:tcW w:type="dxa" w:w="4713"/>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Implementación en el RED</w:t>
            </w:r>
          </w:p>
        </w:tc>
        <w:tc>
          <w:tcPr>
            <w:tcW w:type="dxa" w:w="2553"/>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Fundamento</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Contextualización narrativa</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Misión «Rescate de código» en el Dashboard: el estudiante asume el rol de ingeniero que ordena el repositorio de su equipo.</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Aprendizaje situado; motivación (CAST, 2018).</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Demostración visual (ejemplos resueltos animados)</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Seis lecciones en las que archivos, commits y ramas se desplazan entre estados; reproducción paso a paso y control de velocidad.</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Mayer (2021): segmentación y señalización.</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Práctica guiada en entorno seguro (sandbox)</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Misiones con pasos requeridos en el Simulador, flujo de colaboración en GitHub &amp; Remotos y editor de conflictos; ningún error afecta archivos reales.</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Kolb (1984); reducción del miedo al error (sección 8).</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Andamiaje socrático graduado</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Tutora Nova con pistas en tres niveles según el estado del repositorio; preguntas sugeridas («¿Qué es HEAD?»).</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Wood et al. (1976); Vygotsky (1978).</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Retroalimentación inmediata</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Mensajes de la terminal en español, actualización instantánea del grafo y explicación tras cada respuesta del quiz.</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Hattie y Timperley (2007).</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Gamificación</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Puntos de experiencia, cinco niveles (de «Novato en Git» a «Maestro Git de la UCV») y nueve medallas vinculadas a logros reales.</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Deterding et al. (2011).</w:t>
            </w:r>
          </w:p>
        </w:tc>
      </w:tr>
      <w:tr>
        <w:trPr>
          <w:cantSplit/>
        </w:trPr>
        <w:tc>
          <w:tcPr>
            <w:tcW w:type="dxa" w:w="209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Aprendizaje basado en casos</w:t>
            </w:r>
          </w:p>
        </w:tc>
        <w:tc>
          <w:tcPr>
            <w:tcW w:type="dxa" w:w="471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Conflicto real en App.jsx entre dos ramas; preguntas del quiz formuladas como situaciones de equipo.</w:t>
            </w:r>
          </w:p>
        </w:tc>
        <w:tc>
          <w:tcPr>
            <w:tcW w:type="dxa" w:w="2553"/>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Díaz-Barriga Arceo y Hernández Rojas (2002).</w:t>
            </w:r>
          </w:p>
        </w:tc>
      </w:tr>
      <w:tr>
        <w:trPr>
          <w:cantSplit/>
        </w:trPr>
        <w:tc>
          <w:tcPr>
            <w:tcW w:type="dxa" w:w="209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Representación múltiple y accesible</w:t>
            </w:r>
          </w:p>
        </w:tc>
        <w:tc>
          <w:tcPr>
            <w:tcW w:type="dxa" w:w="4713"/>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Subtítulos, narración por voz opcional, navegación completa por teclado, temas claro y oscuro, diseño adaptable a teléfonos.</w:t>
            </w:r>
          </w:p>
        </w:tc>
        <w:tc>
          <w:tcPr>
            <w:tcW w:type="dxa" w:w="2553"/>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CAST (2018); World Wide Web Consortium (2023).</w:t>
            </w:r>
          </w:p>
        </w:tc>
      </w:tr>
    </w:tbl>
    <w:p>
      <w:pPr>
        <w:spacing w:before="0" w:after="0" w:line="480" w:lineRule="auto"/>
        <w:jc w:val="left"/>
      </w:pPr>
    </w:p>
    <w:p>
      <w:pPr>
        <w:keepNext/>
        <w:spacing w:before="0" w:after="0" w:line="480" w:lineRule="auto"/>
        <w:jc w:val="left"/>
      </w:pPr>
      <w:r>
        <w:rPr>
          <w:rFonts w:ascii="Times New Roman" w:hAnsi="Times New Roman" w:eastAsia="Times New Roman"/>
          <w:b/>
          <w:color w:val="000000"/>
          <w:sz w:val="24"/>
        </w:rPr>
        <w:t>Figura 2</w:t>
      </w:r>
    </w:p>
    <w:p>
      <w:pPr>
        <w:keepNext/>
        <w:spacing w:before="0" w:after="0" w:line="480" w:lineRule="auto"/>
      </w:pPr>
      <w:r>
        <w:rPr>
          <w:rFonts w:ascii="Times New Roman" w:hAnsi="Times New Roman" w:eastAsia="Times New Roman"/>
          <w:i/>
          <w:color w:val="000000"/>
          <w:sz w:val="24"/>
        </w:rPr>
        <w:t>Secuencia didáctica recomendada: ciclo que se repite en cada tema con dificultad creciente.</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303520" cy="2731313"/>
            <wp:docPr id="2" name="Picture 2"/>
            <wp:cNvGraphicFramePr>
              <a:graphicFrameLocks noChangeAspect="1"/>
            </wp:cNvGraphicFramePr>
            <a:graphic>
              <a:graphicData uri="http://schemas.openxmlformats.org/drawingml/2006/picture">
                <pic:pic>
                  <pic:nvPicPr>
                    <pic:cNvPr id="0" name="ruta_pedagogica.png"/>
                    <pic:cNvPicPr/>
                  </pic:nvPicPr>
                  <pic:blipFill>
                    <a:blip r:embed="rId11"/>
                    <a:stretch>
                      <a:fillRect/>
                    </a:stretch>
                  </pic:blipFill>
                  <pic:spPr>
                    <a:xfrm>
                      <a:off x="0" y="0"/>
                      <a:ext cx="5303520" cy="2731313"/>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center"/>
      </w:pPr>
      <w:r>
        <w:rPr>
          <w:rFonts w:ascii="Times New Roman" w:hAnsi="Times New Roman" w:eastAsia="Times New Roman"/>
          <w:b/>
          <w:i w:val="0"/>
          <w:color w:val="000000"/>
          <w:sz w:val="24"/>
        </w:rPr>
        <w:t>10. Diseño Informático</w:t>
      </w:r>
    </w:p>
    <w:p>
      <w:pPr>
        <w:keepNext/>
        <w:spacing w:before="0" w:after="0" w:line="480" w:lineRule="auto"/>
        <w:jc w:val="left"/>
      </w:pPr>
      <w:r>
        <w:rPr>
          <w:rFonts w:ascii="Times New Roman" w:hAnsi="Times New Roman" w:eastAsia="Times New Roman"/>
          <w:b/>
          <w:i w:val="0"/>
          <w:color w:val="000000"/>
          <w:sz w:val="24"/>
        </w:rPr>
        <w:t>10.1. Metodologías y Técnicas de Prototipado de Software</w:t>
      </w:r>
    </w:p>
    <w:p>
      <w:pPr>
        <w:spacing w:before="0" w:after="0" w:line="480" w:lineRule="auto"/>
        <w:ind w:firstLine="720"/>
        <w:jc w:val="left"/>
      </w:pPr>
      <w:r>
        <w:rPr>
          <w:rFonts w:ascii="Times New Roman" w:hAnsi="Times New Roman" w:eastAsia="Times New Roman"/>
          <w:color w:val="000000"/>
          <w:sz w:val="24"/>
        </w:rPr>
        <w:t xml:space="preserve">El desarrollo siguió un </w:t>
      </w:r>
      <w:r>
        <w:rPr>
          <w:rFonts w:ascii="Times New Roman" w:hAnsi="Times New Roman" w:eastAsia="Times New Roman"/>
          <w:b/>
          <w:i w:val="0"/>
          <w:color w:val="000000"/>
          <w:sz w:val="24"/>
        </w:rPr>
        <w:t>prototipado evolutivo e incremental</w:t>
      </w:r>
      <w:r>
        <w:rPr>
          <w:rFonts w:ascii="Times New Roman" w:hAnsi="Times New Roman" w:eastAsia="Times New Roman"/>
          <w:color w:val="000000"/>
          <w:sz w:val="24"/>
        </w:rPr>
        <w:t xml:space="preserve"> (Sommerville, 2016): el MVP no se descarta, sino que se refina en iteraciones cortas hasta convertirse en el producto. Esta técnica se articuló con la etapa de Desarrollo del modelo ADDIE descrito en la sección 2. Concretamente se aplicaron:</w:t>
      </w:r>
    </w:p>
    <w:p>
      <w:pPr>
        <w:pStyle w:val="ListBullet"/>
        <w:spacing w:before="0" w:after="0" w:line="480" w:lineRule="auto"/>
      </w:pPr>
      <w:r>
        <w:rPr>
          <w:rFonts w:ascii="Times New Roman" w:hAnsi="Times New Roman" w:eastAsia="Times New Roman"/>
          <w:b/>
          <w:color w:val="000000"/>
          <w:sz w:val="24"/>
        </w:rPr>
        <w:t xml:space="preserve">Prototipado horizontal seguido de vertical: </w:t>
      </w:r>
      <w:r>
        <w:rPr>
          <w:rFonts w:ascii="Times New Roman" w:hAnsi="Times New Roman" w:eastAsia="Times New Roman"/>
          <w:color w:val="000000"/>
          <w:sz w:val="24"/>
        </w:rPr>
        <w:t>la primera iteración construyó toda la navegación y las seis secciones con funcionalidad básica (prototipo horizontal); las siguientes profundizaron en funcionalidades completas, como el reproductor de lecciones animadas (prototipos verticales).</w:t>
      </w:r>
    </w:p>
    <w:p>
      <w:pPr>
        <w:pStyle w:val="ListBullet"/>
        <w:spacing w:before="0" w:after="0" w:line="480" w:lineRule="auto"/>
      </w:pPr>
      <w:r>
        <w:rPr>
          <w:rFonts w:ascii="Times New Roman" w:hAnsi="Times New Roman" w:eastAsia="Times New Roman"/>
          <w:b/>
          <w:color w:val="000000"/>
          <w:sz w:val="24"/>
        </w:rPr>
        <w:t xml:space="preserve">Bocetos de baja fidelidad antes del código: </w:t>
      </w:r>
      <w:r>
        <w:rPr>
          <w:rFonts w:ascii="Times New Roman" w:hAnsi="Times New Roman" w:eastAsia="Times New Roman"/>
          <w:color w:val="000000"/>
          <w:sz w:val="24"/>
        </w:rPr>
        <w:t>cada pantalla se esbozó como wireframe con zonas numeradas (sección 10.4) y luego se implementó en alta fidelidad.</w:t>
      </w:r>
    </w:p>
    <w:p>
      <w:pPr>
        <w:pStyle w:val="ListBullet"/>
        <w:spacing w:before="0" w:after="0" w:line="480" w:lineRule="auto"/>
      </w:pPr>
      <w:r>
        <w:rPr>
          <w:rFonts w:ascii="Times New Roman" w:hAnsi="Times New Roman" w:eastAsia="Times New Roman"/>
          <w:b/>
          <w:color w:val="000000"/>
          <w:sz w:val="24"/>
        </w:rPr>
        <w:t xml:space="preserve">Desarrollo por incrementos verificables: </w:t>
      </w:r>
      <w:r>
        <w:rPr>
          <w:rFonts w:ascii="Times New Roman" w:hAnsi="Times New Roman" w:eastAsia="Times New Roman"/>
          <w:color w:val="000000"/>
          <w:sz w:val="24"/>
        </w:rPr>
        <w:t>la tercera iteración se planificó como un plan de trece incrementos («slices»), cada uno con un criterio de aceptación, pruebas y evidencia visual antes de integrarse. Las decisiones tomadas quedaron registradas en el repositorio (carpeta specs/).</w:t>
      </w:r>
    </w:p>
    <w:p>
      <w:pPr>
        <w:pStyle w:val="ListBullet"/>
        <w:spacing w:before="0" w:after="0" w:line="480" w:lineRule="auto"/>
      </w:pPr>
      <w:r>
        <w:rPr>
          <w:rFonts w:ascii="Times New Roman" w:hAnsi="Times New Roman" w:eastAsia="Times New Roman"/>
          <w:b/>
          <w:color w:val="000000"/>
          <w:sz w:val="24"/>
        </w:rPr>
        <w:t xml:space="preserve">Contenido como datos y laboratorio de prototipos: </w:t>
      </w:r>
      <w:r>
        <w:rPr>
          <w:rFonts w:ascii="Times New Roman" w:hAnsi="Times New Roman" w:eastAsia="Times New Roman"/>
          <w:color w:val="000000"/>
          <w:sz w:val="24"/>
        </w:rPr>
        <w:t>las lecciones son archivos de datos validados automáticamente; una página de laboratorio muestra cada lección como guion gráfico (Figura 4) para revisar el contenido sin recorrer la aplicación.</w:t>
      </w:r>
    </w:p>
    <w:p>
      <w:pPr>
        <w:pStyle w:val="ListBullet"/>
        <w:spacing w:before="0" w:after="0" w:line="480" w:lineRule="auto"/>
      </w:pPr>
      <w:r>
        <w:rPr>
          <w:rFonts w:ascii="Times New Roman" w:hAnsi="Times New Roman" w:eastAsia="Times New Roman"/>
          <w:b/>
          <w:color w:val="000000"/>
          <w:sz w:val="24"/>
        </w:rPr>
        <w:t xml:space="preserve">Verificación continua: </w:t>
      </w:r>
      <w:r>
        <w:rPr>
          <w:rFonts w:ascii="Times New Roman" w:hAnsi="Times New Roman" w:eastAsia="Times New Roman"/>
          <w:color w:val="000000"/>
          <w:sz w:val="24"/>
        </w:rPr>
        <w:t>pruebas unitarias, pruebas de extremo a extremo con casos de uso (TUC), auditoría automatizada de accesibilidad y comparación de capturas contra una línea base para detectar regresiones visuales.</w:t>
      </w:r>
    </w:p>
    <w:p>
      <w:pPr>
        <w:keepNext/>
        <w:spacing w:before="0" w:after="0" w:line="480" w:lineRule="auto"/>
        <w:jc w:val="left"/>
      </w:pPr>
      <w:r>
        <w:rPr>
          <w:rFonts w:ascii="Times New Roman" w:hAnsi="Times New Roman" w:eastAsia="Times New Roman"/>
          <w:b/>
          <w:color w:val="000000"/>
          <w:sz w:val="24"/>
        </w:rPr>
        <w:t>Tabla 10</w:t>
      </w:r>
    </w:p>
    <w:p>
      <w:pPr>
        <w:keepNext/>
        <w:spacing w:before="0" w:after="0" w:line="480" w:lineRule="auto"/>
      </w:pPr>
      <w:r>
        <w:rPr>
          <w:rFonts w:ascii="Times New Roman" w:hAnsi="Times New Roman" w:eastAsia="Times New Roman"/>
          <w:i/>
          <w:color w:val="000000"/>
          <w:sz w:val="24"/>
        </w:rPr>
        <w:t>Iteraciones del prototipo evolutivo (fechas tomadas del historial del repositorio Git).</w:t>
      </w:r>
    </w:p>
    <w:tbl>
      <w:tblPr>
        <w:jc w:val="center"/>
        <w:tblLook w:firstColumn="1" w:firstRow="1" w:lastColumn="0" w:lastRow="0" w:noHBand="0" w:noVBand="1" w:val="04A0"/>
        <w:tblW w:w="9360" w:type="dxa"/>
        <w:tblLayout w:type="fixed"/>
      </w:tblPr>
      <w:tblGrid>
        <w:gridCol w:w="1690"/>
        <w:gridCol w:w="1040"/>
        <w:gridCol w:w="3185"/>
        <w:gridCol w:w="1624"/>
        <w:gridCol w:w="1820"/>
      </w:tblGrid>
      <w:tr>
        <w:trPr>
          <w:cantSplit/>
          <w:tblHeader/>
        </w:trPr>
        <w:tc>
          <w:tcPr>
            <w:tcW w:type="dxa" w:w="169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Iteración</w:t>
            </w:r>
          </w:p>
        </w:tc>
        <w:tc>
          <w:tcPr>
            <w:tcW w:type="dxa" w:w="104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Fecha</w:t>
            </w:r>
          </w:p>
        </w:tc>
        <w:tc>
          <w:tcPr>
            <w:tcW w:type="dxa" w:w="318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Alcance</w:t>
            </w:r>
          </w:p>
        </w:tc>
        <w:tc>
          <w:tcPr>
            <w:tcW w:type="dxa" w:w="162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Técnica principal</w:t>
            </w:r>
          </w:p>
        </w:tc>
        <w:tc>
          <w:tcPr>
            <w:tcW w:type="dxa" w:w="182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Evidencia</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 Prototipo horizontal</w:t>
            </w:r>
          </w:p>
        </w:tc>
        <w:tc>
          <w:tcPr>
            <w:tcW w:type="dxa" w:w="10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30/05/2026</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Estructura de navegación y seis secciones: Dashboard, Simulador, GitHub, Conflictos, Quizzes y tutora Nova.</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Prototipado horizontal</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Commits iniciales del repositorio.</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2. Mejoras de UX</w:t>
            </w:r>
          </w:p>
        </w:tc>
        <w:tc>
          <w:tcPr>
            <w:tcW w:type="dxa" w:w="10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19/09/2026</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Primer ciclo de mejoras de experiencia, Videoteca, pasarela opcional de IA para Nova y primera suite de pruebas de interfaz (7 casos).</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Iteración evolutiva</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Suite Playwright 7/7.</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3. Lecciones animadas y base UX</w:t>
            </w:r>
          </w:p>
        </w:tc>
        <w:tc>
          <w:tcPr>
            <w:tcW w:type="dxa" w:w="10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03/10/2026</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Seis lecciones animadas propias, progreso persistente, diseño adaptable a teléfonos y accesibilidad.</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Prototipo vertical por incrementos</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46 pruebas unitarias; 12 casos de interfaz; Pull Request #1.</w:t>
            </w:r>
          </w:p>
        </w:tc>
      </w:tr>
      <w:tr>
        <w:trPr>
          <w:cantSplit/>
        </w:trPr>
        <w:tc>
          <w:tcPr>
            <w:tcW w:type="dxa" w:w="169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4. Ajustes y documentación</w:t>
            </w:r>
          </w:p>
        </w:tc>
        <w:tc>
          <w:tcPr>
            <w:tcW w:type="dxa" w:w="104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10/10/2026</w:t>
            </w:r>
          </w:p>
        </w:tc>
        <w:tc>
          <w:tcPr>
            <w:tcW w:type="dxa" w:w="318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Correcciones del informe de la Fase I y saneamiento del código.</w:t>
            </w:r>
          </w:p>
        </w:tc>
        <w:tc>
          <w:tcPr>
            <w:tcW w:type="dxa" w:w="162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Revisión</w:t>
            </w:r>
          </w:p>
        </w:tc>
        <w:tc>
          <w:tcPr>
            <w:tcW w:type="dxa" w:w="182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Commit de correcciones.</w:t>
            </w:r>
          </w:p>
        </w:tc>
      </w:tr>
    </w:tbl>
    <w:p>
      <w:pPr>
        <w:spacing w:before="0" w:after="0" w:line="480" w:lineRule="auto"/>
        <w:jc w:val="left"/>
      </w:pPr>
    </w:p>
    <w:p>
      <w:pPr>
        <w:keepNext/>
        <w:spacing w:before="0" w:after="0" w:line="480" w:lineRule="auto"/>
        <w:jc w:val="left"/>
      </w:pPr>
      <w:r>
        <w:rPr>
          <w:rFonts w:ascii="Times New Roman" w:hAnsi="Times New Roman" w:eastAsia="Times New Roman"/>
          <w:b/>
          <w:i w:val="0"/>
          <w:color w:val="000000"/>
          <w:sz w:val="24"/>
        </w:rPr>
        <w:t>10.2. Herramientas Seleccionadas para el Desarrollo del Prototipo</w:t>
      </w:r>
    </w:p>
    <w:p>
      <w:pPr>
        <w:spacing w:before="0" w:after="0" w:line="480" w:lineRule="auto"/>
        <w:ind w:firstLine="720"/>
        <w:jc w:val="left"/>
      </w:pPr>
      <w:r>
        <w:rPr>
          <w:rFonts w:ascii="Times New Roman" w:hAnsi="Times New Roman" w:eastAsia="Times New Roman"/>
          <w:color w:val="000000"/>
          <w:sz w:val="24"/>
        </w:rPr>
        <w:t>Se optó por desarrollo con código abierto en lugar de plataformas low-code o no-code. La razón principal es la naturaleza del contenido: simular Git exige un modelo de estados preciso (repositorio, ramas, HEAD, zonas) y animaciones sincronizadas con ese modelo. Además, el código abierto da control fino de la accesibilidad, permite alojamiento gratuito y deja el propio recurso versionado con Git, coherente con lo que enseña.</w:t>
      </w:r>
    </w:p>
    <w:p>
      <w:pPr>
        <w:keepNext/>
        <w:spacing w:before="0" w:after="0" w:line="480" w:lineRule="auto"/>
        <w:jc w:val="left"/>
      </w:pPr>
      <w:r>
        <w:rPr>
          <w:rFonts w:ascii="Times New Roman" w:hAnsi="Times New Roman" w:eastAsia="Times New Roman"/>
          <w:b/>
          <w:color w:val="000000"/>
          <w:sz w:val="24"/>
        </w:rPr>
        <w:t>Tabla 11</w:t>
      </w:r>
    </w:p>
    <w:p>
      <w:pPr>
        <w:keepNext/>
        <w:spacing w:before="0" w:after="0" w:line="480" w:lineRule="auto"/>
      </w:pPr>
      <w:r>
        <w:rPr>
          <w:rFonts w:ascii="Times New Roman" w:hAnsi="Times New Roman" w:eastAsia="Times New Roman"/>
          <w:i/>
          <w:color w:val="000000"/>
          <w:sz w:val="24"/>
        </w:rPr>
        <w:t>Herramientas del prototipo: versión, sitio oficial y justificación de la selección.</w:t>
      </w:r>
    </w:p>
    <w:tbl>
      <w:tblPr>
        <w:jc w:val="center"/>
        <w:tblLook w:firstColumn="1" w:firstRow="1" w:lastColumn="0" w:lastRow="0" w:noHBand="0" w:noVBand="1" w:val="04A0"/>
        <w:tblW w:w="9360" w:type="dxa"/>
        <w:tblLayout w:type="fixed"/>
      </w:tblPr>
      <w:tblGrid>
        <w:gridCol w:w="1655"/>
        <w:gridCol w:w="1440"/>
        <w:gridCol w:w="2664"/>
        <w:gridCol w:w="3600"/>
      </w:tblGrid>
      <w:tr>
        <w:trPr>
          <w:cantSplit/>
          <w:tblHeader/>
        </w:trPr>
        <w:tc>
          <w:tcPr>
            <w:tcW w:type="dxa" w:w="1656"/>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Herramienta</w:t>
            </w:r>
          </w:p>
        </w:tc>
        <w:tc>
          <w:tcPr>
            <w:tcW w:type="dxa" w:w="144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Versión</w:t>
            </w:r>
          </w:p>
        </w:tc>
        <w:tc>
          <w:tcPr>
            <w:tcW w:type="dxa" w:w="2664"/>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Sitio oficial</w:t>
            </w:r>
          </w:p>
        </w:tc>
        <w:tc>
          <w:tcPr>
            <w:tcW w:type="dxa" w:w="360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Justificación de la selección</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React (Meta Platforms, 2026)</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19.2.6</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https://react.dev</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Interfaz por componentes y estado declarativo: cada comando actualiza el modelo y la vista se redibuja sola.</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Vite (VoidZero, 2026a)</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8.0.14</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https://vite.dev</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Servidor de desarrollo con recarga instantánea y empaquetado optimizado para producción.</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JavaScript, CSS y SVG</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Estándar web</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https://developer.mozilla.org</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SVG para el grafo de commits y las lecciones animadas; CSS para transiciones y temas claro/oscuro.</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Lucide React</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1.17.0</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https://lucide.dev</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Iconografía abierta y consistente.</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Web Speech API (Mozilla Developer Network, s.f.)</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Del navegador</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https://developer.mozilla.org/es/docs/Web/API/Web_Speech_API</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Narración opcional en español de los subtítulos, sin grabar audio.</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Vitest (VoidZero, 2026b)</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5.0.3</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https://vitest.dev</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Pruebas unitarias del estado del estudiante y del motor de lecciones.</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Playwright (Microsoft, 2026)</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1.57.0</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https://playwright.dev</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Pruebas de extremo a extremo que simulan a un estudiante usando la interfaz.</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axe-core (Deque Systems, 2026)</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4.13.0</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https://github.com/dequelabs/axe-core</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Auditoría automatizada de accesibilidad frente a WCAG.</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ESLint</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10.4.1</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https://eslint.org</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Análisis estático para mantener el código libre de errores comunes.</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Git y GitHub</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https://github.com</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Control de versiones, revisión mediante Pull Requests e historial de iteraciones.</w:t>
            </w:r>
          </w:p>
        </w:tc>
      </w:tr>
      <w:tr>
        <w:trPr>
          <w:cantSplit/>
        </w:trPr>
        <w:tc>
          <w:tcPr>
            <w:tcW w:type="dxa" w:w="1656"/>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Netlify (Netlify, s.f.)</w:t>
            </w:r>
          </w:p>
        </w:tc>
        <w:tc>
          <w:tcPr>
            <w:tcW w:type="dxa" w:w="14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Plan gratuito</w:t>
            </w:r>
          </w:p>
        </w:tc>
        <w:tc>
          <w:tcPr>
            <w:tcW w:type="dxa" w:w="2664"/>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https://www.netlify.com</w:t>
            </w:r>
          </w:p>
        </w:tc>
        <w:tc>
          <w:tcPr>
            <w:tcW w:type="dxa" w:w="3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Alojamiento estático con publicación automática al integrar cambios en la rama principal.</w:t>
            </w:r>
          </w:p>
        </w:tc>
      </w:tr>
      <w:tr>
        <w:trPr>
          <w:cantSplit/>
        </w:trPr>
        <w:tc>
          <w:tcPr>
            <w:tcW w:type="dxa" w:w="1656"/>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Node.js</w:t>
            </w:r>
          </w:p>
        </w:tc>
        <w:tc>
          <w:tcPr>
            <w:tcW w:type="dxa" w:w="144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26.7.0</w:t>
            </w:r>
          </w:p>
        </w:tc>
        <w:tc>
          <w:tcPr>
            <w:tcW w:type="dxa" w:w="2664"/>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https://nodejs.org</w:t>
            </w:r>
          </w:p>
        </w:tc>
        <w:tc>
          <w:tcPr>
            <w:tcW w:type="dxa" w:w="360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Entorno de ejecución para las herramientas de desarrollo.</w:t>
            </w:r>
          </w:p>
        </w:tc>
      </w:tr>
    </w:tbl>
    <w:p>
      <w:pPr>
        <w:spacing w:before="0" w:after="0" w:line="480" w:lineRule="auto"/>
        <w:jc w:val="left"/>
      </w:pPr>
    </w:p>
    <w:p>
      <w:pPr>
        <w:keepNext/>
        <w:spacing w:before="0" w:after="0" w:line="480" w:lineRule="auto"/>
        <w:jc w:val="left"/>
      </w:pPr>
      <w:r>
        <w:rPr>
          <w:rFonts w:ascii="Times New Roman" w:hAnsi="Times New Roman" w:eastAsia="Times New Roman"/>
          <w:b/>
          <w:color w:val="000000"/>
          <w:sz w:val="24"/>
        </w:rPr>
        <w:t>Tabla 12</w:t>
      </w:r>
    </w:p>
    <w:p>
      <w:pPr>
        <w:keepNext/>
        <w:spacing w:before="0" w:after="0" w:line="480" w:lineRule="auto"/>
      </w:pPr>
      <w:r>
        <w:rPr>
          <w:rFonts w:ascii="Times New Roman" w:hAnsi="Times New Roman" w:eastAsia="Times New Roman"/>
          <w:i/>
          <w:color w:val="000000"/>
          <w:sz w:val="24"/>
        </w:rPr>
        <w:t>Ventajas y limitaciones observadas en las herramientas.</w:t>
      </w:r>
    </w:p>
    <w:tbl>
      <w:tblPr>
        <w:jc w:val="center"/>
        <w:tblLook w:firstColumn="1" w:firstRow="1" w:lastColumn="0" w:lastRow="0" w:noHBand="0" w:noVBand="1" w:val="04A0"/>
        <w:tblW w:w="9360" w:type="dxa"/>
        <w:tblLayout w:type="fixed"/>
      </w:tblPr>
      <w:tblGrid>
        <w:gridCol w:w="1950"/>
        <w:gridCol w:w="3769"/>
        <w:gridCol w:w="3640"/>
      </w:tblGrid>
      <w:tr>
        <w:trPr>
          <w:cantSplit/>
          <w:tblHeader/>
        </w:trPr>
        <w:tc>
          <w:tcPr>
            <w:tcW w:type="dxa" w:w="195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Herramienta</w:t>
            </w:r>
          </w:p>
        </w:tc>
        <w:tc>
          <w:tcPr>
            <w:tcW w:type="dxa" w:w="377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Ventajas observadas</w:t>
            </w:r>
          </w:p>
        </w:tc>
        <w:tc>
          <w:tcPr>
            <w:tcW w:type="dxa" w:w="364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Limitaciones observadas</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React + Vite</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Desarrollo rápido; compilación de producción en menos de medio segundo; paquete final de 102,9 kB comprimidos.</w:t>
            </w:r>
          </w:p>
        </w:tc>
        <w:tc>
          <w:tcPr>
            <w:tcW w:type="dxa" w:w="36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Requiere conocimientos de programación (no apto para docentes sin formación técnica); el estado vive en el navegador.</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SVG y transiciones CSS</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Animaciones fluidas sin bibliotecas adicionales; el texto se mantiene nítido a cualquier tamaño.</w:t>
            </w:r>
          </w:p>
        </w:tc>
        <w:tc>
          <w:tcPr>
            <w:tcW w:type="dxa" w:w="36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La animación de trazos curvos (propiedad d) solo es fluida en navegadores basados en Chromium.</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Web Speech API</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Voz en español sin costo ni archivos de audio.</w:t>
            </w:r>
          </w:p>
        </w:tc>
        <w:tc>
          <w:tcPr>
            <w:tcW w:type="dxa" w:w="36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La calidad y disponibilidad de la voz dependen del sistema operativo del estudiante.</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Vitest, Playwright y axe-core</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Detectaron regresiones reales antes de publicar (p. ej., un menú lateral deformado en escritorio).</w:t>
            </w:r>
          </w:p>
        </w:tc>
        <w:tc>
          <w:tcPr>
            <w:tcW w:type="dxa" w:w="364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La auditoría automática cubre solo una parte de los criterios WCAG; no sustituye la evaluación con usuarios.</w:t>
            </w:r>
          </w:p>
        </w:tc>
      </w:tr>
      <w:tr>
        <w:trPr>
          <w:cantSplit/>
        </w:trPr>
        <w:tc>
          <w:tcPr>
            <w:tcW w:type="dxa" w:w="195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Netlify</w:t>
            </w:r>
          </w:p>
        </w:tc>
        <w:tc>
          <w:tcPr>
            <w:tcW w:type="dxa" w:w="377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Publicación automática y gratuita desde GitHub; HTTPS incluido.</w:t>
            </w:r>
          </w:p>
        </w:tc>
        <w:tc>
          <w:tcPr>
            <w:tcW w:type="dxa" w:w="364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Sin servidor propio en el plan usado: el progreso se guarda solo en el navegador del estudiante.</w:t>
            </w:r>
          </w:p>
        </w:tc>
      </w:tr>
    </w:tbl>
    <w:p>
      <w:pPr>
        <w:spacing w:before="0" w:after="0" w:line="480" w:lineRule="auto"/>
        <w:jc w:val="left"/>
      </w:pPr>
    </w:p>
    <w:p>
      <w:pPr>
        <w:keepNext/>
        <w:spacing w:before="0" w:after="0" w:line="480" w:lineRule="auto"/>
        <w:jc w:val="left"/>
      </w:pPr>
      <w:r>
        <w:rPr>
          <w:rFonts w:ascii="Times New Roman" w:hAnsi="Times New Roman" w:eastAsia="Times New Roman"/>
          <w:b/>
          <w:i w:val="0"/>
          <w:color w:val="000000"/>
          <w:sz w:val="24"/>
        </w:rPr>
        <w:t>10.3. Estructura del Recurso Didáctico: Secuencia de Pantallas, Enlaces e Interacción</w:t>
      </w:r>
    </w:p>
    <w:p>
      <w:pPr>
        <w:spacing w:before="0" w:after="0" w:line="480" w:lineRule="auto"/>
        <w:ind w:firstLine="720"/>
        <w:jc w:val="left"/>
      </w:pPr>
      <w:r>
        <w:rPr>
          <w:rFonts w:ascii="Times New Roman" w:hAnsi="Times New Roman" w:eastAsia="Times New Roman"/>
          <w:color w:val="000000"/>
          <w:sz w:val="24"/>
        </w:rPr>
        <w:t xml:space="preserve">El RED adopta una </w:t>
      </w:r>
      <w:r>
        <w:rPr>
          <w:rFonts w:ascii="Times New Roman" w:hAnsi="Times New Roman" w:eastAsia="Times New Roman"/>
          <w:b/>
          <w:i w:val="0"/>
          <w:color w:val="000000"/>
          <w:sz w:val="24"/>
        </w:rPr>
        <w:t>estructura en red con centro (hub)</w:t>
      </w:r>
      <w:r>
        <w:rPr>
          <w:rFonts w:ascii="Times New Roman" w:hAnsi="Times New Roman" w:eastAsia="Times New Roman"/>
          <w:color w:val="000000"/>
          <w:sz w:val="24"/>
        </w:rPr>
        <w:t>: el Dashboard articula cinco secciones a las que también se accede desde el menú lateral en todo momento. Dentro de cada sección la secuencia es lineal y guiada (pasos de una misión, pasos de una lección, preguntas del quiz), lo que combina libertad de exploración con andamiaje. Los botones «Practicar» de cada lección enlazan con la práctica correspondiente. La Figura 3 muestra el mapa de navegación y la Tabla 13 detalla, por pantalla, los elementos de enlace y de interacción.</w:t>
      </w:r>
    </w:p>
    <w:p>
      <w:pPr>
        <w:keepNext/>
        <w:spacing w:before="0" w:after="0" w:line="480" w:lineRule="auto"/>
        <w:jc w:val="left"/>
      </w:pPr>
      <w:r>
        <w:rPr>
          <w:rFonts w:ascii="Times New Roman" w:hAnsi="Times New Roman" w:eastAsia="Times New Roman"/>
          <w:b/>
          <w:color w:val="000000"/>
          <w:sz w:val="24"/>
        </w:rPr>
        <w:t>Figura 3</w:t>
      </w:r>
    </w:p>
    <w:p>
      <w:pPr>
        <w:keepNext/>
        <w:spacing w:before="0" w:after="0" w:line="480" w:lineRule="auto"/>
      </w:pPr>
      <w:r>
        <w:rPr>
          <w:rFonts w:ascii="Times New Roman" w:hAnsi="Times New Roman" w:eastAsia="Times New Roman"/>
          <w:i/>
          <w:color w:val="000000"/>
          <w:sz w:val="24"/>
        </w:rPr>
        <w:t>Mapa de navegación del RED (diagrama tipo red).</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4563836"/>
            <wp:docPr id="3" name="Picture 3"/>
            <wp:cNvGraphicFramePr>
              <a:graphicFrameLocks noChangeAspect="1"/>
            </wp:cNvGraphicFramePr>
            <a:graphic>
              <a:graphicData uri="http://schemas.openxmlformats.org/drawingml/2006/picture">
                <pic:pic>
                  <pic:nvPicPr>
                    <pic:cNvPr id="0" name="mapa_navegacion.png"/>
                    <pic:cNvPicPr/>
                  </pic:nvPicPr>
                  <pic:blipFill>
                    <a:blip r:embed="rId12"/>
                    <a:stretch>
                      <a:fillRect/>
                    </a:stretch>
                  </pic:blipFill>
                  <pic:spPr>
                    <a:xfrm>
                      <a:off x="0" y="0"/>
                      <a:ext cx="5943600" cy="456383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Tabla 13</w:t>
      </w:r>
    </w:p>
    <w:p>
      <w:pPr>
        <w:keepNext/>
        <w:spacing w:before="0" w:after="0" w:line="480" w:lineRule="auto"/>
      </w:pPr>
      <w:r>
        <w:rPr>
          <w:rFonts w:ascii="Times New Roman" w:hAnsi="Times New Roman" w:eastAsia="Times New Roman"/>
          <w:i/>
          <w:color w:val="000000"/>
          <w:sz w:val="24"/>
        </w:rPr>
        <w:t>Secuencia de pantallas, elementos de enlace y elementos de interacción.</w:t>
      </w:r>
    </w:p>
    <w:tbl>
      <w:tblPr>
        <w:jc w:val="center"/>
        <w:tblLook w:firstColumn="1" w:firstRow="1" w:lastColumn="0" w:lastRow="0" w:noHBand="0" w:noVBand="1" w:val="04A0"/>
        <w:tblW w:w="9360" w:type="dxa"/>
        <w:tblLayout w:type="fixed"/>
      </w:tblPr>
      <w:tblGrid>
        <w:gridCol w:w="1690"/>
        <w:gridCol w:w="1624"/>
        <w:gridCol w:w="2860"/>
        <w:gridCol w:w="3185"/>
      </w:tblGrid>
      <w:tr>
        <w:trPr>
          <w:cantSplit/>
          <w:tblHeader/>
        </w:trPr>
        <w:tc>
          <w:tcPr>
            <w:tcW w:type="dxa" w:w="169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Pantalla</w:t>
            </w:r>
          </w:p>
        </w:tc>
        <w:tc>
          <w:tcPr>
            <w:tcW w:type="dxa" w:w="162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Propósito</w:t>
            </w:r>
          </w:p>
        </w:tc>
        <w:tc>
          <w:tcPr>
            <w:tcW w:type="dxa" w:w="286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Elementos de enlace</w:t>
            </w:r>
          </w:p>
        </w:tc>
        <w:tc>
          <w:tcPr>
            <w:tcW w:type="dxa" w:w="318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Elementos de interacción</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Dashboard</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Contextualizar y orientar.</w:t>
            </w:r>
          </w:p>
        </w:tc>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Botones «Ingresar al Workspace» y «Lecciones animadas»; ruta de módulos.</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Lectura de nivel, XP y medallas.</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Lecciones animadas</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Construir el modelo mental.</w:t>
            </w:r>
          </w:p>
        </w:tc>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Temario de 6 lecciones; botón «Practicar»; enlaces «Para profundizar».</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Reproducir/pausar, pasos, velocidad, subtítulos, voz, teclado (Espacio, flechas).</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Simulador Core</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Aplicar comandos locales.</w:t>
            </w:r>
          </w:p>
        </w:tc>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Selector de misiones; botones «git status» y «git log».</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Terminal con historial, botones de comandos, zonas de archivos y grafo navegable.</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GitHub &amp; Remotos</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Colaborar con un remoto.</w:t>
            </w:r>
          </w:p>
        </w:tc>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Secuencia guiada de la misión.</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Conectar remoto, push, crear PR, responder revisión, fusionar, pull.</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Resolución de Conflictos</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Resolver colisiones.</w:t>
            </w:r>
          </w:p>
        </w:tc>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Pestañas Teoría / Simulador; botón al Simulador.</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Elegir versión actual, entrante o ambas; marcar resuelto; commit o rebase --continue.</w:t>
            </w:r>
          </w:p>
        </w:tc>
      </w:tr>
      <w:tr>
        <w:trPr>
          <w:cantSplit/>
        </w:trPr>
        <w:tc>
          <w:tcPr>
            <w:tcW w:type="dxa" w:w="169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Desafíos &amp; Quizzes</w:t>
            </w:r>
          </w:p>
        </w:tc>
        <w:tc>
          <w:tcPr>
            <w:tcW w:type="dxa" w:w="162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Comprobar comprensión.</w:t>
            </w:r>
          </w:p>
        </w:tc>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Botón «Siguiente»; reinicio del quiz.</w:t>
            </w:r>
          </w:p>
        </w:tc>
        <w:tc>
          <w:tcPr>
            <w:tcW w:type="dxa" w:w="31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Selección de opción con retroalimentación inmediata.</w:t>
            </w:r>
          </w:p>
        </w:tc>
      </w:tr>
      <w:tr>
        <w:trPr>
          <w:cantSplit/>
        </w:trPr>
        <w:tc>
          <w:tcPr>
            <w:tcW w:type="dxa" w:w="169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Tutora Nova (global)</w:t>
            </w:r>
          </w:p>
        </w:tc>
        <w:tc>
          <w:tcPr>
            <w:tcW w:type="dxa" w:w="162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Andamiaje.</w:t>
            </w:r>
          </w:p>
        </w:tc>
        <w:tc>
          <w:tcPr>
            <w:tcW w:type="dxa" w:w="286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Disponible desde todas las pantallas.</w:t>
            </w:r>
          </w:p>
        </w:tc>
        <w:tc>
          <w:tcPr>
            <w:tcW w:type="dxa" w:w="318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Preguntas sugeridas y chat.</w:t>
            </w:r>
          </w:p>
        </w:tc>
      </w:tr>
    </w:tbl>
    <w:p>
      <w:pPr>
        <w:spacing w:before="0" w:after="0" w:line="480" w:lineRule="auto"/>
        <w:jc w:val="left"/>
      </w:pPr>
    </w:p>
    <w:p>
      <w:pPr>
        <w:spacing w:before="0" w:after="0" w:line="480" w:lineRule="auto"/>
        <w:ind w:firstLine="720"/>
        <w:jc w:val="left"/>
      </w:pPr>
      <w:r>
        <w:rPr>
          <w:rFonts w:ascii="Times New Roman" w:hAnsi="Times New Roman" w:eastAsia="Times New Roman"/>
          <w:color w:val="000000"/>
          <w:sz w:val="24"/>
        </w:rPr>
        <w:t xml:space="preserve">A nivel de cada lección, la estructura es un </w:t>
      </w:r>
      <w:r>
        <w:rPr>
          <w:rFonts w:ascii="Times New Roman" w:hAnsi="Times New Roman" w:eastAsia="Times New Roman"/>
          <w:b/>
          <w:i w:val="0"/>
          <w:color w:val="000000"/>
          <w:sz w:val="24"/>
        </w:rPr>
        <w:t>guion gráfico (storyboard)</w:t>
      </w:r>
      <w:r>
        <w:rPr>
          <w:rFonts w:ascii="Times New Roman" w:hAnsi="Times New Roman" w:eastAsia="Times New Roman"/>
          <w:color w:val="000000"/>
          <w:sz w:val="24"/>
        </w:rPr>
        <w:t>: una secuencia de escenas en la que cada paso declara su escena completa y su subtítulo. La Figura 4 presenta el guion gráfico de la Lección 1 tal como lo genera el laboratorio de prototipos.</w:t>
      </w:r>
    </w:p>
    <w:p>
      <w:pPr>
        <w:keepNext/>
        <w:spacing w:before="0" w:after="0" w:line="480" w:lineRule="auto"/>
        <w:jc w:val="left"/>
      </w:pPr>
      <w:r>
        <w:rPr>
          <w:rFonts w:ascii="Times New Roman" w:hAnsi="Times New Roman" w:eastAsia="Times New Roman"/>
          <w:b/>
          <w:color w:val="000000"/>
          <w:sz w:val="24"/>
        </w:rPr>
        <w:t>Figura 4</w:t>
      </w:r>
    </w:p>
    <w:p>
      <w:pPr>
        <w:keepNext/>
        <w:spacing w:before="0" w:after="0" w:line="480" w:lineRule="auto"/>
      </w:pPr>
      <w:r>
        <w:rPr>
          <w:rFonts w:ascii="Times New Roman" w:hAnsi="Times New Roman" w:eastAsia="Times New Roman"/>
          <w:i/>
          <w:color w:val="000000"/>
          <w:sz w:val="24"/>
        </w:rPr>
        <w:t>Guion gráfico de la Lección 1 «Los tres estados de Git»: diez escenas con su comando y subtítulo.</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120640" cy="10806830"/>
            <wp:docPr id="4" name="Picture 4"/>
            <wp:cNvGraphicFramePr>
              <a:graphicFrameLocks noChangeAspect="1"/>
            </wp:cNvGraphicFramePr>
            <a:graphic>
              <a:graphicData uri="http://schemas.openxmlformats.org/drawingml/2006/picture">
                <pic:pic>
                  <pic:nvPicPr>
                    <pic:cNvPr id="0" name="hoja_light.png"/>
                    <pic:cNvPicPr/>
                  </pic:nvPicPr>
                  <pic:blipFill>
                    <a:blip r:embed="rId13"/>
                    <a:stretch>
                      <a:fillRect/>
                    </a:stretch>
                  </pic:blipFill>
                  <pic:spPr>
                    <a:xfrm>
                      <a:off x="0" y="0"/>
                      <a:ext cx="5120640" cy="10806830"/>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i w:val="0"/>
          <w:color w:val="000000"/>
          <w:sz w:val="24"/>
        </w:rPr>
        <w:t>10.4. Bocetos Generales de las Pantallas</w:t>
      </w:r>
    </w:p>
    <w:p>
      <w:pPr>
        <w:spacing w:before="0" w:after="0" w:line="480" w:lineRule="auto"/>
        <w:ind w:firstLine="720"/>
        <w:jc w:val="left"/>
      </w:pPr>
      <w:r>
        <w:rPr>
          <w:rFonts w:ascii="Times New Roman" w:hAnsi="Times New Roman" w:eastAsia="Times New Roman"/>
          <w:color w:val="000000"/>
          <w:sz w:val="24"/>
        </w:rPr>
        <w:t>Los bocetos (wireframes de baja fidelidad) definen la organización del contenido de cada vista antes de su implementación. Todas las pantallas de escritorio comparten un marco común: (A) logotipo, (B) perfil con nivel, XP y medallas, (C) menú de seis secciones, (D) progreso general, cambio de tema y reinicio, y la burbuja flotante de la tutora Nova. Las zonas numeradas de cada boceto corresponden al contenido propio de la pantalla. En teléfonos, el menú lateral se convierte en un menú desplegable (Figura 11).</w:t>
      </w:r>
    </w:p>
    <w:p>
      <w:pPr>
        <w:keepNext/>
        <w:spacing w:before="0" w:after="0" w:line="480" w:lineRule="auto"/>
        <w:jc w:val="left"/>
      </w:pPr>
      <w:r>
        <w:rPr>
          <w:rFonts w:ascii="Times New Roman" w:hAnsi="Times New Roman" w:eastAsia="Times New Roman"/>
          <w:b/>
          <w:color w:val="000000"/>
          <w:sz w:val="24"/>
        </w:rPr>
        <w:t>Figura 5</w:t>
      </w:r>
    </w:p>
    <w:p>
      <w:pPr>
        <w:keepNext/>
        <w:spacing w:before="0" w:after="0" w:line="480" w:lineRule="auto"/>
      </w:pPr>
      <w:r>
        <w:rPr>
          <w:rFonts w:ascii="Times New Roman" w:hAnsi="Times New Roman" w:eastAsia="Times New Roman"/>
          <w:i/>
          <w:color w:val="000000"/>
          <w:sz w:val="24"/>
        </w:rPr>
        <w:t>Boceto del Dashboard: misión narrativa, indicadores, ruta de aprendizaje y logros.</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5" name="Picture 5"/>
            <wp:cNvGraphicFramePr>
              <a:graphicFrameLocks noChangeAspect="1"/>
            </wp:cNvGraphicFramePr>
            <a:graphic>
              <a:graphicData uri="http://schemas.openxmlformats.org/drawingml/2006/picture">
                <pic:pic>
                  <pic:nvPicPr>
                    <pic:cNvPr id="0" name="boceto_dashboard.png"/>
                    <pic:cNvPicPr/>
                  </pic:nvPicPr>
                  <pic:blipFill>
                    <a:blip r:embed="rId14"/>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Figura 6</w:t>
      </w:r>
    </w:p>
    <w:p>
      <w:pPr>
        <w:keepNext/>
        <w:spacing w:before="0" w:after="0" w:line="480" w:lineRule="auto"/>
      </w:pPr>
      <w:r>
        <w:rPr>
          <w:rFonts w:ascii="Times New Roman" w:hAnsi="Times New Roman" w:eastAsia="Times New Roman"/>
          <w:i/>
          <w:color w:val="000000"/>
          <w:sz w:val="24"/>
        </w:rPr>
        <w:t>Boceto de Lecciones animadas: escenario, terminal y subtítulo, controles, ficha y temario.</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6" name="Picture 6"/>
            <wp:cNvGraphicFramePr>
              <a:graphicFrameLocks noChangeAspect="1"/>
            </wp:cNvGraphicFramePr>
            <a:graphic>
              <a:graphicData uri="http://schemas.openxmlformats.org/drawingml/2006/picture">
                <pic:pic>
                  <pic:nvPicPr>
                    <pic:cNvPr id="0" name="boceto_lecciones.png"/>
                    <pic:cNvPicPr/>
                  </pic:nvPicPr>
                  <pic:blipFill>
                    <a:blip r:embed="rId15"/>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Figura 7</w:t>
      </w:r>
    </w:p>
    <w:p>
      <w:pPr>
        <w:keepNext/>
        <w:spacing w:before="0" w:after="0" w:line="480" w:lineRule="auto"/>
      </w:pPr>
      <w:r>
        <w:rPr>
          <w:rFonts w:ascii="Times New Roman" w:hAnsi="Times New Roman" w:eastAsia="Times New Roman"/>
          <w:i/>
          <w:color w:val="000000"/>
          <w:sz w:val="24"/>
        </w:rPr>
        <w:t>Boceto del Simulador Core: misión, tres zonas de estado, grafo vivo y terminal.</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7" name="Picture 7"/>
            <wp:cNvGraphicFramePr>
              <a:graphicFrameLocks noChangeAspect="1"/>
            </wp:cNvGraphicFramePr>
            <a:graphic>
              <a:graphicData uri="http://schemas.openxmlformats.org/drawingml/2006/picture">
                <pic:pic>
                  <pic:nvPicPr>
                    <pic:cNvPr id="0" name="boceto_simulador.png"/>
                    <pic:cNvPicPr/>
                  </pic:nvPicPr>
                  <pic:blipFill>
                    <a:blip r:embed="rId16"/>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Figura 8</w:t>
      </w:r>
    </w:p>
    <w:p>
      <w:pPr>
        <w:keepNext/>
        <w:spacing w:before="0" w:after="0" w:line="480" w:lineRule="auto"/>
      </w:pPr>
      <w:r>
        <w:rPr>
          <w:rFonts w:ascii="Times New Roman" w:hAnsi="Times New Roman" w:eastAsia="Times New Roman"/>
          <w:i/>
          <w:color w:val="000000"/>
          <w:sz w:val="24"/>
        </w:rPr>
        <w:t>Boceto de GitHub &amp; Remotos: repositorio local frente a servidor remoto simulado.</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8" name="Picture 8"/>
            <wp:cNvGraphicFramePr>
              <a:graphicFrameLocks noChangeAspect="1"/>
            </wp:cNvGraphicFramePr>
            <a:graphic>
              <a:graphicData uri="http://schemas.openxmlformats.org/drawingml/2006/picture">
                <pic:pic>
                  <pic:nvPicPr>
                    <pic:cNvPr id="0" name="boceto_github.png"/>
                    <pic:cNvPicPr/>
                  </pic:nvPicPr>
                  <pic:blipFill>
                    <a:blip r:embed="rId17"/>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Figura 9</w:t>
      </w:r>
    </w:p>
    <w:p>
      <w:pPr>
        <w:keepNext/>
        <w:spacing w:before="0" w:after="0" w:line="480" w:lineRule="auto"/>
      </w:pPr>
      <w:r>
        <w:rPr>
          <w:rFonts w:ascii="Times New Roman" w:hAnsi="Times New Roman" w:eastAsia="Times New Roman"/>
          <w:i/>
          <w:color w:val="000000"/>
          <w:sz w:val="24"/>
        </w:rPr>
        <w:t>Boceto de Resolución de Conflictos: versiones en paralelo y vista previa con marcadores.</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9" name="Picture 9"/>
            <wp:cNvGraphicFramePr>
              <a:graphicFrameLocks noChangeAspect="1"/>
            </wp:cNvGraphicFramePr>
            <a:graphic>
              <a:graphicData uri="http://schemas.openxmlformats.org/drawingml/2006/picture">
                <pic:pic>
                  <pic:nvPicPr>
                    <pic:cNvPr id="0" name="boceto_conflictos.png"/>
                    <pic:cNvPicPr/>
                  </pic:nvPicPr>
                  <pic:blipFill>
                    <a:blip r:embed="rId18"/>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Figura 10</w:t>
      </w:r>
    </w:p>
    <w:p>
      <w:pPr>
        <w:keepNext/>
        <w:spacing w:before="0" w:after="0" w:line="480" w:lineRule="auto"/>
      </w:pPr>
      <w:r>
        <w:rPr>
          <w:rFonts w:ascii="Times New Roman" w:hAnsi="Times New Roman" w:eastAsia="Times New Roman"/>
          <w:i/>
          <w:color w:val="000000"/>
          <w:sz w:val="24"/>
        </w:rPr>
        <w:t>Boceto de Desafíos &amp; Quizzes: enunciado, opciones y retroalimentación.</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10" name="Picture 10"/>
            <wp:cNvGraphicFramePr>
              <a:graphicFrameLocks noChangeAspect="1"/>
            </wp:cNvGraphicFramePr>
            <a:graphic>
              <a:graphicData uri="http://schemas.openxmlformats.org/drawingml/2006/picture">
                <pic:pic>
                  <pic:nvPicPr>
                    <pic:cNvPr id="0" name="boceto_quizzes.png"/>
                    <pic:cNvPicPr/>
                  </pic:nvPicPr>
                  <pic:blipFill>
                    <a:blip r:embed="rId19"/>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keepNext/>
        <w:spacing w:before="0" w:after="0" w:line="480" w:lineRule="auto"/>
        <w:jc w:val="left"/>
      </w:pPr>
      <w:r>
        <w:rPr>
          <w:rFonts w:ascii="Times New Roman" w:hAnsi="Times New Roman" w:eastAsia="Times New Roman"/>
          <w:b/>
          <w:color w:val="000000"/>
          <w:sz w:val="24"/>
        </w:rPr>
        <w:t>Figura 11</w:t>
      </w:r>
    </w:p>
    <w:p>
      <w:pPr>
        <w:keepNext/>
        <w:spacing w:before="0" w:after="0" w:line="480" w:lineRule="auto"/>
      </w:pPr>
      <w:r>
        <w:rPr>
          <w:rFonts w:ascii="Times New Roman" w:hAnsi="Times New Roman" w:eastAsia="Times New Roman"/>
          <w:i/>
          <w:color w:val="000000"/>
          <w:sz w:val="24"/>
        </w:rPr>
        <w:t>Boceto en teléfono (375 px): contenido en una columna y menú desplegable con foco atrapado.</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3853266"/>
            <wp:docPr id="11" name="Picture 11"/>
            <wp:cNvGraphicFramePr>
              <a:graphicFrameLocks noChangeAspect="1"/>
            </wp:cNvGraphicFramePr>
            <a:graphic>
              <a:graphicData uri="http://schemas.openxmlformats.org/drawingml/2006/picture">
                <pic:pic>
                  <pic:nvPicPr>
                    <pic:cNvPr id="0" name="boceto_movil.png"/>
                    <pic:cNvPicPr/>
                  </pic:nvPicPr>
                  <pic:blipFill>
                    <a:blip r:embed="rId20"/>
                    <a:stretch>
                      <a:fillRect/>
                    </a:stretch>
                  </pic:blipFill>
                  <pic:spPr>
                    <a:xfrm>
                      <a:off x="0" y="0"/>
                      <a:ext cx="5943600" cy="3853266"/>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Elaboración propia.</w:t>
      </w:r>
    </w:p>
    <w:p>
      <w:pPr>
        <w:spacing w:before="0" w:after="0" w:line="480" w:lineRule="auto"/>
        <w:ind w:firstLine="720"/>
        <w:jc w:val="left"/>
      </w:pPr>
      <w:r>
        <w:rPr>
          <w:rFonts w:ascii="Times New Roman" w:hAnsi="Times New Roman" w:eastAsia="Times New Roman"/>
          <w:color w:val="000000"/>
          <w:sz w:val="24"/>
        </w:rPr>
        <w:t>Las Figuras 12 a 15 muestran las mismas vistas implementadas en alta fidelidad en el prototipo publicado (tema claro):</w:t>
      </w:r>
    </w:p>
    <w:p>
      <w:pPr>
        <w:keepNext/>
        <w:spacing w:before="0" w:after="0" w:line="480" w:lineRule="auto"/>
        <w:jc w:val="left"/>
      </w:pPr>
      <w:r>
        <w:rPr>
          <w:rFonts w:ascii="Times New Roman" w:hAnsi="Times New Roman" w:eastAsia="Times New Roman"/>
          <w:b/>
          <w:color w:val="000000"/>
          <w:sz w:val="24"/>
        </w:rPr>
        <w:t>Figura 12</w:t>
      </w:r>
    </w:p>
    <w:p>
      <w:pPr>
        <w:keepNext/>
        <w:spacing w:before="0" w:after="0" w:line="480" w:lineRule="auto"/>
      </w:pPr>
      <w:r>
        <w:rPr>
          <w:rFonts w:ascii="Times New Roman" w:hAnsi="Times New Roman" w:eastAsia="Times New Roman"/>
          <w:i/>
          <w:color w:val="000000"/>
          <w:sz w:val="24"/>
        </w:rPr>
        <w:t>Prototipo: Dashboard.</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captura_01_dashboard.png"/>
                    <pic:cNvPicPr/>
                  </pic:nvPicPr>
                  <pic:blipFill>
                    <a:blip r:embed="rId21"/>
                    <a:stretch>
                      <a:fillRect/>
                    </a:stretch>
                  </pic:blipFill>
                  <pic:spPr>
                    <a:xfrm>
                      <a:off x="0" y="0"/>
                      <a:ext cx="5486400" cy="3429000"/>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Captura del prototipo publicado en https://git-playground-ucv.netlify.app..</w:t>
      </w:r>
    </w:p>
    <w:p>
      <w:pPr>
        <w:keepNext/>
        <w:spacing w:before="0" w:after="0" w:line="480" w:lineRule="auto"/>
        <w:jc w:val="left"/>
      </w:pPr>
      <w:r>
        <w:rPr>
          <w:rFonts w:ascii="Times New Roman" w:hAnsi="Times New Roman" w:eastAsia="Times New Roman"/>
          <w:b/>
          <w:color w:val="000000"/>
          <w:sz w:val="24"/>
        </w:rPr>
        <w:t>Figura 13</w:t>
      </w:r>
    </w:p>
    <w:p>
      <w:pPr>
        <w:keepNext/>
        <w:spacing w:before="0" w:after="0" w:line="480" w:lineRule="auto"/>
      </w:pPr>
      <w:r>
        <w:rPr>
          <w:rFonts w:ascii="Times New Roman" w:hAnsi="Times New Roman" w:eastAsia="Times New Roman"/>
          <w:i/>
          <w:color w:val="000000"/>
          <w:sz w:val="24"/>
        </w:rPr>
        <w:t>Prototipo: Lecciones animadas con el póster de la Lección 1.</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captura_02_lecciones.png"/>
                    <pic:cNvPicPr/>
                  </pic:nvPicPr>
                  <pic:blipFill>
                    <a:blip r:embed="rId22"/>
                    <a:stretch>
                      <a:fillRect/>
                    </a:stretch>
                  </pic:blipFill>
                  <pic:spPr>
                    <a:xfrm>
                      <a:off x="0" y="0"/>
                      <a:ext cx="5486400" cy="3429000"/>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Captura del prototipo publicado en https://git-playground-ucv.netlify.app..</w:t>
      </w:r>
    </w:p>
    <w:p>
      <w:pPr>
        <w:keepNext/>
        <w:spacing w:before="0" w:after="0" w:line="480" w:lineRule="auto"/>
        <w:jc w:val="left"/>
      </w:pPr>
      <w:r>
        <w:rPr>
          <w:rFonts w:ascii="Times New Roman" w:hAnsi="Times New Roman" w:eastAsia="Times New Roman"/>
          <w:b/>
          <w:color w:val="000000"/>
          <w:sz w:val="24"/>
        </w:rPr>
        <w:t>Figura 14</w:t>
      </w:r>
    </w:p>
    <w:p>
      <w:pPr>
        <w:keepNext/>
        <w:spacing w:before="0" w:after="0" w:line="480" w:lineRule="auto"/>
      </w:pPr>
      <w:r>
        <w:rPr>
          <w:rFonts w:ascii="Times New Roman" w:hAnsi="Times New Roman" w:eastAsia="Times New Roman"/>
          <w:i/>
          <w:color w:val="000000"/>
          <w:sz w:val="24"/>
        </w:rPr>
        <w:t>Prototipo: Simulador Core con la Misión 1.</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captura_03_simulador.png"/>
                    <pic:cNvPicPr/>
                  </pic:nvPicPr>
                  <pic:blipFill>
                    <a:blip r:embed="rId23"/>
                    <a:stretch>
                      <a:fillRect/>
                    </a:stretch>
                  </pic:blipFill>
                  <pic:spPr>
                    <a:xfrm>
                      <a:off x="0" y="0"/>
                      <a:ext cx="5486400" cy="3429000"/>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Captura del prototipo publicado en https://git-playground-ucv.netlify.app..</w:t>
      </w:r>
    </w:p>
    <w:p>
      <w:pPr>
        <w:keepNext/>
        <w:spacing w:before="0" w:after="0" w:line="480" w:lineRule="auto"/>
        <w:jc w:val="left"/>
      </w:pPr>
      <w:r>
        <w:rPr>
          <w:rFonts w:ascii="Times New Roman" w:hAnsi="Times New Roman" w:eastAsia="Times New Roman"/>
          <w:b/>
          <w:color w:val="000000"/>
          <w:sz w:val="24"/>
        </w:rPr>
        <w:t>Figura 15</w:t>
      </w:r>
    </w:p>
    <w:p>
      <w:pPr>
        <w:keepNext/>
        <w:spacing w:before="0" w:after="0" w:line="480" w:lineRule="auto"/>
      </w:pPr>
      <w:r>
        <w:rPr>
          <w:rFonts w:ascii="Times New Roman" w:hAnsi="Times New Roman" w:eastAsia="Times New Roman"/>
          <w:i/>
          <w:color w:val="000000"/>
          <w:sz w:val="24"/>
        </w:rPr>
        <w:t>Prototipo: editor de resolución de conflictos.</w:t>
      </w:r>
    </w:p>
    <w:p>
      <w:pPr>
        <w:keepNext/>
        <w:spacing w:before="0"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captura_05b_conflicto_editor.png"/>
                    <pic:cNvPicPr/>
                  </pic:nvPicPr>
                  <pic:blipFill>
                    <a:blip r:embed="rId24"/>
                    <a:stretch>
                      <a:fillRect/>
                    </a:stretch>
                  </pic:blipFill>
                  <pic:spPr>
                    <a:xfrm>
                      <a:off x="0" y="0"/>
                      <a:ext cx="5486400" cy="3429000"/>
                    </a:xfrm>
                    <a:prstGeom prst="rect"/>
                  </pic:spPr>
                </pic:pic>
              </a:graphicData>
            </a:graphic>
          </wp:inline>
        </w:drawing>
      </w:r>
    </w:p>
    <w:p>
      <w:pPr>
        <w:spacing w:before="0" w:after="0" w:line="480" w:lineRule="auto"/>
      </w:pPr>
      <w:r>
        <w:rPr>
          <w:rFonts w:ascii="Times New Roman" w:hAnsi="Times New Roman" w:eastAsia="Times New Roman"/>
          <w:i/>
          <w:color w:val="000000"/>
          <w:sz w:val="24"/>
        </w:rPr>
        <w:t>Nota.</w:t>
      </w:r>
      <w:r>
        <w:rPr>
          <w:rFonts w:ascii="Times New Roman" w:hAnsi="Times New Roman" w:eastAsia="Times New Roman"/>
          <w:color w:val="000000"/>
          <w:sz w:val="24"/>
        </w:rPr>
        <w:t xml:space="preserve"> Captura del prototipo publicado en https://git-playground-ucv.netlify.app..</w:t>
      </w:r>
    </w:p>
    <w:p>
      <w:pPr>
        <w:keepNext/>
        <w:spacing w:before="0" w:after="0" w:line="480" w:lineRule="auto"/>
        <w:jc w:val="center"/>
      </w:pPr>
      <w:r>
        <w:rPr>
          <w:rFonts w:ascii="Times New Roman" w:hAnsi="Times New Roman" w:eastAsia="Times New Roman"/>
          <w:b/>
          <w:i w:val="0"/>
          <w:color w:val="000000"/>
          <w:sz w:val="24"/>
        </w:rPr>
        <w:t>11. Validación y Correspondencia con el Prototipo Funcional</w:t>
      </w:r>
    </w:p>
    <w:p>
      <w:pPr>
        <w:spacing w:before="0" w:after="0" w:line="480" w:lineRule="auto"/>
        <w:ind w:firstLine="720"/>
        <w:jc w:val="left"/>
      </w:pPr>
      <w:r>
        <w:rPr>
          <w:rFonts w:ascii="Times New Roman" w:hAnsi="Times New Roman" w:eastAsia="Times New Roman"/>
          <w:color w:val="000000"/>
          <w:sz w:val="24"/>
        </w:rPr>
        <w:t>El diseño de las Fases I y II se contrastó con el prototipo funcional. El código, implementado en React 19 y Vite con arquitectura del lado del cliente (sin servidor propio), permite verificar la factibilidad técnica de los requerimientos. La Tabla 14 resume la trazabilidad entre requerimientos y componentes.</w:t>
      </w:r>
    </w:p>
    <w:p>
      <w:pPr>
        <w:keepNext/>
        <w:spacing w:before="0" w:after="0" w:line="480" w:lineRule="auto"/>
        <w:jc w:val="left"/>
      </w:pPr>
      <w:r>
        <w:rPr>
          <w:rFonts w:ascii="Times New Roman" w:hAnsi="Times New Roman" w:eastAsia="Times New Roman"/>
          <w:b/>
          <w:color w:val="000000"/>
          <w:sz w:val="24"/>
        </w:rPr>
        <w:t>Tabla 14</w:t>
      </w:r>
    </w:p>
    <w:p>
      <w:pPr>
        <w:keepNext/>
        <w:spacing w:before="0" w:after="0" w:line="480" w:lineRule="auto"/>
      </w:pPr>
      <w:r>
        <w:rPr>
          <w:rFonts w:ascii="Times New Roman" w:hAnsi="Times New Roman" w:eastAsia="Times New Roman"/>
          <w:i/>
          <w:color w:val="000000"/>
          <w:sz w:val="24"/>
        </w:rPr>
        <w:t>Matriz de trazabilidad entre requerimientos de diseño y el prototipo.</w:t>
      </w:r>
    </w:p>
    <w:tbl>
      <w:tblPr>
        <w:jc w:val="center"/>
        <w:tblLook w:firstColumn="1" w:firstRow="1" w:lastColumn="0" w:lastRow="0" w:noHBand="0" w:noVBand="1" w:val="04A0"/>
        <w:tblW w:w="9360" w:type="dxa"/>
        <w:tblLayout w:type="fixed"/>
      </w:tblPr>
      <w:tblGrid>
        <w:gridCol w:w="1950"/>
        <w:gridCol w:w="1884"/>
        <w:gridCol w:w="3315"/>
        <w:gridCol w:w="2210"/>
      </w:tblGrid>
      <w:tr>
        <w:trPr>
          <w:cantSplit/>
          <w:tblHeader/>
        </w:trPr>
        <w:tc>
          <w:tcPr>
            <w:tcW w:type="dxa" w:w="195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Requisito / módulo</w:t>
            </w:r>
          </w:p>
        </w:tc>
        <w:tc>
          <w:tcPr>
            <w:tcW w:type="dxa" w:w="188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Componente en el código</w:t>
            </w:r>
          </w:p>
        </w:tc>
        <w:tc>
          <w:tcPr>
            <w:tcW w:type="dxa" w:w="3315"/>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Funcionalidad verificada</w:t>
            </w:r>
          </w:p>
        </w:tc>
        <w:tc>
          <w:tcPr>
            <w:tcW w:type="dxa" w:w="221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Estado y evidencia</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Módulo 1: estados y grafo vivo</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VisualSimulator.jsx</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Terminal con init, status, add, commit, branch, checkout, merge, log, restore, reset y revert; tres zonas de estado; grafo SVG navegable con teclado.</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 misiones 1 y 2 completables (casos de prueba TUC-UX-03).</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Resolución de conflictos (Módulo 3, subconjunto MVP)</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ConflictSolver.jsx</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Colisión línea a línea con marcadores; resolución en flujos merge y rebase (--continue).</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 (TUC-UX-05).</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Colaboración con remotos (Módulo 2, versión simulada)</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GitHubHub.jsx</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Push, Pull Request, revisión de código, fusión y pull, sin conexión real con GitHub.</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 en versión simulada (TUC-UX-06). La integración OAuth queda para una fase posterior.</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Tutoría socrática Nova</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AITutor.jsx; shonnyProxyService.js</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Pistas basadas en el estado de Git con reglas locales; pasarela opcional a un modelo de lenguaje.</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 (TUC-UX-04); por defecto funciona sin servicios externos.</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Lecciones animadas</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VideoLearning.jsx; LessonPlayer.jsx; lessons/</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Seis lecciones con controles, subtítulos, voz opcional y teclado.</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 (TUC-UX-02 y TUC-UX-10); contenido validado por pruebas automáticas.</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Gamificación y progreso</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Dashboard.jsx; learnerStore.js; badges.js</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XP, cinco niveles, nueve medallas; progreso guardado en el navegador y reiniciable.</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 (TUC-UX-08).</w:t>
            </w:r>
          </w:p>
        </w:tc>
      </w:tr>
      <w:tr>
        <w:trPr>
          <w:cantSplit/>
        </w:trPr>
        <w:tc>
          <w:tcPr>
            <w:tcW w:type="dxa" w:w="195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Evaluación formativa</w:t>
            </w:r>
          </w:p>
        </w:tc>
        <w:tc>
          <w:tcPr>
            <w:tcW w:type="dxa" w:w="188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Quizzes.jsx</w:t>
            </w:r>
          </w:p>
        </w:tc>
        <w:tc>
          <w:tcPr>
            <w:tcW w:type="dxa" w:w="3315"/>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Cinco preguntas con retroalimentación inmediata.</w:t>
            </w:r>
          </w:p>
        </w:tc>
        <w:tc>
          <w:tcPr>
            <w:tcW w:type="dxa" w:w="22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Implementado.</w:t>
            </w:r>
          </w:p>
        </w:tc>
      </w:tr>
      <w:tr>
        <w:trPr>
          <w:cantSplit/>
        </w:trPr>
        <w:tc>
          <w:tcPr>
            <w:tcW w:type="dxa" w:w="195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Accesibilidad (meta WCAG 2.2 AA y DUA)</w:t>
            </w:r>
          </w:p>
        </w:tc>
        <w:tc>
          <w:tcPr>
            <w:tcW w:type="dxa" w:w="188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index.css; App.jsx; Sidebar.jsx</w:t>
            </w:r>
          </w:p>
        </w:tc>
        <w:tc>
          <w:tcPr>
            <w:tcW w:type="dxa" w:w="3315"/>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Contraste ≥ 4,5:1, enlace de salto, foco visible, menú móvil con foco atrapado, movimiento reducido.</w:t>
            </w:r>
          </w:p>
        </w:tc>
        <w:tc>
          <w:tcPr>
            <w:tcW w:type="dxa" w:w="221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Auditoría automatizada sin violaciones graves (TUC-UX-11). Falta evaluación manual y con usuarios.</w:t>
            </w:r>
          </w:p>
        </w:tc>
      </w:tr>
    </w:tbl>
    <w:p>
      <w:pPr>
        <w:spacing w:before="0" w:after="0" w:line="480" w:lineRule="auto"/>
        <w:jc w:val="left"/>
      </w:pPr>
    </w:p>
    <w:p>
      <w:pPr>
        <w:keepNext/>
        <w:spacing w:before="0" w:after="0" w:line="480" w:lineRule="auto"/>
        <w:jc w:val="left"/>
      </w:pPr>
      <w:r>
        <w:rPr>
          <w:rFonts w:ascii="Times New Roman" w:hAnsi="Times New Roman" w:eastAsia="Times New Roman"/>
          <w:b/>
          <w:i w:val="0"/>
          <w:color w:val="000000"/>
          <w:sz w:val="24"/>
        </w:rPr>
        <w:t>11.1. Resultados de Pruebas Automatizadas y Métricas de Calidad</w:t>
      </w:r>
    </w:p>
    <w:p>
      <w:pPr>
        <w:spacing w:before="0" w:after="0" w:line="480" w:lineRule="auto"/>
        <w:ind w:firstLine="720"/>
        <w:jc w:val="left"/>
      </w:pPr>
      <w:r>
        <w:rPr>
          <w:rFonts w:ascii="Times New Roman" w:hAnsi="Times New Roman" w:eastAsia="Times New Roman"/>
          <w:color w:val="000000"/>
          <w:sz w:val="24"/>
        </w:rPr>
        <w:t>Las siguientes mediciones se obtuvieron el 17 de octubre de 2026 sobre la versión publicada:</w:t>
      </w:r>
    </w:p>
    <w:p>
      <w:pPr>
        <w:pStyle w:val="ListBullet"/>
        <w:spacing w:before="0" w:after="0" w:line="480" w:lineRule="auto"/>
      </w:pPr>
      <w:r>
        <w:rPr>
          <w:rFonts w:ascii="Times New Roman" w:hAnsi="Times New Roman" w:eastAsia="Times New Roman"/>
          <w:b/>
          <w:color w:val="000000"/>
          <w:sz w:val="24"/>
        </w:rPr>
        <w:t xml:space="preserve">Pruebas unitarias (Vitest 5.0.3): </w:t>
      </w:r>
      <w:r>
        <w:rPr>
          <w:rFonts w:ascii="Times New Roman" w:hAnsi="Times New Roman" w:eastAsia="Times New Roman"/>
          <w:color w:val="000000"/>
          <w:sz w:val="24"/>
        </w:rPr>
        <w:t>46 de 46 aprobadas en 412 ms. Cubren el estado del estudiante (persistencia, medallas, niveles), el reproductor de lecciones y la validación de las seis lecciones.</w:t>
      </w:r>
    </w:p>
    <w:p>
      <w:pPr>
        <w:pStyle w:val="ListBullet"/>
        <w:spacing w:before="0" w:after="0" w:line="480" w:lineRule="auto"/>
      </w:pPr>
      <w:r>
        <w:rPr>
          <w:rFonts w:ascii="Times New Roman" w:hAnsi="Times New Roman" w:eastAsia="Times New Roman"/>
          <w:b/>
          <w:color w:val="000000"/>
          <w:sz w:val="24"/>
        </w:rPr>
        <w:t xml:space="preserve">Pruebas de extremo a extremo (Playwright): </w:t>
      </w:r>
      <w:r>
        <w:rPr>
          <w:rFonts w:ascii="Times New Roman" w:hAnsi="Times New Roman" w:eastAsia="Times New Roman"/>
          <w:color w:val="000000"/>
          <w:sz w:val="24"/>
        </w:rPr>
        <w:t>12 de 12 casos de uso (TUC-UX-01 a TUC-UX-12) aprobados, incluidos progreso persistente, uso en teléfono de 375 px, reproductor y ausencia de errores de ejecución.</w:t>
      </w:r>
    </w:p>
    <w:p>
      <w:pPr>
        <w:pStyle w:val="ListBullet"/>
        <w:spacing w:before="0" w:after="0" w:line="480" w:lineRule="auto"/>
      </w:pPr>
      <w:r>
        <w:rPr>
          <w:rFonts w:ascii="Times New Roman" w:hAnsi="Times New Roman" w:eastAsia="Times New Roman"/>
          <w:b/>
          <w:color w:val="000000"/>
          <w:sz w:val="24"/>
        </w:rPr>
        <w:t xml:space="preserve">Accesibilidad: </w:t>
      </w:r>
      <w:r>
        <w:rPr>
          <w:rFonts w:ascii="Times New Roman" w:hAnsi="Times New Roman" w:eastAsia="Times New Roman"/>
          <w:color w:val="000000"/>
          <w:sz w:val="24"/>
        </w:rPr>
        <w:t>auditoría con axe-core 4.13.0 en las seis secciones y en ambos temas sin violaciones de severidad grave o crítica, más pruebas de navegación por teclado. Por tratarse de una auditoría automatizada, se formula como evidencia parcial hacia la meta WCAG 2.2 AA y no como certificación de conformidad.</w:t>
      </w:r>
    </w:p>
    <w:p>
      <w:pPr>
        <w:pStyle w:val="ListBullet"/>
        <w:spacing w:before="0" w:after="0" w:line="480" w:lineRule="auto"/>
      </w:pPr>
      <w:r>
        <w:rPr>
          <w:rFonts w:ascii="Times New Roman" w:hAnsi="Times New Roman" w:eastAsia="Times New Roman"/>
          <w:b/>
          <w:color w:val="000000"/>
          <w:sz w:val="24"/>
        </w:rPr>
        <w:t xml:space="preserve">Empaquetado de producción (Vite 8.0.14): </w:t>
      </w:r>
      <w:r>
        <w:rPr>
          <w:rFonts w:ascii="Times New Roman" w:hAnsi="Times New Roman" w:eastAsia="Times New Roman"/>
          <w:color w:val="000000"/>
          <w:sz w:val="24"/>
        </w:rPr>
        <w:t>compilación en 445 ms; JavaScript de 102,9 kB y CSS de 6,2 kB comprimidos (gzip).</w:t>
      </w:r>
    </w:p>
    <w:p>
      <w:pPr>
        <w:pStyle w:val="ListBullet"/>
        <w:spacing w:before="0" w:after="0" w:line="480" w:lineRule="auto"/>
      </w:pPr>
      <w:r>
        <w:rPr>
          <w:rFonts w:ascii="Times New Roman" w:hAnsi="Times New Roman" w:eastAsia="Times New Roman"/>
          <w:b/>
          <w:color w:val="000000"/>
          <w:sz w:val="24"/>
        </w:rPr>
        <w:t xml:space="preserve">Costo de operación: </w:t>
      </w:r>
      <w:r>
        <w:rPr>
          <w:rFonts w:ascii="Times New Roman" w:hAnsi="Times New Roman" w:eastAsia="Times New Roman"/>
          <w:color w:val="000000"/>
          <w:sz w:val="24"/>
        </w:rPr>
        <w:t>alojamiento estático en el plan gratuito de Netlify, sin servidor propio. El costo recurrente para la universidad es nulo mientras se mantenga ese plan.</w:t>
      </w:r>
    </w:p>
    <w:p>
      <w:pPr>
        <w:spacing w:before="0" w:after="0" w:line="480" w:lineRule="auto"/>
        <w:ind w:firstLine="720"/>
        <w:jc w:val="left"/>
      </w:pPr>
      <w:r>
        <w:rPr>
          <w:rFonts w:ascii="Times New Roman" w:hAnsi="Times New Roman" w:eastAsia="Times New Roman"/>
          <w:b/>
          <w:i w:val="0"/>
          <w:color w:val="000000"/>
          <w:sz w:val="24"/>
        </w:rPr>
        <w:t xml:space="preserve">Pendiente para la etapa de Evaluación: </w:t>
      </w:r>
      <w:r>
        <w:rPr>
          <w:rFonts w:ascii="Times New Roman" w:hAnsi="Times New Roman" w:eastAsia="Times New Roman"/>
          <w:color w:val="000000"/>
          <w:sz w:val="24"/>
        </w:rPr>
        <w:t>aplicar la escala SUS y la medición de carga cognitiva con estudiantes y docentes de la Escuela de Computación (objetivo específico 5). Como siguiente iteración del MVP se prevé el registro de usuarios y el almacenamiento del progreso en un servidor, lo que exigirá aplicar las consideraciones de protección de datos señaladas en el análisis PESTEL (sección 3).</w:t>
      </w:r>
    </w:p>
    <w:p>
      <w:pPr>
        <w:keepNext/>
        <w:spacing w:before="0" w:after="0" w:line="480" w:lineRule="auto"/>
        <w:jc w:val="center"/>
      </w:pPr>
      <w:r>
        <w:rPr>
          <w:rFonts w:ascii="Times New Roman" w:hAnsi="Times New Roman" w:eastAsia="Times New Roman"/>
          <w:b/>
          <w:i w:val="0"/>
          <w:color w:val="000000"/>
          <w:sz w:val="24"/>
        </w:rPr>
        <w:t>12. Declaración de Uso de Inteligencia Artificial Generativa (IAG)</w:t>
      </w:r>
    </w:p>
    <w:p>
      <w:pPr>
        <w:spacing w:before="0" w:after="0" w:line="480" w:lineRule="auto"/>
        <w:ind w:firstLine="720"/>
        <w:jc w:val="left"/>
      </w:pPr>
      <w:r>
        <w:rPr>
          <w:rFonts w:ascii="Times New Roman" w:hAnsi="Times New Roman" w:eastAsia="Times New Roman"/>
          <w:color w:val="000000"/>
          <w:sz w:val="24"/>
        </w:rPr>
        <w:t>En cumplimiento de los lineamientos de la cátedra, el equipo declara el uso de IAG durante la Fase II. No se utilizaron herramientas no-code ni low-code para construir el prototipo.</w:t>
      </w:r>
    </w:p>
    <w:p>
      <w:pPr>
        <w:keepNext/>
        <w:spacing w:before="0" w:after="0" w:line="480" w:lineRule="auto"/>
        <w:jc w:val="left"/>
      </w:pPr>
      <w:r>
        <w:rPr>
          <w:rFonts w:ascii="Times New Roman" w:hAnsi="Times New Roman" w:eastAsia="Times New Roman"/>
          <w:b/>
          <w:i w:val="0"/>
          <w:color w:val="000000"/>
          <w:sz w:val="24"/>
        </w:rPr>
        <w:t>12.1. Herramientas, Versión y Sitio Oficial</w:t>
      </w:r>
    </w:p>
    <w:p>
      <w:pPr>
        <w:keepNext/>
        <w:spacing w:before="0" w:after="0" w:line="480" w:lineRule="auto"/>
        <w:jc w:val="left"/>
      </w:pPr>
      <w:r>
        <w:rPr>
          <w:rFonts w:ascii="Times New Roman" w:hAnsi="Times New Roman" w:eastAsia="Times New Roman"/>
          <w:b/>
          <w:color w:val="000000"/>
          <w:sz w:val="24"/>
        </w:rPr>
        <w:t>Tabla 15</w:t>
      </w:r>
    </w:p>
    <w:p>
      <w:pPr>
        <w:keepNext/>
        <w:spacing w:before="0" w:after="0" w:line="480" w:lineRule="auto"/>
      </w:pPr>
      <w:r>
        <w:rPr>
          <w:rFonts w:ascii="Times New Roman" w:hAnsi="Times New Roman" w:eastAsia="Times New Roman"/>
          <w:i/>
          <w:color w:val="000000"/>
          <w:sz w:val="24"/>
        </w:rPr>
        <w:t>Herramientas de IAG utilizadas o incluidas en el RED.</w:t>
      </w:r>
    </w:p>
    <w:tbl>
      <w:tblPr>
        <w:jc w:val="center"/>
        <w:tblLook w:firstColumn="1" w:firstRow="1" w:lastColumn="0" w:lastRow="0" w:noHBand="0" w:noVBand="1" w:val="04A0"/>
        <w:tblW w:w="9360" w:type="dxa"/>
        <w:tblLayout w:type="fixed"/>
      </w:tblPr>
      <w:tblGrid>
        <w:gridCol w:w="2860"/>
        <w:gridCol w:w="1820"/>
        <w:gridCol w:w="2080"/>
        <w:gridCol w:w="2600"/>
      </w:tblGrid>
      <w:tr>
        <w:trPr>
          <w:cantSplit/>
          <w:tblHeader/>
        </w:trPr>
        <w:tc>
          <w:tcPr>
            <w:tcW w:type="dxa" w:w="286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Herramienta</w:t>
            </w:r>
          </w:p>
        </w:tc>
        <w:tc>
          <w:tcPr>
            <w:tcW w:type="dxa" w:w="182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Versión</w:t>
            </w:r>
          </w:p>
        </w:tc>
        <w:tc>
          <w:tcPr>
            <w:tcW w:type="dxa" w:w="208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Sitio oficial</w:t>
            </w:r>
          </w:p>
        </w:tc>
        <w:tc>
          <w:tcPr>
            <w:tcW w:type="dxa" w:w="260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Tipo de uso</w:t>
            </w:r>
          </w:p>
        </w:tc>
      </w:tr>
      <w:tr>
        <w:trPr>
          <w:cantSplit/>
        </w:trPr>
        <w:tc>
          <w:tcPr>
            <w:tcW w:type="dxa" w:w="286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Claude Code (Anthropic, 2026), agente de programación con el modelo Claude Opus 5.5</w:t>
            </w:r>
          </w:p>
        </w:tc>
        <w:tc>
          <w:tcPr>
            <w:tcW w:type="dxa" w:w="18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Claude Code 2.1.296</w:t>
            </w:r>
          </w:p>
        </w:tc>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https://claude.com/claude-code</w:t>
            </w:r>
          </w:p>
        </w:tc>
        <w:tc>
          <w:tcPr>
            <w:tcW w:type="dxa" w:w="260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Herramienta de desarrollo y documentación usada por el equipo.</w:t>
            </w:r>
          </w:p>
        </w:tc>
      </w:tr>
      <w:tr>
        <w:trPr>
          <w:cantSplit/>
        </w:trPr>
        <w:tc>
          <w:tcPr>
            <w:tcW w:type="dxa" w:w="286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Pasarela ShonnyProxy para la tutora Nova (opcional)</w:t>
            </w:r>
          </w:p>
        </w:tc>
        <w:tc>
          <w:tcPr>
            <w:tcW w:type="dxa" w:w="182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Interfaz compatible con /v1/chat/completions</w:t>
            </w:r>
          </w:p>
        </w:tc>
        <w:tc>
          <w:tcPr>
            <w:tcW w:type="dxa" w:w="208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Configuración local del proyecto</w:t>
            </w:r>
          </w:p>
        </w:tc>
        <w:tc>
          <w:tcPr>
            <w:tcW w:type="dxa" w:w="260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Funcionalidad incluida en el RED: si se activa, Nova consulta un modelo de lenguaje; por defecto usa reglas locales.</w:t>
            </w:r>
          </w:p>
        </w:tc>
      </w:tr>
    </w:tbl>
    <w:p>
      <w:pPr>
        <w:spacing w:before="0" w:after="0" w:line="480" w:lineRule="auto"/>
        <w:jc w:val="left"/>
      </w:pPr>
    </w:p>
    <w:p>
      <w:pPr>
        <w:keepNext/>
        <w:spacing w:before="0" w:after="0" w:line="480" w:lineRule="auto"/>
        <w:jc w:val="left"/>
      </w:pPr>
      <w:r>
        <w:rPr>
          <w:rFonts w:ascii="Times New Roman" w:hAnsi="Times New Roman" w:eastAsia="Times New Roman"/>
          <w:b/>
          <w:i w:val="0"/>
          <w:color w:val="000000"/>
          <w:sz w:val="24"/>
        </w:rPr>
        <w:t>12.2. Procesos y Actividades de la Fase II Donde se Utilizó</w:t>
      </w:r>
    </w:p>
    <w:p>
      <w:pPr>
        <w:keepNext/>
        <w:spacing w:before="0" w:after="0" w:line="480" w:lineRule="auto"/>
        <w:jc w:val="left"/>
      </w:pPr>
      <w:r>
        <w:rPr>
          <w:rFonts w:ascii="Times New Roman" w:hAnsi="Times New Roman" w:eastAsia="Times New Roman"/>
          <w:b/>
          <w:color w:val="000000"/>
          <w:sz w:val="24"/>
        </w:rPr>
        <w:t>Tabla 16</w:t>
      </w:r>
    </w:p>
    <w:p>
      <w:pPr>
        <w:keepNext/>
        <w:spacing w:before="0" w:after="0" w:line="480" w:lineRule="auto"/>
      </w:pPr>
      <w:r>
        <w:rPr>
          <w:rFonts w:ascii="Times New Roman" w:hAnsi="Times New Roman" w:eastAsia="Times New Roman"/>
          <w:i/>
          <w:color w:val="000000"/>
          <w:sz w:val="24"/>
        </w:rPr>
        <w:t>Actividades de la Fase II apoyadas con IAG y supervisión del equipo.</w:t>
      </w:r>
    </w:p>
    <w:tbl>
      <w:tblPr>
        <w:jc w:val="center"/>
        <w:tblLook w:firstColumn="1" w:firstRow="1" w:lastColumn="0" w:lastRow="0" w:noHBand="0" w:noVBand="1" w:val="04A0"/>
        <w:tblW w:w="9360" w:type="dxa"/>
        <w:tblLayout w:type="fixed"/>
      </w:tblPr>
      <w:tblGrid>
        <w:gridCol w:w="2080"/>
        <w:gridCol w:w="3769"/>
        <w:gridCol w:w="3510"/>
      </w:tblGrid>
      <w:tr>
        <w:trPr>
          <w:cantSplit/>
          <w:tblHeader/>
        </w:trPr>
        <w:tc>
          <w:tcPr>
            <w:tcW w:type="dxa" w:w="208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Actividad</w:t>
            </w:r>
          </w:p>
        </w:tc>
        <w:tc>
          <w:tcPr>
            <w:tcW w:type="dxa" w:w="377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Uso de la IAG</w:t>
            </w:r>
          </w:p>
        </w:tc>
        <w:tc>
          <w:tcPr>
            <w:tcW w:type="dxa" w:w="351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Supervisión y verificación del equipo</w:t>
            </w:r>
          </w:p>
        </w:tc>
      </w:tr>
      <w:tr>
        <w:trPr>
          <w:cantSplit/>
        </w:trPr>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Diagnóstico del prototipo existente</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Revisión del sitio publicado y del código; detección de problemas de diseño adaptable, accesibilidad y videos externos mal enlazados.</w:t>
            </w:r>
          </w:p>
        </w:tc>
        <w:tc>
          <w:tcPr>
            <w:tcW w:type="dxa" w:w="35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El equipo eligió el alcance (lecciones animadas propias y base de UX/accesibilidad).</w:t>
            </w:r>
          </w:p>
        </w:tc>
      </w:tr>
      <w:tr>
        <w:trPr>
          <w:cantSplit/>
        </w:trPr>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Planificación</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Propuesta de un plan de trece incrementos con criterios de aceptación.</w:t>
            </w:r>
          </w:p>
        </w:tc>
        <w:tc>
          <w:tcPr>
            <w:tcW w:type="dxa" w:w="35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Aprobación del plan y de las decisiones de diseño.</w:t>
            </w:r>
          </w:p>
        </w:tc>
      </w:tr>
      <w:tr>
        <w:trPr>
          <w:cantSplit/>
        </w:trPr>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Implementación del prototipo</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Escritura de código: progreso persistente, diseño adaptable, accesibilidad, motor y reproductor de lecciones.</w:t>
            </w:r>
          </w:p>
        </w:tc>
        <w:tc>
          <w:tcPr>
            <w:tcW w:type="dxa" w:w="35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Revisión de cada incremento mediante Pull Request antes de integrarlo.</w:t>
            </w:r>
          </w:p>
        </w:tc>
      </w:tr>
      <w:tr>
        <w:trPr>
          <w:cantSplit/>
        </w:trPr>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Guiones de las lecciones</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Redacción de escenas y subtítulos.</w:t>
            </w:r>
          </w:p>
        </w:tc>
        <w:tc>
          <w:tcPr>
            <w:tcW w:type="dxa" w:w="35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Contraste de cada afirmación con Pro Git (Chacon y Straub, 2014); validación automática de la coherencia de cada escena.</w:t>
            </w:r>
          </w:p>
        </w:tc>
      </w:tr>
      <w:tr>
        <w:trPr>
          <w:cantSplit/>
        </w:trPr>
        <w:tc>
          <w:tcPr>
            <w:tcW w:type="dxa" w:w="208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Pruebas y auditorías</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Escritura y ejecución de pruebas unitarias, de interfaz y de accesibilidad.</w:t>
            </w:r>
          </w:p>
        </w:tc>
        <w:tc>
          <w:tcPr>
            <w:tcW w:type="dxa" w:w="351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Lectura de resultados; casos de aceptación manuales (TUC).</w:t>
            </w:r>
          </w:p>
        </w:tc>
      </w:tr>
      <w:tr>
        <w:trPr>
          <w:cantSplit/>
        </w:trPr>
        <w:tc>
          <w:tcPr>
            <w:tcW w:type="dxa" w:w="208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Documentación del software</w:t>
            </w:r>
          </w:p>
        </w:tc>
        <w:tc>
          <w:tcPr>
            <w:tcW w:type="dxa" w:w="377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Documentación técnica del repositorio y figuras del prototipo (mapa, bocetos, capturas).</w:t>
            </w:r>
          </w:p>
        </w:tc>
        <w:tc>
          <w:tcPr>
            <w:tcW w:type="dxa" w:w="351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Revisión, corrección y aprobación final del contenido por los autores.</w:t>
            </w:r>
          </w:p>
        </w:tc>
      </w:tr>
    </w:tbl>
    <w:p>
      <w:pPr>
        <w:spacing w:before="0" w:after="0" w:line="480" w:lineRule="auto"/>
        <w:jc w:val="left"/>
      </w:pPr>
    </w:p>
    <w:p>
      <w:pPr>
        <w:keepNext/>
        <w:spacing w:before="0" w:after="0" w:line="480" w:lineRule="auto"/>
        <w:jc w:val="left"/>
      </w:pPr>
      <w:r>
        <w:rPr>
          <w:rFonts w:ascii="Times New Roman" w:hAnsi="Times New Roman" w:eastAsia="Times New Roman"/>
          <w:b/>
          <w:i w:val="0"/>
          <w:color w:val="000000"/>
          <w:sz w:val="24"/>
        </w:rPr>
        <w:t>12.3. Beneficios, Ventajas y Precauciones</w:t>
      </w:r>
    </w:p>
    <w:p>
      <w:pPr>
        <w:pStyle w:val="ListBullet"/>
        <w:spacing w:before="0" w:after="0" w:line="480" w:lineRule="auto"/>
      </w:pPr>
      <w:r>
        <w:rPr>
          <w:rFonts w:ascii="Times New Roman" w:hAnsi="Times New Roman" w:eastAsia="Times New Roman"/>
          <w:b/>
          <w:color w:val="000000"/>
          <w:sz w:val="24"/>
        </w:rPr>
        <w:t xml:space="preserve">Productividad: </w:t>
      </w:r>
      <w:r>
        <w:rPr>
          <w:rFonts w:ascii="Times New Roman" w:hAnsi="Times New Roman" w:eastAsia="Times New Roman"/>
          <w:color w:val="000000"/>
          <w:sz w:val="24"/>
        </w:rPr>
        <w:t>una iteración completa (13 incrementos con pruebas) se realizó en una jornada de trabajo, lo que hizo viable un prototipo vertical dentro del período académico.</w:t>
      </w:r>
    </w:p>
    <w:p>
      <w:pPr>
        <w:pStyle w:val="ListBullet"/>
        <w:spacing w:before="0" w:after="0" w:line="480" w:lineRule="auto"/>
      </w:pPr>
      <w:r>
        <w:rPr>
          <w:rFonts w:ascii="Times New Roman" w:hAnsi="Times New Roman" w:eastAsia="Times New Roman"/>
          <w:b/>
          <w:color w:val="000000"/>
          <w:sz w:val="24"/>
        </w:rPr>
        <w:t xml:space="preserve">Calidad verificable: </w:t>
      </w:r>
      <w:r>
        <w:rPr>
          <w:rFonts w:ascii="Times New Roman" w:hAnsi="Times New Roman" w:eastAsia="Times New Roman"/>
          <w:color w:val="000000"/>
          <w:sz w:val="24"/>
        </w:rPr>
        <w:t>el uso de IAG se acompañó de pruebas automatizadas que detectaron defectos reales antes de publicar (por ejemplo, un error que dejaba la página en blanco pese a compilar correctamente).</w:t>
      </w:r>
    </w:p>
    <w:p>
      <w:pPr>
        <w:pStyle w:val="ListBullet"/>
        <w:spacing w:before="0" w:after="0" w:line="480" w:lineRule="auto"/>
      </w:pPr>
      <w:r>
        <w:rPr>
          <w:rFonts w:ascii="Times New Roman" w:hAnsi="Times New Roman" w:eastAsia="Times New Roman"/>
          <w:b/>
          <w:color w:val="000000"/>
          <w:sz w:val="24"/>
        </w:rPr>
        <w:t xml:space="preserve">Detección de problemas de contenido: </w:t>
      </w:r>
      <w:r>
        <w:rPr>
          <w:rFonts w:ascii="Times New Roman" w:hAnsi="Times New Roman" w:eastAsia="Times New Roman"/>
          <w:color w:val="000000"/>
          <w:sz w:val="24"/>
        </w:rPr>
        <w:t>la revisión identificó que los videos externos de la versión anterior estaban mal enlazados (uno inexistente y marcas de tiempo que no correspondían), lo que motivó crear lecciones propias.</w:t>
      </w:r>
    </w:p>
    <w:p>
      <w:pPr>
        <w:pStyle w:val="ListBullet"/>
        <w:spacing w:before="0" w:after="0" w:line="480" w:lineRule="auto"/>
      </w:pPr>
      <w:r>
        <w:rPr>
          <w:rFonts w:ascii="Times New Roman" w:hAnsi="Times New Roman" w:eastAsia="Times New Roman"/>
          <w:b/>
          <w:color w:val="000000"/>
          <w:sz w:val="24"/>
        </w:rPr>
        <w:t xml:space="preserve">Precauciones adoptadas: </w:t>
      </w:r>
      <w:r>
        <w:rPr>
          <w:rFonts w:ascii="Times New Roman" w:hAnsi="Times New Roman" w:eastAsia="Times New Roman"/>
          <w:color w:val="000000"/>
          <w:sz w:val="24"/>
        </w:rPr>
        <w:t>toda salida de la IAG se trató como borrador sujeto a revisión humana; las referencias bibliográficas y enlaces se verificaron individualmente; los datos personales se excluyeron de los archivos publicados; y la autoría y responsabilidad del recurso son del equipo.</w:t>
      </w:r>
    </w:p>
    <w:p>
      <w:pPr>
        <w:keepNext/>
        <w:spacing w:before="0" w:after="0" w:line="480" w:lineRule="auto"/>
        <w:jc w:val="left"/>
      </w:pPr>
      <w:r>
        <w:rPr>
          <w:rFonts w:ascii="Times New Roman" w:hAnsi="Times New Roman" w:eastAsia="Times New Roman"/>
          <w:b/>
          <w:i w:val="0"/>
          <w:color w:val="000000"/>
          <w:sz w:val="24"/>
        </w:rPr>
        <w:t>12.4. Prompts Utilizados</w:t>
      </w:r>
    </w:p>
    <w:p>
      <w:pPr>
        <w:spacing w:before="0" w:after="0" w:line="480" w:lineRule="auto"/>
        <w:ind w:firstLine="720"/>
        <w:jc w:val="left"/>
      </w:pPr>
      <w:r>
        <w:rPr>
          <w:rFonts w:ascii="Times New Roman" w:hAnsi="Times New Roman" w:eastAsia="Times New Roman"/>
          <w:color w:val="000000"/>
          <w:sz w:val="24"/>
        </w:rPr>
        <w:t>Se transcriben textualmente las instrucciones dadas al agente durante la Fase II, en el orden en que se usaron, con su propósito y resultado:</w:t>
      </w:r>
    </w:p>
    <w:p>
      <w:pPr>
        <w:keepNext/>
        <w:spacing w:before="0" w:after="0" w:line="480" w:lineRule="auto"/>
        <w:jc w:val="left"/>
      </w:pPr>
      <w:r>
        <w:rPr>
          <w:rFonts w:ascii="Times New Roman" w:hAnsi="Times New Roman" w:eastAsia="Times New Roman"/>
          <w:b/>
          <w:color w:val="000000"/>
          <w:sz w:val="24"/>
        </w:rPr>
        <w:t>Tabla 17</w:t>
      </w:r>
    </w:p>
    <w:p>
      <w:pPr>
        <w:keepNext/>
        <w:spacing w:before="0" w:after="0" w:line="480" w:lineRule="auto"/>
      </w:pPr>
      <w:r>
        <w:rPr>
          <w:rFonts w:ascii="Times New Roman" w:hAnsi="Times New Roman" w:eastAsia="Times New Roman"/>
          <w:i/>
          <w:color w:val="000000"/>
          <w:sz w:val="24"/>
        </w:rPr>
        <w:t>Prompts utilizados con Claude Code durante la Fase II.</w:t>
      </w:r>
    </w:p>
    <w:tbl>
      <w:tblPr>
        <w:jc w:val="center"/>
        <w:tblLook w:firstColumn="1" w:firstRow="1" w:lastColumn="0" w:lastRow="0" w:noHBand="0" w:noVBand="1" w:val="04A0"/>
        <w:tblW w:w="9359" w:type="dxa"/>
        <w:tblLayout w:type="fixed"/>
      </w:tblPr>
      <w:tblGrid>
        <w:gridCol w:w="520"/>
        <w:gridCol w:w="5070"/>
        <w:gridCol w:w="3769"/>
      </w:tblGrid>
      <w:tr>
        <w:trPr>
          <w:cantSplit/>
          <w:tblHeader/>
        </w:trPr>
        <w:tc>
          <w:tcPr>
            <w:tcW w:type="dxa" w:w="52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N.º</w:t>
            </w:r>
          </w:p>
        </w:tc>
        <w:tc>
          <w:tcPr>
            <w:tcW w:type="dxa" w:w="507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Prompt (textual)</w:t>
            </w:r>
          </w:p>
        </w:tc>
        <w:tc>
          <w:tcPr>
            <w:tcW w:type="dxa" w:w="3770"/>
            <w:vAlign w:val="top"/>
            <w:tcMar>
              <w:top w:w="60" w:type="dxa"/>
              <w:bottom w:w="60" w:type="dxa"/>
              <w:left w:w="100" w:type="dxa"/>
              <w:right w:w="100" w:type="dxa"/>
            </w:tcMar>
            <w:tcBorders>
              <w:top w:val="single" w:sz="8" w:space="0" w:color="000000"/>
              <w:bottom w:val="single" w:sz="8" w:space="0" w:color="000000"/>
              <w:left w:val="nil"/>
              <w:right w:val="nil"/>
            </w:tcBorders>
          </w:tcPr>
          <w:p>
            <w:pPr>
              <w:spacing w:line="240" w:lineRule="auto" w:before="0" w:after="0"/>
              <w:jc w:val="center"/>
            </w:pPr>
            <w:r>
              <w:rPr>
                <w:rFonts w:ascii="Times New Roman" w:hAnsi="Times New Roman" w:eastAsia="Times New Roman"/>
                <w:b/>
                <w:color w:val="000000"/>
                <w:sz w:val="20"/>
              </w:rPr>
              <w:t>Propósito y resultado</w:t>
            </w:r>
          </w:p>
        </w:tc>
      </w:tr>
      <w:tr>
        <w:trPr>
          <w:cantSplit/>
        </w:trPr>
        <w:tc>
          <w:tcPr>
            <w:tcW w:type="dxa" w:w="5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1</w:t>
            </w:r>
          </w:p>
        </w:tc>
        <w:tc>
          <w:tcPr>
            <w:tcW w:type="dxa" w:w="50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«Tengo este proyecto donde esta deployado en el Netlify: https://git-playground-ucv.netlify.app/, necesito hacer mejoras de este proyecto, ya que es para enseñanza y uso de Git, de manejo de control de versiones, algo que sea visual, amigable, si hace falta hacer vídeos de explicación con Motion-Graphics seria genial, utilicemos todos los /skill que tenemos en conocimiento tomando en cuenta las de shonny-workspace-template donde analizamos el otro dia. Aplicado como Ingeniero de Software, si hace falta documentar ahi tenemos en la carpeta de docs.»</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Diagnóstico y plan de mejoras. El agente formuló preguntas de diseño; el equipo eligió: lecciones animadas dentro de la aplicación, prioridad a la base de UX y accesibilidad, y trabajo en una rama separada sin publicar.</w:t>
            </w:r>
          </w:p>
        </w:tc>
      </w:tr>
      <w:tr>
        <w:trPr>
          <w:cantSplit/>
        </w:trPr>
        <w:tc>
          <w:tcPr>
            <w:tcW w:type="dxa" w:w="5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2</w:t>
            </w:r>
          </w:p>
        </w:tc>
        <w:tc>
          <w:tcPr>
            <w:tcW w:type="dxa" w:w="50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«Si, adelante»</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Autorización para publicar la rama y abrir el Pull Request #1 con los cambios para revisión.</w:t>
            </w:r>
          </w:p>
        </w:tc>
      </w:tr>
      <w:tr>
        <w:trPr>
          <w:cantSplit/>
        </w:trPr>
        <w:tc>
          <w:tcPr>
            <w:tcW w:type="dxa" w:w="52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3</w:t>
            </w:r>
          </w:p>
        </w:tc>
        <w:tc>
          <w:tcPr>
            <w:tcW w:type="dxa" w:w="50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«Genial, puedes subir los cambios»</w:t>
            </w:r>
          </w:p>
        </w:tc>
        <w:tc>
          <w:tcPr>
            <w:tcW w:type="dxa" w:w="3770"/>
            <w:vAlign w:val="top"/>
            <w:tcMar>
              <w:top w:w="60" w:type="dxa"/>
              <w:bottom w:w="60" w:type="dxa"/>
              <w:left w:w="100" w:type="dxa"/>
              <w:right w:w="100" w:type="dxa"/>
            </w:tcMar>
            <w:tcBorders>
              <w:top w:val="nil"/>
              <w:bottom w:val="nil"/>
              <w:left w:val="nil"/>
              <w:right w:val="nil"/>
            </w:tcBorders>
          </w:tcPr>
          <w:p>
            <w:pPr>
              <w:spacing w:line="240" w:lineRule="auto" w:before="0" w:after="0"/>
            </w:pPr>
            <w:r>
              <w:rPr>
                <w:rFonts w:ascii="Times New Roman" w:hAnsi="Times New Roman" w:eastAsia="Times New Roman"/>
                <w:color w:val="000000"/>
                <w:sz w:val="20"/>
              </w:rPr>
              <w:t>Integración del Pull Request en la rama principal; publicación automática en Netlify y verificación del sitio.</w:t>
            </w:r>
          </w:p>
        </w:tc>
      </w:tr>
      <w:tr>
        <w:trPr>
          <w:cantSplit/>
        </w:trPr>
        <w:tc>
          <w:tcPr>
            <w:tcW w:type="dxa" w:w="52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4</w:t>
            </w:r>
          </w:p>
        </w:tc>
        <w:tc>
          <w:tcPr>
            <w:tcW w:type="dxa" w:w="507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«Si, vamos a incluir los laboratorios ya que son referencia para la documentacion del Software»</w:t>
            </w:r>
          </w:p>
        </w:tc>
        <w:tc>
          <w:tcPr>
            <w:tcW w:type="dxa" w:w="3770"/>
            <w:vAlign w:val="top"/>
            <w:tcMar>
              <w:top w:w="60" w:type="dxa"/>
              <w:bottom w:w="60" w:type="dxa"/>
              <w:left w:w="100" w:type="dxa"/>
              <w:right w:w="100" w:type="dxa"/>
            </w:tcMar>
            <w:tcBorders>
              <w:bottom w:val="single" w:sz="8" w:space="0" w:color="000000"/>
              <w:top w:val="nil"/>
              <w:left w:val="nil"/>
              <w:right w:val="nil"/>
            </w:tcBorders>
          </w:tcPr>
          <w:p>
            <w:pPr>
              <w:spacing w:line="240" w:lineRule="auto" w:before="0" w:after="0"/>
            </w:pPr>
            <w:r>
              <w:rPr>
                <w:rFonts w:ascii="Times New Roman" w:hAnsi="Times New Roman" w:eastAsia="Times New Roman"/>
                <w:color w:val="000000"/>
                <w:sz w:val="20"/>
              </w:rPr>
              <w:t>Incorporación de los laboratorios al repositorio, retirando datos personales y corrigiendo enlaces.</w:t>
            </w:r>
          </w:p>
        </w:tc>
      </w:tr>
    </w:tbl>
    <w:p>
      <w:pPr>
        <w:spacing w:before="0" w:after="0" w:line="480" w:lineRule="auto"/>
        <w:jc w:val="left"/>
      </w:pPr>
    </w:p>
    <w:p>
      <w:pPr>
        <w:spacing w:before="0" w:after="0" w:line="480" w:lineRule="auto"/>
      </w:pPr>
      <w:r>
        <w:rPr>
          <w:rFonts w:ascii="Times New Roman" w:hAnsi="Times New Roman" w:eastAsia="Times New Roman"/>
          <w:color w:val="000000"/>
          <w:sz w:val="24"/>
        </w:rPr>
        <w:br w:type="page"/>
      </w:r>
    </w:p>
    <w:p>
      <w:pPr>
        <w:keepNext/>
        <w:spacing w:before="0" w:after="0" w:line="480" w:lineRule="auto"/>
        <w:jc w:val="center"/>
      </w:pPr>
      <w:r>
        <w:rPr>
          <w:rFonts w:ascii="Times New Roman" w:hAnsi="Times New Roman" w:eastAsia="Times New Roman"/>
          <w:b/>
          <w:i w:val="0"/>
          <w:color w:val="000000"/>
          <w:sz w:val="24"/>
        </w:rPr>
        <w:t>Referencias</w:t>
      </w:r>
    </w:p>
    <w:p>
      <w:pPr>
        <w:spacing w:before="0" w:after="0" w:line="480" w:lineRule="auto"/>
        <w:ind w:left="720" w:hanging="720"/>
      </w:pPr>
      <w:r>
        <w:rPr>
          <w:rFonts w:ascii="Times New Roman" w:hAnsi="Times New Roman" w:eastAsia="Times New Roman"/>
          <w:i w:val="0"/>
          <w:color w:val="000000"/>
          <w:sz w:val="24"/>
        </w:rPr>
        <w:t xml:space="preserve">Álvarez González, L., Carballo Barrera, Y., Collazos Ordoñez, C., Echenagusía, J., Gutiérrez Hernández, R., Hernández Bieliukas, Y., Hernández Saldivar, F., Muñoz Arteaga, J., Solano Alegría, A., y Velázquez Amador, C. (2014). </w:t>
      </w:r>
      <w:r>
        <w:rPr>
          <w:rFonts w:ascii="Times New Roman" w:hAnsi="Times New Roman" w:eastAsia="Times New Roman"/>
          <w:i/>
          <w:color w:val="000000"/>
          <w:sz w:val="24"/>
        </w:rPr>
        <w:t>Objetos de aprendizaje de contenidos abiertos accesibles: Del diseño a la reutilización</w:t>
      </w:r>
      <w:r>
        <w:rPr>
          <w:rFonts w:ascii="Times New Roman" w:hAnsi="Times New Roman" w:eastAsia="Times New Roman"/>
          <w:i w:val="0"/>
          <w:color w:val="000000"/>
          <w:sz w:val="24"/>
        </w:rPr>
        <w:t>. Iniciativa Latinoamericana de Libros de Texto Abiertos (LATIn). https://www.researchgate.net/publication/312039527_Objetos_de_Aprendizaje_de_Contenidos_Abiertos_Accesibles_del_Diseno_a_la_Reutilizacion</w:t>
      </w:r>
    </w:p>
    <w:p>
      <w:pPr>
        <w:spacing w:before="0" w:after="0" w:line="480" w:lineRule="auto"/>
        <w:ind w:left="720" w:hanging="720"/>
      </w:pPr>
      <w:r>
        <w:rPr>
          <w:rFonts w:ascii="Times New Roman" w:hAnsi="Times New Roman" w:eastAsia="Times New Roman"/>
          <w:i w:val="0"/>
          <w:color w:val="000000"/>
          <w:sz w:val="24"/>
        </w:rPr>
        <w:t xml:space="preserve">Anderson, L. W., y Krathwohl, D. R. (Eds.). (2001). </w:t>
      </w:r>
      <w:r>
        <w:rPr>
          <w:rFonts w:ascii="Times New Roman" w:hAnsi="Times New Roman" w:eastAsia="Times New Roman"/>
          <w:i/>
          <w:color w:val="000000"/>
          <w:sz w:val="24"/>
        </w:rPr>
        <w:t>A taxonomy for learning, teaching, and assessing: A revision of Bloom’s taxonomy of educational objectives</w:t>
      </w:r>
      <w:r>
        <w:rPr>
          <w:rFonts w:ascii="Times New Roman" w:hAnsi="Times New Roman" w:eastAsia="Times New Roman"/>
          <w:i w:val="0"/>
          <w:color w:val="000000"/>
          <w:sz w:val="24"/>
        </w:rPr>
        <w:t>. Longman.</w:t>
      </w:r>
    </w:p>
    <w:p>
      <w:pPr>
        <w:spacing w:before="0" w:after="0" w:line="480" w:lineRule="auto"/>
        <w:ind w:left="720" w:hanging="720"/>
      </w:pPr>
      <w:r>
        <w:rPr>
          <w:rFonts w:ascii="Times New Roman" w:hAnsi="Times New Roman" w:eastAsia="Times New Roman"/>
          <w:i w:val="0"/>
          <w:color w:val="000000"/>
          <w:sz w:val="24"/>
        </w:rPr>
        <w:t xml:space="preserve">Anthropic. (2026). </w:t>
      </w:r>
      <w:r>
        <w:rPr>
          <w:rFonts w:ascii="Times New Roman" w:hAnsi="Times New Roman" w:eastAsia="Times New Roman"/>
          <w:i/>
          <w:color w:val="000000"/>
          <w:sz w:val="24"/>
        </w:rPr>
        <w:t>Claude Code</w:t>
      </w:r>
      <w:r>
        <w:rPr>
          <w:rFonts w:ascii="Times New Roman" w:hAnsi="Times New Roman" w:eastAsia="Times New Roman"/>
          <w:i w:val="0"/>
          <w:color w:val="000000"/>
          <w:sz w:val="24"/>
        </w:rPr>
        <w:t xml:space="preserve"> (Versión 2.1.296) [Software]. https://claude.com/claude-code</w:t>
      </w:r>
    </w:p>
    <w:p>
      <w:pPr>
        <w:spacing w:before="0" w:after="0" w:line="480" w:lineRule="auto"/>
        <w:ind w:left="720" w:hanging="720"/>
      </w:pPr>
      <w:r>
        <w:rPr>
          <w:rFonts w:ascii="Times New Roman" w:hAnsi="Times New Roman" w:eastAsia="Times New Roman"/>
          <w:i w:val="0"/>
          <w:color w:val="000000"/>
          <w:sz w:val="24"/>
        </w:rPr>
        <w:t xml:space="preserve">Brown, T. (2008). Design thinking. </w:t>
      </w:r>
      <w:r>
        <w:rPr>
          <w:rFonts w:ascii="Times New Roman" w:hAnsi="Times New Roman" w:eastAsia="Times New Roman"/>
          <w:i/>
          <w:color w:val="000000"/>
          <w:sz w:val="24"/>
        </w:rPr>
        <w:t>Harvard Business Review, 86</w:t>
      </w:r>
      <w:r>
        <w:rPr>
          <w:rFonts w:ascii="Times New Roman" w:hAnsi="Times New Roman" w:eastAsia="Times New Roman"/>
          <w:i w:val="0"/>
          <w:color w:val="000000"/>
          <w:sz w:val="24"/>
        </w:rPr>
        <w:t>(6), 84–92. https://emprendedoresupa.wordpress.com/wp-content/uploads/2010/08/p02_brown-design-thinking.pdf</w:t>
      </w:r>
    </w:p>
    <w:p>
      <w:pPr>
        <w:spacing w:before="0" w:after="0" w:line="480" w:lineRule="auto"/>
        <w:ind w:left="720" w:hanging="720"/>
      </w:pPr>
      <w:r>
        <w:rPr>
          <w:rFonts w:ascii="Times New Roman" w:hAnsi="Times New Roman" w:eastAsia="Times New Roman"/>
          <w:i w:val="0"/>
          <w:color w:val="000000"/>
          <w:sz w:val="24"/>
        </w:rPr>
        <w:t xml:space="preserve">CAST. (2018). </w:t>
      </w:r>
      <w:r>
        <w:rPr>
          <w:rFonts w:ascii="Times New Roman" w:hAnsi="Times New Roman" w:eastAsia="Times New Roman"/>
          <w:i/>
          <w:color w:val="000000"/>
          <w:sz w:val="24"/>
        </w:rPr>
        <w:t>Universal Design for Learning guidelines version 2.2</w:t>
      </w:r>
      <w:r>
        <w:rPr>
          <w:rFonts w:ascii="Times New Roman" w:hAnsi="Times New Roman" w:eastAsia="Times New Roman"/>
          <w:i w:val="0"/>
          <w:color w:val="000000"/>
          <w:sz w:val="24"/>
        </w:rPr>
        <w:t>. https://udlguidelines.cast.org</w:t>
      </w:r>
    </w:p>
    <w:p>
      <w:pPr>
        <w:spacing w:before="0" w:after="0" w:line="480" w:lineRule="auto"/>
        <w:ind w:left="720" w:hanging="720"/>
      </w:pPr>
      <w:r>
        <w:rPr>
          <w:rFonts w:ascii="Times New Roman" w:hAnsi="Times New Roman" w:eastAsia="Times New Roman"/>
          <w:i w:val="0"/>
          <w:color w:val="000000"/>
          <w:sz w:val="24"/>
        </w:rPr>
        <w:t xml:space="preserve">Chacon, S., y Straub, B. (2014). </w:t>
      </w:r>
      <w:r>
        <w:rPr>
          <w:rFonts w:ascii="Times New Roman" w:hAnsi="Times New Roman" w:eastAsia="Times New Roman"/>
          <w:i/>
          <w:color w:val="000000"/>
          <w:sz w:val="24"/>
        </w:rPr>
        <w:t>Pro Git</w:t>
      </w:r>
      <w:r>
        <w:rPr>
          <w:rFonts w:ascii="Times New Roman" w:hAnsi="Times New Roman" w:eastAsia="Times New Roman"/>
          <w:i w:val="0"/>
          <w:color w:val="000000"/>
          <w:sz w:val="24"/>
        </w:rPr>
        <w:t xml:space="preserve"> (2.ª ed.). Apress. https://git-scm.com/book/es/v2</w:t>
      </w:r>
    </w:p>
    <w:p>
      <w:pPr>
        <w:spacing w:before="0" w:after="0" w:line="480" w:lineRule="auto"/>
        <w:ind w:left="720" w:hanging="720"/>
      </w:pPr>
      <w:r>
        <w:rPr>
          <w:rFonts w:ascii="Times New Roman" w:hAnsi="Times New Roman" w:eastAsia="Times New Roman"/>
          <w:i w:val="0"/>
          <w:color w:val="000000"/>
          <w:sz w:val="24"/>
        </w:rPr>
        <w:t xml:space="preserve">Costa Montenegro, E., Díaz Otero, F., Caeiro Rodríguez, M., Cuiñas Gómez, I., Mariño Espiñeira, P., y Fernández Iglesias, M. (2016). Evaluación de la implantación de la metodología Design Thinking en una asignatura de proyectos. En </w:t>
      </w:r>
      <w:r>
        <w:rPr>
          <w:rFonts w:ascii="Times New Roman" w:hAnsi="Times New Roman" w:eastAsia="Times New Roman"/>
          <w:i/>
          <w:color w:val="000000"/>
          <w:sz w:val="24"/>
        </w:rPr>
        <w:t>Libro de Actas IN-RED 2016: II Congreso Nacional de Innovación Educativa y de Docencia en Red</w:t>
      </w:r>
      <w:r>
        <w:rPr>
          <w:rFonts w:ascii="Times New Roman" w:hAnsi="Times New Roman" w:eastAsia="Times New Roman"/>
          <w:i w:val="0"/>
          <w:color w:val="000000"/>
          <w:sz w:val="24"/>
        </w:rPr>
        <w:t>. Universitat Politècnica de València. https://doi.org/10.4995/INRED2016.2016.4357</w:t>
      </w:r>
    </w:p>
    <w:p>
      <w:pPr>
        <w:spacing w:before="0" w:after="0" w:line="480" w:lineRule="auto"/>
        <w:ind w:left="720" w:hanging="720"/>
      </w:pPr>
      <w:r>
        <w:rPr>
          <w:rFonts w:ascii="Times New Roman" w:hAnsi="Times New Roman" w:eastAsia="Times New Roman"/>
          <w:i w:val="0"/>
          <w:color w:val="000000"/>
          <w:sz w:val="24"/>
        </w:rPr>
        <w:t xml:space="preserve">Cottle, P. (s.f.). </w:t>
      </w:r>
      <w:r>
        <w:rPr>
          <w:rFonts w:ascii="Times New Roman" w:hAnsi="Times New Roman" w:eastAsia="Times New Roman"/>
          <w:i/>
          <w:color w:val="000000"/>
          <w:sz w:val="24"/>
        </w:rPr>
        <w:t>Learn Git Branching</w:t>
      </w:r>
      <w:r>
        <w:rPr>
          <w:rFonts w:ascii="Times New Roman" w:hAnsi="Times New Roman" w:eastAsia="Times New Roman"/>
          <w:i w:val="0"/>
          <w:color w:val="000000"/>
          <w:sz w:val="24"/>
        </w:rPr>
        <w:t xml:space="preserve"> [Aplicación web]. Recuperado el 5 de octubre de 2026, de https://learngitbranching.js.org</w:t>
      </w:r>
    </w:p>
    <w:p>
      <w:pPr>
        <w:spacing w:before="0" w:after="0" w:line="480" w:lineRule="auto"/>
        <w:ind w:left="720" w:hanging="720"/>
      </w:pPr>
      <w:r>
        <w:rPr>
          <w:rFonts w:ascii="Times New Roman" w:hAnsi="Times New Roman" w:eastAsia="Times New Roman"/>
          <w:i w:val="0"/>
          <w:color w:val="000000"/>
          <w:sz w:val="24"/>
        </w:rPr>
        <w:t xml:space="preserve">Deque Systems. (2026). </w:t>
      </w:r>
      <w:r>
        <w:rPr>
          <w:rFonts w:ascii="Times New Roman" w:hAnsi="Times New Roman" w:eastAsia="Times New Roman"/>
          <w:i/>
          <w:color w:val="000000"/>
          <w:sz w:val="24"/>
        </w:rPr>
        <w:t>axe-core</w:t>
      </w:r>
      <w:r>
        <w:rPr>
          <w:rFonts w:ascii="Times New Roman" w:hAnsi="Times New Roman" w:eastAsia="Times New Roman"/>
          <w:i w:val="0"/>
          <w:color w:val="000000"/>
          <w:sz w:val="24"/>
        </w:rPr>
        <w:t xml:space="preserve"> (Versión 4.13.0) [Software]. https://github.com/dequelabs/axe-core</w:t>
      </w:r>
    </w:p>
    <w:p>
      <w:pPr>
        <w:spacing w:before="0" w:after="0" w:line="480" w:lineRule="auto"/>
        <w:ind w:left="720" w:hanging="720"/>
      </w:pPr>
      <w:r>
        <w:rPr>
          <w:rFonts w:ascii="Times New Roman" w:hAnsi="Times New Roman" w:eastAsia="Times New Roman"/>
          <w:i w:val="0"/>
          <w:color w:val="000000"/>
          <w:sz w:val="24"/>
        </w:rPr>
        <w:t xml:space="preserve">Deterding, S., Dixon, D., Khaled, R., y Nacke, L. (2011). From game design elements to gamefulness: Defining “gamification”. En </w:t>
      </w:r>
      <w:r>
        <w:rPr>
          <w:rFonts w:ascii="Times New Roman" w:hAnsi="Times New Roman" w:eastAsia="Times New Roman"/>
          <w:i/>
          <w:color w:val="000000"/>
          <w:sz w:val="24"/>
        </w:rPr>
        <w:t>Proceedings of the 15th International Academic MindTrek Conference</w:t>
      </w:r>
      <w:r>
        <w:rPr>
          <w:rFonts w:ascii="Times New Roman" w:hAnsi="Times New Roman" w:eastAsia="Times New Roman"/>
          <w:i w:val="0"/>
          <w:color w:val="000000"/>
          <w:sz w:val="24"/>
        </w:rPr>
        <w:t xml:space="preserve"> (pp. 9–15). Association for Computing Machinery. https://doi.org/10.1145/2181037.2181040</w:t>
      </w:r>
    </w:p>
    <w:p>
      <w:pPr>
        <w:spacing w:before="0" w:after="0" w:line="480" w:lineRule="auto"/>
        <w:ind w:left="720" w:hanging="720"/>
      </w:pPr>
      <w:r>
        <w:rPr>
          <w:rFonts w:ascii="Times New Roman" w:hAnsi="Times New Roman" w:eastAsia="Times New Roman"/>
          <w:i w:val="0"/>
          <w:color w:val="000000"/>
          <w:sz w:val="24"/>
        </w:rPr>
        <w:t xml:space="preserve">Díaz-Barriga Arceo, F., y Hernández Rojas, G. (2002). </w:t>
      </w:r>
      <w:r>
        <w:rPr>
          <w:rFonts w:ascii="Times New Roman" w:hAnsi="Times New Roman" w:eastAsia="Times New Roman"/>
          <w:i/>
          <w:color w:val="000000"/>
          <w:sz w:val="24"/>
        </w:rPr>
        <w:t>Estrategias docentes para un aprendizaje significativo: Una interpretación constructivista</w:t>
      </w:r>
      <w:r>
        <w:rPr>
          <w:rFonts w:ascii="Times New Roman" w:hAnsi="Times New Roman" w:eastAsia="Times New Roman"/>
          <w:i w:val="0"/>
          <w:color w:val="000000"/>
          <w:sz w:val="24"/>
        </w:rPr>
        <w:t xml:space="preserve"> (2.ª ed.). McGraw-Hill.</w:t>
      </w:r>
    </w:p>
    <w:p>
      <w:pPr>
        <w:spacing w:before="0" w:after="0" w:line="480" w:lineRule="auto"/>
        <w:ind w:left="720" w:hanging="720"/>
      </w:pPr>
      <w:r>
        <w:rPr>
          <w:rFonts w:ascii="Times New Roman" w:hAnsi="Times New Roman" w:eastAsia="Times New Roman"/>
          <w:i w:val="0"/>
          <w:color w:val="000000"/>
          <w:sz w:val="24"/>
        </w:rPr>
        <w:t xml:space="preserve">Git Project. (s.f.). </w:t>
      </w:r>
      <w:r>
        <w:rPr>
          <w:rFonts w:ascii="Times New Roman" w:hAnsi="Times New Roman" w:eastAsia="Times New Roman"/>
          <w:i/>
          <w:color w:val="000000"/>
          <w:sz w:val="24"/>
        </w:rPr>
        <w:t>Git documentation</w:t>
      </w:r>
      <w:r>
        <w:rPr>
          <w:rFonts w:ascii="Times New Roman" w:hAnsi="Times New Roman" w:eastAsia="Times New Roman"/>
          <w:i w:val="0"/>
          <w:color w:val="000000"/>
          <w:sz w:val="24"/>
        </w:rPr>
        <w:t>. Recuperado el 2 de octubre de 2026, de https://git-scm.com/doc</w:t>
      </w:r>
    </w:p>
    <w:p>
      <w:pPr>
        <w:spacing w:before="0" w:after="0" w:line="480" w:lineRule="auto"/>
        <w:ind w:left="720" w:hanging="720"/>
      </w:pPr>
      <w:r>
        <w:rPr>
          <w:rFonts w:ascii="Times New Roman" w:hAnsi="Times New Roman" w:eastAsia="Times New Roman"/>
          <w:i w:val="0"/>
          <w:color w:val="000000"/>
          <w:sz w:val="24"/>
        </w:rPr>
        <w:t xml:space="preserve">Gros Salvat, B. (1997). </w:t>
      </w:r>
      <w:r>
        <w:rPr>
          <w:rFonts w:ascii="Times New Roman" w:hAnsi="Times New Roman" w:eastAsia="Times New Roman"/>
          <w:i/>
          <w:color w:val="000000"/>
          <w:sz w:val="24"/>
        </w:rPr>
        <w:t>Diseños y programas educativos: Pautas pedagógicas para la elaboración de software</w:t>
      </w:r>
      <w:r>
        <w:rPr>
          <w:rFonts w:ascii="Times New Roman" w:hAnsi="Times New Roman" w:eastAsia="Times New Roman"/>
          <w:i w:val="0"/>
          <w:color w:val="000000"/>
          <w:sz w:val="24"/>
        </w:rPr>
        <w:t>. Ariel.</w:t>
      </w:r>
    </w:p>
    <w:p>
      <w:pPr>
        <w:spacing w:before="0" w:after="0" w:line="480" w:lineRule="auto"/>
        <w:ind w:left="720" w:hanging="720"/>
      </w:pPr>
      <w:r>
        <w:rPr>
          <w:rFonts w:ascii="Times New Roman" w:hAnsi="Times New Roman" w:eastAsia="Times New Roman"/>
          <w:i w:val="0"/>
          <w:color w:val="000000"/>
          <w:sz w:val="24"/>
        </w:rPr>
        <w:t xml:space="preserve">Haaranen, L., y Lehtinen, T. (2015). Teaching Git on the side: Version control system as a course platform. En </w:t>
      </w:r>
      <w:r>
        <w:rPr>
          <w:rFonts w:ascii="Times New Roman" w:hAnsi="Times New Roman" w:eastAsia="Times New Roman"/>
          <w:i/>
          <w:color w:val="000000"/>
          <w:sz w:val="24"/>
        </w:rPr>
        <w:t>Proceedings of the 2015 ACM Conference on Innovation and Technology in Computer Science Education</w:t>
      </w:r>
      <w:r>
        <w:rPr>
          <w:rFonts w:ascii="Times New Roman" w:hAnsi="Times New Roman" w:eastAsia="Times New Roman"/>
          <w:i w:val="0"/>
          <w:color w:val="000000"/>
          <w:sz w:val="24"/>
        </w:rPr>
        <w:t xml:space="preserve"> (pp. 87–92). Association for Computing Machinery. https://doi.org/10.1145/2729094.2742608</w:t>
      </w:r>
    </w:p>
    <w:p>
      <w:pPr>
        <w:spacing w:before="0" w:after="0" w:line="480" w:lineRule="auto"/>
        <w:ind w:left="720" w:hanging="720"/>
      </w:pPr>
      <w:r>
        <w:rPr>
          <w:rFonts w:ascii="Times New Roman" w:hAnsi="Times New Roman" w:eastAsia="Times New Roman"/>
          <w:i w:val="0"/>
          <w:color w:val="000000"/>
          <w:sz w:val="24"/>
        </w:rPr>
        <w:t xml:space="preserve">Hattie, J., y Timperley, H. (2007). The power of feedback. </w:t>
      </w:r>
      <w:r>
        <w:rPr>
          <w:rFonts w:ascii="Times New Roman" w:hAnsi="Times New Roman" w:eastAsia="Times New Roman"/>
          <w:i/>
          <w:color w:val="000000"/>
          <w:sz w:val="24"/>
        </w:rPr>
        <w:t>Review of Educational Research, 77</w:t>
      </w:r>
      <w:r>
        <w:rPr>
          <w:rFonts w:ascii="Times New Roman" w:hAnsi="Times New Roman" w:eastAsia="Times New Roman"/>
          <w:i w:val="0"/>
          <w:color w:val="000000"/>
          <w:sz w:val="24"/>
        </w:rPr>
        <w:t>(1), 81–112. https://doi.org/10.3102/003465430298487</w:t>
      </w:r>
    </w:p>
    <w:p>
      <w:pPr>
        <w:spacing w:before="0" w:after="0" w:line="480" w:lineRule="auto"/>
        <w:ind w:left="720" w:hanging="720"/>
      </w:pPr>
      <w:r>
        <w:rPr>
          <w:rFonts w:ascii="Times New Roman" w:hAnsi="Times New Roman" w:eastAsia="Times New Roman"/>
          <w:i w:val="0"/>
          <w:color w:val="000000"/>
          <w:sz w:val="24"/>
        </w:rPr>
        <w:t xml:space="preserve">Herrera Batista, M. Á. (2006). Consideraciones para el diseño didáctico de ambientes virtuales de aprendizaje: Una propuesta basada en las funciones cognitivas del aprendizaje. </w:t>
      </w:r>
      <w:r>
        <w:rPr>
          <w:rFonts w:ascii="Times New Roman" w:hAnsi="Times New Roman" w:eastAsia="Times New Roman"/>
          <w:i/>
          <w:color w:val="000000"/>
          <w:sz w:val="24"/>
        </w:rPr>
        <w:t>Revista Iberoamericana de Educación, 38</w:t>
      </w:r>
      <w:r>
        <w:rPr>
          <w:rFonts w:ascii="Times New Roman" w:hAnsi="Times New Roman" w:eastAsia="Times New Roman"/>
          <w:i w:val="0"/>
          <w:color w:val="000000"/>
          <w:sz w:val="24"/>
        </w:rPr>
        <w:t>(5), 1–20. https://doi.org/10.35362/rie3852623</w:t>
      </w:r>
    </w:p>
    <w:p>
      <w:pPr>
        <w:spacing w:before="0" w:after="0" w:line="480" w:lineRule="auto"/>
        <w:ind w:left="720" w:hanging="720"/>
      </w:pPr>
      <w:r>
        <w:rPr>
          <w:rFonts w:ascii="Times New Roman" w:hAnsi="Times New Roman" w:eastAsia="Times New Roman"/>
          <w:i w:val="0"/>
          <w:color w:val="000000"/>
          <w:sz w:val="24"/>
        </w:rPr>
        <w:t xml:space="preserve">IBM. (s.f.). </w:t>
      </w:r>
      <w:r>
        <w:rPr>
          <w:rFonts w:ascii="Times New Roman" w:hAnsi="Times New Roman" w:eastAsia="Times New Roman"/>
          <w:i/>
          <w:color w:val="000000"/>
          <w:sz w:val="24"/>
        </w:rPr>
        <w:t>Low-code vs. no-code: What’s the difference?</w:t>
      </w:r>
      <w:r>
        <w:rPr>
          <w:rFonts w:ascii="Times New Roman" w:hAnsi="Times New Roman" w:eastAsia="Times New Roman"/>
          <w:i w:val="0"/>
          <w:color w:val="000000"/>
          <w:sz w:val="24"/>
        </w:rPr>
        <w:t xml:space="preserve"> Recuperado el 17 de octubre de 2026, de https://www.ibm.com/think/topics/low-code-vs-no-code</w:t>
      </w:r>
    </w:p>
    <w:p>
      <w:pPr>
        <w:spacing w:before="0" w:after="0" w:line="480" w:lineRule="auto"/>
        <w:ind w:left="720" w:hanging="720"/>
      </w:pPr>
      <w:r>
        <w:rPr>
          <w:rFonts w:ascii="Times New Roman" w:hAnsi="Times New Roman" w:eastAsia="Times New Roman"/>
          <w:i w:val="0"/>
          <w:color w:val="000000"/>
          <w:sz w:val="24"/>
        </w:rPr>
        <w:t xml:space="preserve">Kolb, D. A. (1984). </w:t>
      </w:r>
      <w:r>
        <w:rPr>
          <w:rFonts w:ascii="Times New Roman" w:hAnsi="Times New Roman" w:eastAsia="Times New Roman"/>
          <w:i/>
          <w:color w:val="000000"/>
          <w:sz w:val="24"/>
        </w:rPr>
        <w:t>Experiential learning: Experience as the source of learning and development</w:t>
      </w:r>
      <w:r>
        <w:rPr>
          <w:rFonts w:ascii="Times New Roman" w:hAnsi="Times New Roman" w:eastAsia="Times New Roman"/>
          <w:i w:val="0"/>
          <w:color w:val="000000"/>
          <w:sz w:val="24"/>
        </w:rPr>
        <w:t>. Prentice-Hall.</w:t>
      </w:r>
    </w:p>
    <w:p>
      <w:pPr>
        <w:spacing w:before="0" w:after="0" w:line="480" w:lineRule="auto"/>
        <w:ind w:left="720" w:hanging="720"/>
      </w:pPr>
      <w:r>
        <w:rPr>
          <w:rFonts w:ascii="Times New Roman" w:hAnsi="Times New Roman" w:eastAsia="Times New Roman"/>
          <w:i w:val="0"/>
          <w:color w:val="000000"/>
          <w:sz w:val="24"/>
        </w:rPr>
        <w:t xml:space="preserve">Lodi, M., y Martini, S. (2021). Computational thinking, between Papert and Wing. </w:t>
      </w:r>
      <w:r>
        <w:rPr>
          <w:rFonts w:ascii="Times New Roman" w:hAnsi="Times New Roman" w:eastAsia="Times New Roman"/>
          <w:i/>
          <w:color w:val="000000"/>
          <w:sz w:val="24"/>
        </w:rPr>
        <w:t>Science &amp; Education, 30</w:t>
      </w:r>
      <w:r>
        <w:rPr>
          <w:rFonts w:ascii="Times New Roman" w:hAnsi="Times New Roman" w:eastAsia="Times New Roman"/>
          <w:i w:val="0"/>
          <w:color w:val="000000"/>
          <w:sz w:val="24"/>
        </w:rPr>
        <w:t>(4), 883–908. https://doi.org/10.1007/s11191-021-00202-5</w:t>
      </w:r>
    </w:p>
    <w:p>
      <w:pPr>
        <w:spacing w:before="0" w:after="0" w:line="480" w:lineRule="auto"/>
        <w:ind w:left="720" w:hanging="720"/>
      </w:pPr>
      <w:r>
        <w:rPr>
          <w:rFonts w:ascii="Times New Roman" w:hAnsi="Times New Roman" w:eastAsia="Times New Roman"/>
          <w:i w:val="0"/>
          <w:color w:val="000000"/>
          <w:sz w:val="24"/>
        </w:rPr>
        <w:t xml:space="preserve">Mayer, R. E. (2021). </w:t>
      </w:r>
      <w:r>
        <w:rPr>
          <w:rFonts w:ascii="Times New Roman" w:hAnsi="Times New Roman" w:eastAsia="Times New Roman"/>
          <w:i/>
          <w:color w:val="000000"/>
          <w:sz w:val="24"/>
        </w:rPr>
        <w:t>Multimedia learning</w:t>
      </w:r>
      <w:r>
        <w:rPr>
          <w:rFonts w:ascii="Times New Roman" w:hAnsi="Times New Roman" w:eastAsia="Times New Roman"/>
          <w:i w:val="0"/>
          <w:color w:val="000000"/>
          <w:sz w:val="24"/>
        </w:rPr>
        <w:t xml:space="preserve"> (3.ª ed.). Cambridge University Press. https://doi.org/10.1017/9781316941355</w:t>
      </w:r>
    </w:p>
    <w:p>
      <w:pPr>
        <w:spacing w:before="0" w:after="0" w:line="480" w:lineRule="auto"/>
        <w:ind w:left="720" w:hanging="720"/>
      </w:pPr>
      <w:r>
        <w:rPr>
          <w:rFonts w:ascii="Times New Roman" w:hAnsi="Times New Roman" w:eastAsia="Times New Roman"/>
          <w:i w:val="0"/>
          <w:color w:val="000000"/>
          <w:sz w:val="24"/>
        </w:rPr>
        <w:t xml:space="preserve">Meta Platforms. (2026). </w:t>
      </w:r>
      <w:r>
        <w:rPr>
          <w:rFonts w:ascii="Times New Roman" w:hAnsi="Times New Roman" w:eastAsia="Times New Roman"/>
          <w:i/>
          <w:color w:val="000000"/>
          <w:sz w:val="24"/>
        </w:rPr>
        <w:t>React</w:t>
      </w:r>
      <w:r>
        <w:rPr>
          <w:rFonts w:ascii="Times New Roman" w:hAnsi="Times New Roman" w:eastAsia="Times New Roman"/>
          <w:i w:val="0"/>
          <w:color w:val="000000"/>
          <w:sz w:val="24"/>
        </w:rPr>
        <w:t xml:space="preserve"> (Versión 19.2.6) [Software]. https://react.dev</w:t>
      </w:r>
    </w:p>
    <w:p>
      <w:pPr>
        <w:spacing w:before="0" w:after="0" w:line="480" w:lineRule="auto"/>
        <w:ind w:left="720" w:hanging="720"/>
      </w:pPr>
      <w:r>
        <w:rPr>
          <w:rFonts w:ascii="Times New Roman" w:hAnsi="Times New Roman" w:eastAsia="Times New Roman"/>
          <w:i w:val="0"/>
          <w:color w:val="000000"/>
          <w:sz w:val="24"/>
        </w:rPr>
        <w:t xml:space="preserve">Microsoft. (2026). </w:t>
      </w:r>
      <w:r>
        <w:rPr>
          <w:rFonts w:ascii="Times New Roman" w:hAnsi="Times New Roman" w:eastAsia="Times New Roman"/>
          <w:i/>
          <w:color w:val="000000"/>
          <w:sz w:val="24"/>
        </w:rPr>
        <w:t>Playwright</w:t>
      </w:r>
      <w:r>
        <w:rPr>
          <w:rFonts w:ascii="Times New Roman" w:hAnsi="Times New Roman" w:eastAsia="Times New Roman"/>
          <w:i w:val="0"/>
          <w:color w:val="000000"/>
          <w:sz w:val="24"/>
        </w:rPr>
        <w:t xml:space="preserve"> (Versión 1.57.0) [Software]. https://playwright.dev</w:t>
      </w:r>
    </w:p>
    <w:p>
      <w:pPr>
        <w:spacing w:before="0" w:after="0" w:line="480" w:lineRule="auto"/>
        <w:ind w:left="720" w:hanging="720"/>
      </w:pPr>
      <w:r>
        <w:rPr>
          <w:rFonts w:ascii="Times New Roman" w:hAnsi="Times New Roman" w:eastAsia="Times New Roman"/>
          <w:i w:val="0"/>
          <w:color w:val="000000"/>
          <w:sz w:val="24"/>
        </w:rPr>
        <w:t xml:space="preserve">Mozilla Developer Network. (s.f.). </w:t>
      </w:r>
      <w:r>
        <w:rPr>
          <w:rFonts w:ascii="Times New Roman" w:hAnsi="Times New Roman" w:eastAsia="Times New Roman"/>
          <w:i/>
          <w:color w:val="000000"/>
          <w:sz w:val="24"/>
        </w:rPr>
        <w:t>Web Speech API</w:t>
      </w:r>
      <w:r>
        <w:rPr>
          <w:rFonts w:ascii="Times New Roman" w:hAnsi="Times New Roman" w:eastAsia="Times New Roman"/>
          <w:i w:val="0"/>
          <w:color w:val="000000"/>
          <w:sz w:val="24"/>
        </w:rPr>
        <w:t>. Recuperado el 17 de octubre de 2026, de https://developer.mozilla.org/es/docs/Web/API/Web_Speech_API</w:t>
      </w:r>
    </w:p>
    <w:p>
      <w:pPr>
        <w:spacing w:before="0" w:after="0" w:line="480" w:lineRule="auto"/>
        <w:ind w:left="720" w:hanging="720"/>
      </w:pPr>
      <w:r>
        <w:rPr>
          <w:rFonts w:ascii="Times New Roman" w:hAnsi="Times New Roman" w:eastAsia="Times New Roman"/>
          <w:i w:val="0"/>
          <w:color w:val="000000"/>
          <w:sz w:val="24"/>
        </w:rPr>
        <w:t xml:space="preserve">Netlify. (s.f.). </w:t>
      </w:r>
      <w:r>
        <w:rPr>
          <w:rFonts w:ascii="Times New Roman" w:hAnsi="Times New Roman" w:eastAsia="Times New Roman"/>
          <w:i/>
          <w:color w:val="000000"/>
          <w:sz w:val="24"/>
        </w:rPr>
        <w:t>Netlify</w:t>
      </w:r>
      <w:r>
        <w:rPr>
          <w:rFonts w:ascii="Times New Roman" w:hAnsi="Times New Roman" w:eastAsia="Times New Roman"/>
          <w:i w:val="0"/>
          <w:color w:val="000000"/>
          <w:sz w:val="24"/>
        </w:rPr>
        <w:t xml:space="preserve"> [Plataforma de alojamiento web]. Recuperado el 17 de octubre de 2026, de https://www.netlify.com</w:t>
      </w:r>
    </w:p>
    <w:p>
      <w:pPr>
        <w:spacing w:before="0" w:after="0" w:line="480" w:lineRule="auto"/>
        <w:ind w:left="720" w:hanging="720"/>
      </w:pPr>
      <w:r>
        <w:rPr>
          <w:rFonts w:ascii="Times New Roman" w:hAnsi="Times New Roman" w:eastAsia="Times New Roman"/>
          <w:i w:val="0"/>
          <w:color w:val="000000"/>
          <w:sz w:val="24"/>
        </w:rPr>
        <w:t xml:space="preserve">Novak, J. D., y Gowin, D. B. (1988). </w:t>
      </w:r>
      <w:r>
        <w:rPr>
          <w:rFonts w:ascii="Times New Roman" w:hAnsi="Times New Roman" w:eastAsia="Times New Roman"/>
          <w:i/>
          <w:color w:val="000000"/>
          <w:sz w:val="24"/>
        </w:rPr>
        <w:t>Aprendiendo a aprender</w:t>
      </w:r>
      <w:r>
        <w:rPr>
          <w:rFonts w:ascii="Times New Roman" w:hAnsi="Times New Roman" w:eastAsia="Times New Roman"/>
          <w:i w:val="0"/>
          <w:color w:val="000000"/>
          <w:sz w:val="24"/>
        </w:rPr>
        <w:t>. Martínez Roca.</w:t>
      </w:r>
    </w:p>
    <w:p>
      <w:pPr>
        <w:spacing w:before="0" w:after="0" w:line="480" w:lineRule="auto"/>
        <w:ind w:left="720" w:hanging="720"/>
      </w:pPr>
      <w:r>
        <w:rPr>
          <w:rFonts w:ascii="Times New Roman" w:hAnsi="Times New Roman" w:eastAsia="Times New Roman"/>
          <w:i w:val="0"/>
          <w:color w:val="000000"/>
          <w:sz w:val="24"/>
        </w:rPr>
        <w:t xml:space="preserve">Ospina, M., y Carballo Barrera, Y. (2022). Revisión de técnicas y tecnologías para la construcción del producto mínimo viable para emprendimientos universitarios. En </w:t>
      </w:r>
      <w:r>
        <w:rPr>
          <w:rFonts w:ascii="Times New Roman" w:hAnsi="Times New Roman" w:eastAsia="Times New Roman"/>
          <w:i/>
          <w:color w:val="000000"/>
          <w:sz w:val="24"/>
        </w:rPr>
        <w:t>Novena Conferencia Nacional de Computación, Informática y Sistemas (CoNCISa 2022)</w:t>
      </w:r>
      <w:r>
        <w:rPr>
          <w:rFonts w:ascii="Times New Roman" w:hAnsi="Times New Roman" w:eastAsia="Times New Roman"/>
          <w:i w:val="0"/>
          <w:color w:val="000000"/>
          <w:sz w:val="24"/>
        </w:rPr>
        <w:t xml:space="preserve"> (pp. 6–10). Universidad Central de Venezuela. https://www.researchgate.net/publication/377235110_Revision_de_Tecnicas_y_Tecnologias_para_la_Construccion_del_Producto_Minimo_Viable_en_el_Contexto_del_Emprendimiento_Universitario</w:t>
      </w:r>
    </w:p>
    <w:p>
      <w:pPr>
        <w:spacing w:before="0" w:after="0" w:line="480" w:lineRule="auto"/>
        <w:ind w:left="720" w:hanging="720"/>
      </w:pPr>
      <w:r>
        <w:rPr>
          <w:rFonts w:ascii="Times New Roman" w:hAnsi="Times New Roman" w:eastAsia="Times New Roman"/>
          <w:i w:val="0"/>
          <w:color w:val="000000"/>
          <w:sz w:val="24"/>
        </w:rPr>
        <w:t xml:space="preserve">República Bolivariana de Venezuela. (2001, 28 de febrero). </w:t>
      </w:r>
      <w:r>
        <w:rPr>
          <w:rFonts w:ascii="Times New Roman" w:hAnsi="Times New Roman" w:eastAsia="Times New Roman"/>
          <w:i/>
          <w:color w:val="000000"/>
          <w:sz w:val="24"/>
        </w:rPr>
        <w:t>Decreto con Fuerza de Ley sobre Mensajes de Datos y Firmas Electrónicas</w:t>
      </w:r>
      <w:r>
        <w:rPr>
          <w:rFonts w:ascii="Times New Roman" w:hAnsi="Times New Roman" w:eastAsia="Times New Roman"/>
          <w:i w:val="0"/>
          <w:color w:val="000000"/>
          <w:sz w:val="24"/>
        </w:rPr>
        <w:t xml:space="preserve"> (Decreto N.º 1.204). Gaceta Oficial N.º 37.148. https://conatel.gob.ve/wp-content/uploads/2024/08/PDF-Ley-sobre-Mensajes-de-Datos-y-Firmas-Electronicas.pdf</w:t>
      </w:r>
    </w:p>
    <w:p>
      <w:pPr>
        <w:spacing w:before="0" w:after="0" w:line="480" w:lineRule="auto"/>
        <w:ind w:left="720" w:hanging="720"/>
      </w:pPr>
      <w:r>
        <w:rPr>
          <w:rFonts w:ascii="Times New Roman" w:hAnsi="Times New Roman" w:eastAsia="Times New Roman"/>
          <w:i w:val="0"/>
          <w:color w:val="000000"/>
          <w:sz w:val="24"/>
        </w:rPr>
        <w:t xml:space="preserve">República Bolivariana de Venezuela. (2013, 17 de octubre). </w:t>
      </w:r>
      <w:r>
        <w:rPr>
          <w:rFonts w:ascii="Times New Roman" w:hAnsi="Times New Roman" w:eastAsia="Times New Roman"/>
          <w:i/>
          <w:color w:val="000000"/>
          <w:sz w:val="24"/>
        </w:rPr>
        <w:t>Ley de Infogobierno</w:t>
      </w:r>
      <w:r>
        <w:rPr>
          <w:rFonts w:ascii="Times New Roman" w:hAnsi="Times New Roman" w:eastAsia="Times New Roman"/>
          <w:i w:val="0"/>
          <w:color w:val="000000"/>
          <w:sz w:val="24"/>
        </w:rPr>
        <w:t>. Gaceta Oficial N.º 40.274.</w:t>
      </w:r>
    </w:p>
    <w:p>
      <w:pPr>
        <w:spacing w:before="0" w:after="0" w:line="480" w:lineRule="auto"/>
        <w:ind w:left="720" w:hanging="720"/>
      </w:pPr>
      <w:r>
        <w:rPr>
          <w:rFonts w:ascii="Times New Roman" w:hAnsi="Times New Roman" w:eastAsia="Times New Roman"/>
          <w:i w:val="0"/>
          <w:color w:val="000000"/>
          <w:sz w:val="24"/>
        </w:rPr>
        <w:t xml:space="preserve">Shneiderman, B., y Plaisant, C. (2005). </w:t>
      </w:r>
      <w:r>
        <w:rPr>
          <w:rFonts w:ascii="Times New Roman" w:hAnsi="Times New Roman" w:eastAsia="Times New Roman"/>
          <w:i/>
          <w:color w:val="000000"/>
          <w:sz w:val="24"/>
        </w:rPr>
        <w:t>Designing the user interface: Strategies for effective human-computer interaction</w:t>
      </w:r>
      <w:r>
        <w:rPr>
          <w:rFonts w:ascii="Times New Roman" w:hAnsi="Times New Roman" w:eastAsia="Times New Roman"/>
          <w:i w:val="0"/>
          <w:color w:val="000000"/>
          <w:sz w:val="24"/>
        </w:rPr>
        <w:t xml:space="preserve"> (4.ª ed.). Pearson Addison-Wesley.</w:t>
      </w:r>
    </w:p>
    <w:p>
      <w:pPr>
        <w:spacing w:before="0" w:after="0" w:line="480" w:lineRule="auto"/>
        <w:ind w:left="720" w:hanging="720"/>
      </w:pPr>
      <w:r>
        <w:rPr>
          <w:rFonts w:ascii="Times New Roman" w:hAnsi="Times New Roman" w:eastAsia="Times New Roman"/>
          <w:i w:val="0"/>
          <w:color w:val="000000"/>
          <w:sz w:val="24"/>
        </w:rPr>
        <w:t xml:space="preserve">Sommerville, I. (2016). </w:t>
      </w:r>
      <w:r>
        <w:rPr>
          <w:rFonts w:ascii="Times New Roman" w:hAnsi="Times New Roman" w:eastAsia="Times New Roman"/>
          <w:i/>
          <w:color w:val="000000"/>
          <w:sz w:val="24"/>
        </w:rPr>
        <w:t>Software engineering</w:t>
      </w:r>
      <w:r>
        <w:rPr>
          <w:rFonts w:ascii="Times New Roman" w:hAnsi="Times New Roman" w:eastAsia="Times New Roman"/>
          <w:i w:val="0"/>
          <w:color w:val="000000"/>
          <w:sz w:val="24"/>
        </w:rPr>
        <w:t xml:space="preserve"> (10.ª ed.). Pearson.</w:t>
      </w:r>
    </w:p>
    <w:p>
      <w:pPr>
        <w:spacing w:before="0" w:after="0" w:line="480" w:lineRule="auto"/>
        <w:ind w:left="720" w:hanging="720"/>
      </w:pPr>
      <w:r>
        <w:rPr>
          <w:rFonts w:ascii="Times New Roman" w:hAnsi="Times New Roman" w:eastAsia="Times New Roman"/>
          <w:i w:val="0"/>
          <w:color w:val="000000"/>
          <w:sz w:val="24"/>
        </w:rPr>
        <w:t xml:space="preserve">Spinellis, D. (2012). Git. </w:t>
      </w:r>
      <w:r>
        <w:rPr>
          <w:rFonts w:ascii="Times New Roman" w:hAnsi="Times New Roman" w:eastAsia="Times New Roman"/>
          <w:i/>
          <w:color w:val="000000"/>
          <w:sz w:val="24"/>
        </w:rPr>
        <w:t>IEEE Software, 29</w:t>
      </w:r>
      <w:r>
        <w:rPr>
          <w:rFonts w:ascii="Times New Roman" w:hAnsi="Times New Roman" w:eastAsia="Times New Roman"/>
          <w:i w:val="0"/>
          <w:color w:val="000000"/>
          <w:sz w:val="24"/>
        </w:rPr>
        <w:t>(3), 100–101. https://doi.org/10.1109/MS.2012.61</w:t>
      </w:r>
    </w:p>
    <w:p>
      <w:pPr>
        <w:spacing w:before="0" w:after="0" w:line="480" w:lineRule="auto"/>
        <w:ind w:left="720" w:hanging="720"/>
      </w:pPr>
      <w:r>
        <w:rPr>
          <w:rFonts w:ascii="Times New Roman" w:hAnsi="Times New Roman" w:eastAsia="Times New Roman"/>
          <w:i w:val="0"/>
          <w:color w:val="000000"/>
          <w:sz w:val="24"/>
        </w:rPr>
        <w:t xml:space="preserve">Sweller, J. (1988). Cognitive load during problem solving: Effects on learning. </w:t>
      </w:r>
      <w:r>
        <w:rPr>
          <w:rFonts w:ascii="Times New Roman" w:hAnsi="Times New Roman" w:eastAsia="Times New Roman"/>
          <w:i/>
          <w:color w:val="000000"/>
          <w:sz w:val="24"/>
        </w:rPr>
        <w:t>Cognitive Science, 12</w:t>
      </w:r>
      <w:r>
        <w:rPr>
          <w:rFonts w:ascii="Times New Roman" w:hAnsi="Times New Roman" w:eastAsia="Times New Roman"/>
          <w:i w:val="0"/>
          <w:color w:val="000000"/>
          <w:sz w:val="24"/>
        </w:rPr>
        <w:t>(2), 257–285. https://doi.org/10.1207/s15516709cog1202_4</w:t>
      </w:r>
    </w:p>
    <w:p>
      <w:pPr>
        <w:spacing w:before="0" w:after="0" w:line="480" w:lineRule="auto"/>
        <w:ind w:left="720" w:hanging="720"/>
      </w:pPr>
      <w:r>
        <w:rPr>
          <w:rFonts w:ascii="Times New Roman" w:hAnsi="Times New Roman" w:eastAsia="Times New Roman"/>
          <w:i w:val="0"/>
          <w:color w:val="000000"/>
          <w:sz w:val="24"/>
        </w:rPr>
        <w:t xml:space="preserve">Torres, J., Riera, R., y Darder, J. (2026). </w:t>
      </w:r>
      <w:r>
        <w:rPr>
          <w:rFonts w:ascii="Times New Roman" w:hAnsi="Times New Roman" w:eastAsia="Times New Roman"/>
          <w:i/>
          <w:color w:val="000000"/>
          <w:sz w:val="24"/>
        </w:rPr>
        <w:t>GitPlayground: Aprende Git interactivo</w:t>
      </w:r>
      <w:r>
        <w:rPr>
          <w:rFonts w:ascii="Times New Roman" w:hAnsi="Times New Roman" w:eastAsia="Times New Roman"/>
          <w:i w:val="0"/>
          <w:color w:val="000000"/>
          <w:sz w:val="24"/>
        </w:rPr>
        <w:t xml:space="preserve"> [Recurso educativo digital]. https://git-playground-ucv.netlify.app</w:t>
      </w:r>
    </w:p>
    <w:p>
      <w:pPr>
        <w:spacing w:before="0" w:after="0" w:line="480" w:lineRule="auto"/>
        <w:ind w:left="720" w:hanging="720"/>
      </w:pPr>
      <w:r>
        <w:rPr>
          <w:rFonts w:ascii="Times New Roman" w:hAnsi="Times New Roman" w:eastAsia="Times New Roman"/>
          <w:i w:val="0"/>
          <w:color w:val="000000"/>
          <w:sz w:val="24"/>
        </w:rPr>
        <w:t xml:space="preserve">UNESCO. (2019). </w:t>
      </w:r>
      <w:r>
        <w:rPr>
          <w:rFonts w:ascii="Times New Roman" w:hAnsi="Times New Roman" w:eastAsia="Times New Roman"/>
          <w:i/>
          <w:color w:val="000000"/>
          <w:sz w:val="24"/>
        </w:rPr>
        <w:t>Recomendación sobre los recursos educativos abiertos (REA)</w:t>
      </w:r>
      <w:r>
        <w:rPr>
          <w:rFonts w:ascii="Times New Roman" w:hAnsi="Times New Roman" w:eastAsia="Times New Roman"/>
          <w:i w:val="0"/>
          <w:color w:val="000000"/>
          <w:sz w:val="24"/>
        </w:rPr>
        <w:t>. https://unesdoc.unesco.org/ark:/48223/pf0000373755</w:t>
      </w:r>
    </w:p>
    <w:p>
      <w:pPr>
        <w:spacing w:before="0" w:after="0" w:line="480" w:lineRule="auto"/>
        <w:ind w:left="720" w:hanging="720"/>
      </w:pPr>
      <w:r>
        <w:rPr>
          <w:rFonts w:ascii="Times New Roman" w:hAnsi="Times New Roman" w:eastAsia="Times New Roman"/>
          <w:i w:val="0"/>
          <w:color w:val="000000"/>
          <w:sz w:val="24"/>
        </w:rPr>
        <w:t xml:space="preserve">VoidZero. (2026a). </w:t>
      </w:r>
      <w:r>
        <w:rPr>
          <w:rFonts w:ascii="Times New Roman" w:hAnsi="Times New Roman" w:eastAsia="Times New Roman"/>
          <w:i/>
          <w:color w:val="000000"/>
          <w:sz w:val="24"/>
        </w:rPr>
        <w:t>Vite</w:t>
      </w:r>
      <w:r>
        <w:rPr>
          <w:rFonts w:ascii="Times New Roman" w:hAnsi="Times New Roman" w:eastAsia="Times New Roman"/>
          <w:i w:val="0"/>
          <w:color w:val="000000"/>
          <w:sz w:val="24"/>
        </w:rPr>
        <w:t xml:space="preserve"> (Versión 8.0.14) [Software]. https://vite.dev</w:t>
      </w:r>
    </w:p>
    <w:p>
      <w:pPr>
        <w:spacing w:before="0" w:after="0" w:line="480" w:lineRule="auto"/>
        <w:ind w:left="720" w:hanging="720"/>
      </w:pPr>
      <w:r>
        <w:rPr>
          <w:rFonts w:ascii="Times New Roman" w:hAnsi="Times New Roman" w:eastAsia="Times New Roman"/>
          <w:i w:val="0"/>
          <w:color w:val="000000"/>
          <w:sz w:val="24"/>
        </w:rPr>
        <w:t xml:space="preserve">VoidZero. (2026b). </w:t>
      </w:r>
      <w:r>
        <w:rPr>
          <w:rFonts w:ascii="Times New Roman" w:hAnsi="Times New Roman" w:eastAsia="Times New Roman"/>
          <w:i/>
          <w:color w:val="000000"/>
          <w:sz w:val="24"/>
        </w:rPr>
        <w:t>Vitest</w:t>
      </w:r>
      <w:r>
        <w:rPr>
          <w:rFonts w:ascii="Times New Roman" w:hAnsi="Times New Roman" w:eastAsia="Times New Roman"/>
          <w:i w:val="0"/>
          <w:color w:val="000000"/>
          <w:sz w:val="24"/>
        </w:rPr>
        <w:t xml:space="preserve"> (Versión 5.0.3) [Software]. https://vitest.dev</w:t>
      </w:r>
    </w:p>
    <w:p>
      <w:pPr>
        <w:spacing w:before="0" w:after="0" w:line="480" w:lineRule="auto"/>
        <w:ind w:left="720" w:hanging="720"/>
      </w:pPr>
      <w:r>
        <w:rPr>
          <w:rFonts w:ascii="Times New Roman" w:hAnsi="Times New Roman" w:eastAsia="Times New Roman"/>
          <w:i w:val="0"/>
          <w:color w:val="000000"/>
          <w:sz w:val="24"/>
        </w:rPr>
        <w:t xml:space="preserve">Vygotsky, L. S. (1978). </w:t>
      </w:r>
      <w:r>
        <w:rPr>
          <w:rFonts w:ascii="Times New Roman" w:hAnsi="Times New Roman" w:eastAsia="Times New Roman"/>
          <w:i/>
          <w:color w:val="000000"/>
          <w:sz w:val="24"/>
        </w:rPr>
        <w:t>Mind in society: The development of higher psychological processes</w:t>
      </w:r>
      <w:r>
        <w:rPr>
          <w:rFonts w:ascii="Times New Roman" w:hAnsi="Times New Roman" w:eastAsia="Times New Roman"/>
          <w:i w:val="0"/>
          <w:color w:val="000000"/>
          <w:sz w:val="24"/>
        </w:rPr>
        <w:t>. Harvard University Press.</w:t>
      </w:r>
    </w:p>
    <w:p>
      <w:pPr>
        <w:spacing w:before="0" w:after="0" w:line="480" w:lineRule="auto"/>
        <w:ind w:left="720" w:hanging="720"/>
      </w:pPr>
      <w:r>
        <w:rPr>
          <w:rFonts w:ascii="Times New Roman" w:hAnsi="Times New Roman" w:eastAsia="Times New Roman"/>
          <w:i w:val="0"/>
          <w:color w:val="000000"/>
          <w:sz w:val="24"/>
        </w:rPr>
        <w:t xml:space="preserve">Wieluch, S., y Morr, S. (s.f.). </w:t>
      </w:r>
      <w:r>
        <w:rPr>
          <w:rFonts w:ascii="Times New Roman" w:hAnsi="Times New Roman" w:eastAsia="Times New Roman"/>
          <w:i/>
          <w:color w:val="000000"/>
          <w:sz w:val="24"/>
        </w:rPr>
        <w:t>Oh My Git!</w:t>
      </w:r>
      <w:r>
        <w:rPr>
          <w:rFonts w:ascii="Times New Roman" w:hAnsi="Times New Roman" w:eastAsia="Times New Roman"/>
          <w:i w:val="0"/>
          <w:color w:val="000000"/>
          <w:sz w:val="24"/>
        </w:rPr>
        <w:t xml:space="preserve"> [Videojuego de código abierto]. Recuperado el 5 de octubre de 2026, de https://ohmygit.org</w:t>
      </w:r>
    </w:p>
    <w:p>
      <w:pPr>
        <w:spacing w:before="0" w:after="0" w:line="480" w:lineRule="auto"/>
        <w:ind w:left="720" w:hanging="720"/>
      </w:pPr>
      <w:r>
        <w:rPr>
          <w:rFonts w:ascii="Times New Roman" w:hAnsi="Times New Roman" w:eastAsia="Times New Roman"/>
          <w:i w:val="0"/>
          <w:color w:val="000000"/>
          <w:sz w:val="24"/>
        </w:rPr>
        <w:t xml:space="preserve">Wood, D., Bruner, J. S., y Ross, G. (1976). The role of tutoring in problem solving. </w:t>
      </w:r>
      <w:r>
        <w:rPr>
          <w:rFonts w:ascii="Times New Roman" w:hAnsi="Times New Roman" w:eastAsia="Times New Roman"/>
          <w:i/>
          <w:color w:val="000000"/>
          <w:sz w:val="24"/>
        </w:rPr>
        <w:t>Journal of Child Psychology and Psychiatry, 17</w:t>
      </w:r>
      <w:r>
        <w:rPr>
          <w:rFonts w:ascii="Times New Roman" w:hAnsi="Times New Roman" w:eastAsia="Times New Roman"/>
          <w:i w:val="0"/>
          <w:color w:val="000000"/>
          <w:sz w:val="24"/>
        </w:rPr>
        <w:t>(2), 89–100. https://doi.org/10.1111/j.1469-7610.1976.tb00381.x</w:t>
      </w:r>
    </w:p>
    <w:p>
      <w:pPr>
        <w:spacing w:before="0" w:after="0" w:line="480" w:lineRule="auto"/>
        <w:ind w:left="720" w:hanging="720"/>
      </w:pPr>
      <w:r>
        <w:rPr>
          <w:rFonts w:ascii="Times New Roman" w:hAnsi="Times New Roman" w:eastAsia="Times New Roman"/>
          <w:i w:val="0"/>
          <w:color w:val="000000"/>
          <w:sz w:val="24"/>
        </w:rPr>
        <w:t xml:space="preserve">Woolf, B. P. (2009). </w:t>
      </w:r>
      <w:r>
        <w:rPr>
          <w:rFonts w:ascii="Times New Roman" w:hAnsi="Times New Roman" w:eastAsia="Times New Roman"/>
          <w:i/>
          <w:color w:val="000000"/>
          <w:sz w:val="24"/>
        </w:rPr>
        <w:t>Building intelligent interactive tutors: Student-centered strategies for revolutionizing e-learning</w:t>
      </w:r>
      <w:r>
        <w:rPr>
          <w:rFonts w:ascii="Times New Roman" w:hAnsi="Times New Roman" w:eastAsia="Times New Roman"/>
          <w:i w:val="0"/>
          <w:color w:val="000000"/>
          <w:sz w:val="24"/>
        </w:rPr>
        <w:t>. Morgan Kaufmann.</w:t>
      </w:r>
    </w:p>
    <w:p>
      <w:pPr>
        <w:spacing w:before="0" w:after="0" w:line="480" w:lineRule="auto"/>
        <w:ind w:left="720" w:hanging="720"/>
      </w:pPr>
      <w:r>
        <w:rPr>
          <w:rFonts w:ascii="Times New Roman" w:hAnsi="Times New Roman" w:eastAsia="Times New Roman"/>
          <w:i w:val="0"/>
          <w:color w:val="000000"/>
          <w:sz w:val="24"/>
        </w:rPr>
        <w:t xml:space="preserve">World Wide Web Consortium. (2023). </w:t>
      </w:r>
      <w:r>
        <w:rPr>
          <w:rFonts w:ascii="Times New Roman" w:hAnsi="Times New Roman" w:eastAsia="Times New Roman"/>
          <w:i/>
          <w:color w:val="000000"/>
          <w:sz w:val="24"/>
        </w:rPr>
        <w:t>Web Content Accessibility Guidelines (WCAG) 2.2</w:t>
      </w:r>
      <w:r>
        <w:rPr>
          <w:rFonts w:ascii="Times New Roman" w:hAnsi="Times New Roman" w:eastAsia="Times New Roman"/>
          <w:i w:val="0"/>
          <w:color w:val="000000"/>
          <w:sz w:val="24"/>
        </w:rPr>
        <w:t xml:space="preserve"> [Recomendación W3C]. https://www.w3.org/TR/WCAG22/</w:t>
      </w:r>
    </w:p>
    <w:p>
      <w:pPr>
        <w:spacing w:before="0" w:after="0" w:line="480" w:lineRule="auto"/>
        <w:ind w:left="720" w:hanging="720"/>
      </w:pPr>
      <w:r>
        <w:rPr>
          <w:rFonts w:ascii="Times New Roman" w:hAnsi="Times New Roman" w:eastAsia="Times New Roman"/>
          <w:i w:val="0"/>
          <w:color w:val="000000"/>
          <w:sz w:val="24"/>
        </w:rPr>
        <w:t xml:space="preserve">Zagalsky, A., Feliciano, J., Storey, M.-A., Zhao, Y., y Wang, W. (2015). The emergence of GitHub as a collaborative platform for education. En </w:t>
      </w:r>
      <w:r>
        <w:rPr>
          <w:rFonts w:ascii="Times New Roman" w:hAnsi="Times New Roman" w:eastAsia="Times New Roman"/>
          <w:i/>
          <w:color w:val="000000"/>
          <w:sz w:val="24"/>
        </w:rPr>
        <w:t>Proceedings of the 18th ACM Conference on Computer Supported Cooperative Work &amp; Social Computing</w:t>
      </w:r>
      <w:r>
        <w:rPr>
          <w:rFonts w:ascii="Times New Roman" w:hAnsi="Times New Roman" w:eastAsia="Times New Roman"/>
          <w:i w:val="0"/>
          <w:color w:val="000000"/>
          <w:sz w:val="24"/>
        </w:rPr>
        <w:t xml:space="preserve"> (pp. 1906–1917). Association for Computing Machinery. https://doi.org/10.1145/2675133.2675284</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000000"/>
        <w:sz w:val="24"/>
      </w:rPr>
      <w:fldChar w:fldCharType="begin"/>
      <w:instrText xml:space="preserve"> PAGE </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e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