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jc w:val="center"/>
      </w:pPr>
      <w:r>
        <w:rPr>
          <w:rFonts w:ascii="Georgia" w:cs="Georgia" w:eastAsia="Georgia" w:hAnsi="Georgia"/>
          <w:color w:val="D4AF37"/>
          <w:sz w:val="56"/>
          <w:szCs w:val="56"/>
        </w:rPr>
        <w:t xml:space="preserve">✧</w:t>
      </w:r>
    </w:p>
    <w:p>
      <w:pPr>
        <w:spacing w:before="200" w:after="200"/>
      </w:pPr>
    </w:p>
    <w:p>
      <w:pPr>
        <w:jc w:val="center"/>
      </w:pPr>
      <w:r>
        <w:rPr>
          <w:rFonts w:ascii="Georgia" w:cs="Georgia" w:eastAsia="Georgia" w:hAnsi="Georgia"/>
          <w:b/>
          <w:bCs/>
          <w:color w:val="0D0D0D"/>
          <w:spacing w:val="400"/>
          <w:sz w:val="72"/>
          <w:szCs w:val="72"/>
        </w:rPr>
        <w:t xml:space="preserve">TRIVENI</w:t>
      </w:r>
    </w:p>
    <w:p>
      <w:pPr>
        <w:spacing w:after="80"/>
        <w:jc w:val="center"/>
      </w:pPr>
      <w:r>
        <w:rPr>
          <w:rFonts w:ascii="Arial" w:cs="Arial" w:eastAsia="Arial" w:hAnsi="Arial"/>
          <w:color w:val="C5A55A"/>
          <w:spacing w:val="600"/>
          <w:sz w:val="28"/>
          <w:szCs w:val="28"/>
        </w:rPr>
        <w:t xml:space="preserve">TOKEN ECONOMICS</w:t>
      </w:r>
    </w:p>
    <w:p>
      <w:pPr>
        <w:spacing w:before="100" w:after="100"/>
      </w:pPr>
    </w:p>
    <w:p>
      <w:pPr>
        <w:pBdr>
          <w:bottom w:val="single" w:color="D4AF37" w:sz="4" w:space="1"/>
        </w:pBdr>
        <w:jc w:val="center"/>
      </w:pPr>
    </w:p>
    <w:p>
      <w:pPr>
        <w:spacing w:before="200" w:after="200"/>
      </w:pPr>
    </w:p>
    <w:p>
      <w:pPr>
        <w:spacing w:after="80"/>
        <w:jc w:val="center"/>
      </w:pPr>
      <w:r>
        <w:rPr>
          <w:rFonts w:ascii="Georgia" w:cs="Georgia" w:eastAsia="Georgia" w:hAnsi="Georgia"/>
          <w:i/>
          <w:iCs/>
          <w:color w:val="3A3A3A"/>
          <w:sz w:val="26"/>
          <w:szCs w:val="26"/>
        </w:rPr>
        <w:t xml:space="preserve">Wellness Rewards for Body, Spirit &amp; Nutrition</w:t>
      </w:r>
    </w:p>
    <w:p>
      <w:pPr>
        <w:spacing w:after="80"/>
        <w:jc w:val="center"/>
      </w:pPr>
      <w:r>
        <w:rPr>
          <w:rFonts w:ascii="Arial" w:cs="Arial" w:eastAsia="Arial" w:hAnsi="Arial"/>
          <w:color w:val="C5A55A"/>
          <w:sz w:val="20"/>
          <w:szCs w:val="20"/>
        </w:rPr>
        <w:t xml:space="preserve">Ticker: TRV  |  Network: Polygon  |  Standard: ERC-20</w:t>
      </w:r>
    </w:p>
    <w:p>
      <w:pPr>
        <w:spacing w:before="1200" w:after="1200"/>
      </w:pPr>
    </w:p>
    <w:p>
      <w:pPr>
        <w:jc w:val="center"/>
      </w:pPr>
      <w:r>
        <w:rPr>
          <w:rFonts w:ascii="Arial" w:cs="Arial" w:eastAsia="Arial" w:hAnsi="Arial"/>
          <w:color w:val="3A3A3A"/>
          <w:sz w:val="20"/>
          <w:szCs w:val="20"/>
        </w:rPr>
        <w:t xml:space="preserve">Version 1.0  —  March 2026</w:t>
      </w:r>
    </w:p>
    <w:p>
      <w:pPr>
        <w:jc w:val="center"/>
      </w:pPr>
      <w:r>
        <w:rPr>
          <w:rFonts w:ascii="Arial" w:cs="Arial" w:eastAsia="Arial" w:hAnsi="Arial"/>
          <w:b/>
          <w:bCs/>
          <w:color w:val="C5A55A"/>
          <w:spacing w:val="300"/>
          <w:sz w:val="18"/>
          <w:szCs w:val="18"/>
        </w:rPr>
        <w:t xml:space="preserve">CONFIDENTIAL</w:t>
      </w:r>
    </w:p>
    <w:p>
      <w:pPr>
        <w:sectPr>
          <w:pgSz w:w="12240" w:h="15840" w:orient="portrait"/>
          <w:pgMar w:top="1440" w:right="1440" w:bottom="1440" w:left="1440" w:header="708" w:footer="708" w:gutter="0"/>
          <w:pgNumType/>
          <w:docGrid w:linePitch="360"/>
        </w:sectPr>
      </w:pPr>
    </w:p>
    <w:p>
      <w:pPr>
        <w:spacing w:after="300"/>
      </w:pPr>
      <w:r>
        <w:rPr>
          <w:rFonts w:ascii="Georgia" w:cs="Georgia" w:eastAsia="Georgia" w:hAnsi="Georgia"/>
          <w:b/>
          <w:bCs/>
          <w:color w:val="0D0D0D"/>
          <w:spacing w:val="200"/>
          <w:sz w:val="36"/>
          <w:szCs w:val="36"/>
        </w:rPr>
        <w:t xml:space="preserve">CONTENTS</w:t>
      </w:r>
    </w:p>
    <w:p>
      <w:pPr>
        <w:pBdr>
          <w:bottom w:val="single" w:color="D4AF37" w:sz="6" w:space="1"/>
        </w:pBdr>
        <w:spacing w:before="200" w:after="20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Georgia" w:cs="Georgia" w:eastAsia="Georgia" w:hAnsi="Georgia"/>
          <w:b/>
          <w:bCs/>
          <w:color w:val="0D0D0D"/>
          <w:sz w:val="32"/>
          <w:szCs w:val="32"/>
        </w:rPr>
        <w:t xml:space="preserve">1. Executive Summary</w:t>
      </w:r>
    </w:p>
    <w:p>
      <w:pPr>
        <w:pBdr>
          <w:bottom w:val="single" w:color="D4AF37" w:sz="6" w:space="1"/>
        </w:pBdr>
        <w:spacing w:before="200" w:after="200"/>
      </w:pPr>
    </w:p>
    <w:p>
      <w:pPr>
        <w:spacing w:after="160" w:line="300"/>
      </w:pPr>
      <w:r>
        <w:rPr>
          <w:rFonts w:ascii="Georgia" w:cs="Georgia" w:eastAsia="Georgia" w:hAnsi="Georgia"/>
          <w:color w:val="3A3A3A"/>
          <w:sz w:val="22"/>
          <w:szCs w:val="22"/>
        </w:rPr>
        <w:t xml:space="preserve">TRIVENI Token (TRV) is the native utility token powering the TRIVENI wellness ecosystem. Built on the Polygon network as an ERC-20 token, TRV creates a closed-loop incentive economy where users earn tokens for healthy behaviors and spend them on premium app features.</w:t>
      </w:r>
    </w:p>
    <w:p>
      <w:pPr>
        <w:spacing w:after="160" w:line="300"/>
      </w:pPr>
      <w:r>
        <w:rPr>
          <w:rFonts w:ascii="Georgia" w:cs="Georgia" w:eastAsia="Georgia" w:hAnsi="Georgia"/>
          <w:color w:val="3A3A3A"/>
          <w:sz w:val="22"/>
          <w:szCs w:val="22"/>
        </w:rPr>
        <w:t xml:space="preserve">The token bridges three core wellness pillars — Body, Spirit, and Nutrition — into a single, unified reward currency. By aligning financial incentives with health outcomes, TRV transforms passive app usage into active wellness engagement.</w:t>
      </w:r>
    </w:p>
    <w:p>
      <w:pPr>
        <w:spacing w:after="160" w:line="300"/>
      </w:pPr>
      <w:r>
        <w:rPr>
          <w:rFonts w:ascii="Georgia" w:cs="Georgia" w:eastAsia="Georgia" w:hAnsi="Georgia"/>
          <w:b/>
          <w:bCs/>
          <w:color w:val="3A3A3A"/>
          <w:sz w:val="22"/>
          <w:szCs w:val="22"/>
        </w:rPr>
        <w:t xml:space="preserve">Key Highlights: </w:t>
      </w:r>
      <w:r>
        <w:rPr>
          <w:rFonts w:ascii="Georgia" w:cs="Georgia" w:eastAsia="Georgia" w:hAnsi="Georgia"/>
          <w:color w:val="3A3A3A"/>
          <w:sz w:val="22"/>
          <w:szCs w:val="22"/>
        </w:rPr>
        <w:t xml:space="preserve">100M max supply (hard-capped), deflationary burn mechanism on premium purchases, streak-based multipliers rewarding consistency up to 3x, daily reward caps preventing abuse, and Polygon deployment ensuring sub-cent transaction costs.</w:t>
      </w:r>
    </w:p>
    <w:p>
      <w:r>
        <w:br w:type="page"/>
      </w:r>
    </w:p>
    <w:p>
      <w:pPr>
        <w:pStyle w:val="Heading1"/>
      </w:pPr>
      <w:r>
        <w:rPr>
          <w:rFonts w:ascii="Georgia" w:cs="Georgia" w:eastAsia="Georgia" w:hAnsi="Georgia"/>
          <w:b/>
          <w:bCs/>
          <w:color w:val="0D0D0D"/>
          <w:sz w:val="32"/>
          <w:szCs w:val="32"/>
        </w:rPr>
        <w:t xml:space="preserve">2. Token Overview</w:t>
      </w:r>
    </w:p>
    <w:p>
      <w:pPr>
        <w:pBdr>
          <w:bottom w:val="single" w:color="D4AF37"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r>
              <w:rPr>
                <w:rFonts w:ascii="Arial" w:cs="Arial" w:eastAsia="Arial" w:hAnsi="Arial"/>
                <w:b/>
                <w:bCs/>
                <w:color w:val="3A3A3A"/>
                <w:sz w:val="20"/>
                <w:szCs w:val="20"/>
              </w:rPr>
              <w:t xml:space="preserve">Token Name</w:t>
            </w:r>
          </w:p>
        </w:tc>
        <w:tc>
          <w:tcPr>
            <w:tcW w:type="dxa" w:w="616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r>
              <w:rPr>
                <w:rFonts w:ascii="Arial" w:cs="Arial" w:eastAsia="Arial" w:hAnsi="Arial"/>
                <w:color w:val="3A3A3A"/>
                <w:sz w:val="20"/>
                <w:szCs w:val="20"/>
              </w:rPr>
              <w:t xml:space="preserve">Triveni</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3A3A3A"/>
                <w:sz w:val="20"/>
                <w:szCs w:val="20"/>
              </w:rPr>
              <w:t xml:space="preserve">Ticker Symbol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A3A3A"/>
                <w:sz w:val="20"/>
                <w:szCs w:val="20"/>
              </w:rPr>
              <w:t xml:space="preserve">TRV</w:t>
            </w:r>
          </w:p>
        </w:tc>
      </w:tr>
      <w:tr>
        <w:tc>
          <w:tcPr>
            <w:tcW w:type="dxa" w:w="32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r>
              <w:rPr>
                <w:rFonts w:ascii="Arial" w:cs="Arial" w:eastAsia="Arial" w:hAnsi="Arial"/>
                <w:b/>
                <w:bCs/>
                <w:color w:val="3A3A3A"/>
                <w:sz w:val="20"/>
                <w:szCs w:val="20"/>
              </w:rPr>
              <w:t xml:space="preserve">Network</w:t>
            </w:r>
          </w:p>
        </w:tc>
        <w:tc>
          <w:tcPr>
            <w:tcW w:type="dxa" w:w="616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r>
              <w:rPr>
                <w:rFonts w:ascii="Arial" w:cs="Arial" w:eastAsia="Arial" w:hAnsi="Arial"/>
                <w:color w:val="3A3A3A"/>
                <w:sz w:val="20"/>
                <w:szCs w:val="20"/>
              </w:rPr>
              <w:t xml:space="preserve">Polygon (Matic)</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3A3A3A"/>
                <w:sz w:val="20"/>
                <w:szCs w:val="20"/>
              </w:rPr>
              <w:t xml:space="preserve">Token Standard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A3A3A"/>
                <w:sz w:val="20"/>
                <w:szCs w:val="20"/>
              </w:rPr>
              <w:t xml:space="preserve">ERC-20</w:t>
            </w:r>
          </w:p>
        </w:tc>
      </w:tr>
      <w:tr>
        <w:tc>
          <w:tcPr>
            <w:tcW w:type="dxa" w:w="32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r>
              <w:rPr>
                <w:rFonts w:ascii="Arial" w:cs="Arial" w:eastAsia="Arial" w:hAnsi="Arial"/>
                <w:b/>
                <w:bCs/>
                <w:color w:val="3A3A3A"/>
                <w:sz w:val="20"/>
                <w:szCs w:val="20"/>
              </w:rPr>
              <w:t xml:space="preserve">Max Supply</w:t>
            </w:r>
          </w:p>
        </w:tc>
        <w:tc>
          <w:tcPr>
            <w:tcW w:type="dxa" w:w="616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r>
              <w:rPr>
                <w:rFonts w:ascii="Arial" w:cs="Arial" w:eastAsia="Arial" w:hAnsi="Arial"/>
                <w:color w:val="3A3A3A"/>
                <w:sz w:val="20"/>
                <w:szCs w:val="20"/>
              </w:rPr>
              <w:t xml:space="preserve">100,000,000 TRV</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3A3A3A"/>
                <w:sz w:val="20"/>
                <w:szCs w:val="20"/>
              </w:rPr>
              <w:t xml:space="preserve">Initial Circulating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A3A3A"/>
                <w:sz w:val="20"/>
                <w:szCs w:val="20"/>
              </w:rPr>
              <w:t xml:space="preserve">10,000,000 TRV (10%)</w:t>
            </w:r>
          </w:p>
        </w:tc>
      </w:tr>
      <w:tr>
        <w:tc>
          <w:tcPr>
            <w:tcW w:type="dxa" w:w="32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r>
              <w:rPr>
                <w:rFonts w:ascii="Arial" w:cs="Arial" w:eastAsia="Arial" w:hAnsi="Arial"/>
                <w:b/>
                <w:bCs/>
                <w:color w:val="3A3A3A"/>
                <w:sz w:val="20"/>
                <w:szCs w:val="20"/>
              </w:rPr>
              <w:t xml:space="preserve">Decimals</w:t>
            </w:r>
          </w:p>
        </w:tc>
        <w:tc>
          <w:tcPr>
            <w:tcW w:type="dxa" w:w="616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r>
              <w:rPr>
                <w:rFonts w:ascii="Arial" w:cs="Arial" w:eastAsia="Arial" w:hAnsi="Arial"/>
                <w:color w:val="3A3A3A"/>
                <w:sz w:val="20"/>
                <w:szCs w:val="20"/>
              </w:rPr>
              <w:t xml:space="preserve">18</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3A3A3A"/>
                <w:sz w:val="20"/>
                <w:szCs w:val="20"/>
              </w:rPr>
              <w:t xml:space="preserve">Contract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A3A3A"/>
                <w:sz w:val="20"/>
                <w:szCs w:val="20"/>
              </w:rPr>
              <w:t xml:space="preserve">To be deployed</w:t>
            </w:r>
          </w:p>
        </w:tc>
      </w:tr>
    </w:tbl>
    <w:p>
      <w:pPr>
        <w:spacing w:before="200" w:after="200"/>
      </w:pPr>
    </w:p>
    <w:p>
      <w:pPr>
        <w:pStyle w:val="Heading2"/>
      </w:pPr>
      <w:r>
        <w:rPr>
          <w:rFonts w:ascii="Georgia" w:cs="Georgia" w:eastAsia="Georgia" w:hAnsi="Georgia"/>
          <w:b/>
          <w:bCs/>
          <w:color w:val="3A3A3A"/>
          <w:sz w:val="26"/>
          <w:szCs w:val="26"/>
        </w:rPr>
        <w:t xml:space="preserve">2.1 Why Polygon?</w:t>
      </w:r>
    </w:p>
    <w:p>
      <w:pPr>
        <w:spacing w:after="160" w:line="300"/>
      </w:pPr>
      <w:r>
        <w:rPr>
          <w:rFonts w:ascii="Georgia" w:cs="Georgia" w:eastAsia="Georgia" w:hAnsi="Georgia"/>
          <w:color w:val="3A3A3A"/>
          <w:sz w:val="22"/>
          <w:szCs w:val="22"/>
        </w:rPr>
        <w:t xml:space="preserve">Polygon was selected after evaluating Ethereum mainnet, Solana, BNB Smart Chain, and Base. The decision factors were transaction cost, ecosystem maturity, wallet compatibility, and geographic relevance.</w:t>
      </w:r>
    </w:p>
    <w:p>
      <w:pPr>
        <w:spacing w:after="160" w:line="300"/>
      </w:pPr>
      <w:r>
        <w:rPr>
          <w:rFonts w:ascii="Georgia" w:cs="Georgia" w:eastAsia="Georgia" w:hAnsi="Georgia"/>
          <w:color w:val="3A3A3A"/>
          <w:sz w:val="22"/>
          <w:szCs w:val="22"/>
        </w:rPr>
        <w:t xml:space="preserve">Polygon offers full ERC-20 compatibility with the Ethereum ecosystem while reducing gas costs to fractions of a cent. For a wellness app where users may earn small daily rewards (5–25 TRV), gas fees must be negligible to preserve the reward’s perceived value. On Ethereum mainnet, a single transfer can cost more than the reward itself. On Polygon, that same transfer costs under ₹0.10.</w:t>
      </w:r>
    </w:p>
    <w:p>
      <w:pPr>
        <w:spacing w:after="160" w:line="300"/>
      </w:pPr>
      <w:r>
        <w:rPr>
          <w:rFonts w:ascii="Georgia" w:cs="Georgia" w:eastAsia="Georgia" w:hAnsi="Georgia"/>
          <w:color w:val="3A3A3A"/>
          <w:sz w:val="22"/>
          <w:szCs w:val="22"/>
        </w:rPr>
        <w:t xml:space="preserve">Additionally, Polygon was co-founded by Indian developers and has strong adoption in the Indian market, aligning with TRIVENI’s primary user base.</w:t>
      </w:r>
    </w:p>
    <w:p>
      <w:r>
        <w:br w:type="page"/>
      </w:r>
    </w:p>
    <w:p>
      <w:pPr>
        <w:pStyle w:val="Heading1"/>
      </w:pPr>
      <w:r>
        <w:rPr>
          <w:rFonts w:ascii="Georgia" w:cs="Georgia" w:eastAsia="Georgia" w:hAnsi="Georgia"/>
          <w:b/>
          <w:bCs/>
          <w:color w:val="0D0D0D"/>
          <w:sz w:val="32"/>
          <w:szCs w:val="32"/>
        </w:rPr>
        <w:t xml:space="preserve">3. Supply &amp; Allocation</w:t>
      </w:r>
    </w:p>
    <w:p>
      <w:pPr>
        <w:pBdr>
          <w:bottom w:val="single" w:color="D4AF37" w:sz="6" w:space="1"/>
        </w:pBdr>
        <w:spacing w:before="200" w:after="200"/>
      </w:pPr>
    </w:p>
    <w:p>
      <w:pPr>
        <w:pStyle w:val="Heading2"/>
      </w:pPr>
      <w:r>
        <w:rPr>
          <w:rFonts w:ascii="Georgia" w:cs="Georgia" w:eastAsia="Georgia" w:hAnsi="Georgia"/>
          <w:b/>
          <w:bCs/>
          <w:color w:val="3A3A3A"/>
          <w:sz w:val="26"/>
          <w:szCs w:val="26"/>
        </w:rPr>
        <w:t xml:space="preserve">3.1 Total Supply Distribution</w:t>
      </w:r>
    </w:p>
    <w:p>
      <w:pPr>
        <w:spacing w:after="160" w:line="300"/>
      </w:pPr>
      <w:r>
        <w:rPr>
          <w:rFonts w:ascii="Georgia" w:cs="Georgia" w:eastAsia="Georgia" w:hAnsi="Georgia"/>
          <w:color w:val="3A3A3A"/>
          <w:sz w:val="22"/>
          <w:szCs w:val="22"/>
        </w:rPr>
        <w:t xml:space="preserve">The 100,000,000 TRV maximum supply is distributed across four strategic allocations, each designed to serve a distinct purpose in the ecosystem’s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000"/>
        <w:gridCol w:w="3960"/>
      </w:tblGrid>
      <w:tr>
        <w:tc>
          <w:tcPr>
            <w:tcW w:type="dxa" w:w="28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Allocation</w:t>
            </w:r>
          </w:p>
        </w:tc>
        <w:tc>
          <w:tcPr>
            <w:tcW w:type="dxa" w:w="16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Amount</w:t>
            </w:r>
          </w:p>
        </w:tc>
        <w:tc>
          <w:tcPr>
            <w:tcW w:type="dxa" w:w="10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9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 &amp; Unlock Schedule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Founder Treasury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10,000,000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10%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A3A3A"/>
                <w:sz w:val="20"/>
                <w:szCs w:val="20"/>
              </w:rPr>
              <w:t xml:space="preserve">Minted at deployment. Funds operations, initial liquidity, and partnerships. 6-month cliff, then linear unlock over 18 months.</w:t>
            </w:r>
          </w:p>
        </w:tc>
      </w:tr>
      <w:tr>
        <w:tc>
          <w:tcPr>
            <w:tcW w:type="dxa" w:w="28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User Reward Pool</w:t>
            </w:r>
          </w:p>
        </w:tc>
        <w:tc>
          <w:tcPr>
            <w:tcW w:type="dxa" w:w="16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60,000,000</w:t>
            </w:r>
          </w:p>
        </w:tc>
        <w:tc>
          <w:tcPr>
            <w:tcW w:type="dxa" w:w="10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60%</w:t>
            </w:r>
          </w:p>
        </w:tc>
        <w:tc>
          <w:tcPr>
            <w:tcW w:type="dxa" w:w="396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color w:val="3A3A3A"/>
                <w:sz w:val="20"/>
                <w:szCs w:val="20"/>
              </w:rPr>
              <w:t xml:space="preserve">Minted on-demand via smart contract as users earn rewards. Emission controlled by daily caps and activity-based rates. Estimated 8–10 year distribution horizon.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Development &amp; Marketing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20,000,000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20%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A3A3A"/>
                <w:sz w:val="20"/>
                <w:szCs w:val="20"/>
              </w:rPr>
              <w:t xml:space="preserve">Reserved for hiring, marketing campaigns, exchange listings, and strategic partnerships. Vested linearly over 24 months.</w:t>
            </w:r>
          </w:p>
        </w:tc>
      </w:tr>
      <w:tr>
        <w:tc>
          <w:tcPr>
            <w:tcW w:type="dxa" w:w="28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Community &amp; Airdrops</w:t>
            </w:r>
          </w:p>
        </w:tc>
        <w:tc>
          <w:tcPr>
            <w:tcW w:type="dxa" w:w="16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10,000,000</w:t>
            </w:r>
          </w:p>
        </w:tc>
        <w:tc>
          <w:tcPr>
            <w:tcW w:type="dxa" w:w="10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10%</w:t>
            </w:r>
          </w:p>
        </w:tc>
        <w:tc>
          <w:tcPr>
            <w:tcW w:type="dxa" w:w="396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color w:val="3A3A3A"/>
                <w:sz w:val="20"/>
                <w:szCs w:val="20"/>
              </w:rPr>
              <w:t xml:space="preserve">Early adopter airdrops, referral bonuses, community challenges, and ambassador programs. Distributed over first 12 months.</w:t>
            </w:r>
          </w:p>
        </w:tc>
      </w:tr>
    </w:tbl>
    <w:p>
      <w:pPr>
        <w:spacing w:before="200" w:after="200"/>
      </w:pPr>
    </w:p>
    <w:p>
      <w:pPr>
        <w:pStyle w:val="Heading2"/>
      </w:pPr>
      <w:r>
        <w:rPr>
          <w:rFonts w:ascii="Georgia" w:cs="Georgia" w:eastAsia="Georgia" w:hAnsi="Georgia"/>
          <w:b/>
          <w:bCs/>
          <w:color w:val="3A3A3A"/>
          <w:sz w:val="26"/>
          <w:szCs w:val="26"/>
        </w:rPr>
        <w:t xml:space="preserve">3.2 Vesting Schedule</w:t>
      </w:r>
    </w:p>
    <w:p>
      <w:pPr>
        <w:spacing w:after="160" w:line="300"/>
      </w:pPr>
      <w:r>
        <w:rPr>
          <w:rFonts w:ascii="Georgia" w:cs="Georgia" w:eastAsia="Georgia" w:hAnsi="Georgia"/>
          <w:color w:val="3A3A3A"/>
          <w:sz w:val="22"/>
          <w:szCs w:val="22"/>
        </w:rPr>
        <w:t xml:space="preserve">Founder Treasury: 6-month full lock, then 1/18th unlocked monthly over the next 18 months. This ensures the founder’s interests are aligned with the project’s long-term health — no immediate dumping is possible.</w:t>
      </w:r>
    </w:p>
    <w:p>
      <w:pPr>
        <w:spacing w:after="160" w:line="300"/>
      </w:pPr>
      <w:r>
        <w:rPr>
          <w:rFonts w:ascii="Georgia" w:cs="Georgia" w:eastAsia="Georgia" w:hAnsi="Georgia"/>
          <w:color w:val="3A3A3A"/>
          <w:sz w:val="22"/>
          <w:szCs w:val="22"/>
        </w:rPr>
        <w:t xml:space="preserve">Development &amp; Marketing: Linear vesting over 24 months from token generation event (TGE). Managed by a multi-signature wallet requiring 2-of-3 approvals.</w:t>
      </w:r>
    </w:p>
    <w:p>
      <w:pPr>
        <w:spacing w:after="160" w:line="300"/>
      </w:pPr>
      <w:r>
        <w:rPr>
          <w:rFonts w:ascii="Georgia" w:cs="Georgia" w:eastAsia="Georgia" w:hAnsi="Georgia"/>
          <w:color w:val="3A3A3A"/>
          <w:sz w:val="22"/>
          <w:szCs w:val="22"/>
        </w:rPr>
        <w:t xml:space="preserve">Community &amp; Airdrops: Released in structured campaigns over the first 12 months, tied to measurable milestones (user count, engagement metrics).</w:t>
      </w:r>
    </w:p>
    <w:p>
      <w:pPr>
        <w:spacing w:before="100" w:after="100"/>
      </w:pPr>
    </w:p>
    <w:p>
      <w:pPr>
        <w:pStyle w:val="Heading2"/>
      </w:pPr>
      <w:r>
        <w:rPr>
          <w:rFonts w:ascii="Georgia" w:cs="Georgia" w:eastAsia="Georgia" w:hAnsi="Georgia"/>
          <w:b/>
          <w:bCs/>
          <w:color w:val="3A3A3A"/>
          <w:sz w:val="26"/>
          <w:szCs w:val="26"/>
        </w:rPr>
        <w:t xml:space="preserve">3.3 Emission Model</w:t>
      </w:r>
    </w:p>
    <w:p>
      <w:pPr>
        <w:spacing w:after="160" w:line="300"/>
      </w:pPr>
      <w:r>
        <w:rPr>
          <w:rFonts w:ascii="Georgia" w:cs="Georgia" w:eastAsia="Georgia" w:hAnsi="Georgia"/>
          <w:color w:val="3A3A3A"/>
          <w:sz w:val="22"/>
          <w:szCs w:val="22"/>
        </w:rPr>
        <w:t xml:space="preserve">Unlike pre-mined tokens, 60% of TRV supply is minted on-demand. The Reward Pool tokens are created by the smart contract only when a user completes a verified activity. This means the circulating supply grows organically with actual platform usage, not speculative pre-allocation.</w:t>
      </w:r>
    </w:p>
    <w:p>
      <w:pPr>
        <w:spacing w:after="160" w:line="300"/>
      </w:pPr>
      <w:r>
        <w:rPr>
          <w:rFonts w:ascii="Georgia" w:cs="Georgia" w:eastAsia="Georgia" w:hAnsi="Georgia"/>
          <w:color w:val="3A3A3A"/>
          <w:sz w:val="22"/>
          <w:szCs w:val="22"/>
        </w:rPr>
        <w:t xml:space="preserve">Projected emission rate: At 10,000 daily active users averaging 2 activities per day at 10 TRV base reward, daily emission would be approximately 200,000 TRV. At this rate, the 60M reward pool would sustain approximately 300 days of rewards before streak multipliers — and significantly longer considering that not all users will maintain high streaks, many will burn tokens on premium features, and the daily cap limits individual extraction.</w:t>
      </w:r>
    </w:p>
    <w:p>
      <w:r>
        <w:br w:type="page"/>
      </w:r>
    </w:p>
    <w:p>
      <w:pPr>
        <w:pStyle w:val="Heading1"/>
      </w:pPr>
      <w:r>
        <w:rPr>
          <w:rFonts w:ascii="Georgia" w:cs="Georgia" w:eastAsia="Georgia" w:hAnsi="Georgia"/>
          <w:b/>
          <w:bCs/>
          <w:color w:val="0D0D0D"/>
          <w:sz w:val="32"/>
          <w:szCs w:val="32"/>
        </w:rPr>
        <w:t xml:space="preserve">4. Reward Mechanics</w:t>
      </w:r>
    </w:p>
    <w:p>
      <w:pPr>
        <w:pBdr>
          <w:bottom w:val="single" w:color="D4AF37" w:sz="6" w:space="1"/>
        </w:pBdr>
        <w:spacing w:before="200" w:after="200"/>
      </w:pPr>
    </w:p>
    <w:p>
      <w:pPr>
        <w:pStyle w:val="Heading2"/>
      </w:pPr>
      <w:r>
        <w:rPr>
          <w:rFonts w:ascii="Georgia" w:cs="Georgia" w:eastAsia="Georgia" w:hAnsi="Georgia"/>
          <w:b/>
          <w:bCs/>
          <w:color w:val="3A3A3A"/>
          <w:sz w:val="26"/>
          <w:szCs w:val="26"/>
        </w:rPr>
        <w:t xml:space="preserve">4.1 Activity Rewards</w:t>
      </w:r>
    </w:p>
    <w:p>
      <w:pPr>
        <w:spacing w:after="160" w:line="300"/>
      </w:pPr>
      <w:r>
        <w:rPr>
          <w:rFonts w:ascii="Georgia" w:cs="Georgia" w:eastAsia="Georgia" w:hAnsi="Georgia"/>
          <w:color w:val="3A3A3A"/>
          <w:sz w:val="22"/>
          <w:szCs w:val="22"/>
        </w:rPr>
        <w:t xml:space="preserve">Each wellness activity in TRIVENI maps to a specific TRV reward. Rewards are calibrated based on effort intensity, time commitment, and alignment with the app’s three pillars:</w:t>
      </w:r>
    </w:p>
    <w:p>
      <w:pPr>
        <w:spacing w:before="200" w:after="100"/>
      </w:pPr>
      <w:r>
        <w:rPr>
          <w:rFonts w:ascii="Arial" w:cs="Arial" w:eastAsia="Arial" w:hAnsi="Arial"/>
          <w:color w:val="1B4332"/>
          <w:sz w:val="22"/>
          <w:szCs w:val="22"/>
        </w:rPr>
        <w:t xml:space="preserve">■ </w:t>
      </w:r>
      <w:r>
        <w:rPr>
          <w:rFonts w:ascii="Arial" w:cs="Arial" w:eastAsia="Arial" w:hAnsi="Arial"/>
          <w:b/>
          <w:bCs/>
          <w:color w:val="1B4332"/>
          <w:spacing w:val="200"/>
          <w:sz w:val="22"/>
          <w:szCs w:val="22"/>
        </w:rPr>
        <w:t xml:space="preserve">BODY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460"/>
      </w:tblGrid>
      <w:tr>
        <w:tc>
          <w:tcPr>
            <w:tcW w:type="dxa" w:w="26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w:t>
            </w:r>
          </w:p>
        </w:tc>
        <w:tc>
          <w:tcPr>
            <w:tcW w:type="dxa" w:w="13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w:t>
            </w:r>
          </w:p>
        </w:tc>
        <w:tc>
          <w:tcPr>
            <w:tcW w:type="dxa" w:w="13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7-Day</w:t>
            </w:r>
          </w:p>
        </w:tc>
        <w:tc>
          <w:tcPr>
            <w:tcW w:type="dxa" w:w="13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30-Day</w:t>
            </w:r>
          </w:p>
        </w:tc>
        <w:tc>
          <w:tcPr>
            <w:tcW w:type="dxa" w:w="13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100-Day</w:t>
            </w:r>
          </w:p>
        </w:tc>
        <w:tc>
          <w:tcPr>
            <w:tcW w:type="dxa" w:w="14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365-Day</w:t>
            </w:r>
          </w:p>
        </w:tc>
      </w:tr>
      <w:tr>
        <w:tc>
          <w:tcPr>
            <w:tcW w:type="dxa" w:w="26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Workout (General)</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10</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12</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15</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20</w:t>
            </w:r>
          </w:p>
        </w:tc>
        <w:tc>
          <w:tcPr>
            <w:tcW w:type="dxa" w:w="146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30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Swim Session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15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18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22.5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30</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45</w:t>
            </w:r>
          </w:p>
        </w:tc>
      </w:tr>
      <w:tr>
        <w:tc>
          <w:tcPr>
            <w:tcW w:type="dxa" w:w="26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Run</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12</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14.4</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18</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24</w:t>
            </w:r>
          </w:p>
        </w:tc>
        <w:tc>
          <w:tcPr>
            <w:tcW w:type="dxa" w:w="146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36</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Cycle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12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14.4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18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24</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36</w:t>
            </w:r>
          </w:p>
        </w:tc>
      </w:tr>
      <w:tr>
        <w:tc>
          <w:tcPr>
            <w:tcW w:type="dxa" w:w="26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IRONMAN Training</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25</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30</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37.5</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50</w:t>
            </w:r>
          </w:p>
        </w:tc>
        <w:tc>
          <w:tcPr>
            <w:tcW w:type="dxa" w:w="146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75</w:t>
            </w:r>
          </w:p>
        </w:tc>
      </w:tr>
    </w:tbl>
    <w:p>
      <w:pPr>
        <w:spacing w:before="100" w:after="100"/>
      </w:pPr>
    </w:p>
    <w:p>
      <w:pPr>
        <w:spacing w:before="200" w:after="100"/>
      </w:pPr>
      <w:r>
        <w:rPr>
          <w:rFonts w:ascii="Arial" w:cs="Arial" w:eastAsia="Arial" w:hAnsi="Arial"/>
          <w:color w:val="4A3078"/>
          <w:sz w:val="22"/>
          <w:szCs w:val="22"/>
        </w:rPr>
        <w:t xml:space="preserve">■ </w:t>
      </w:r>
      <w:r>
        <w:rPr>
          <w:rFonts w:ascii="Arial" w:cs="Arial" w:eastAsia="Arial" w:hAnsi="Arial"/>
          <w:b/>
          <w:bCs/>
          <w:color w:val="4A3078"/>
          <w:spacing w:val="200"/>
          <w:sz w:val="22"/>
          <w:szCs w:val="22"/>
        </w:rPr>
        <w:t xml:space="preserve">SPIRIT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460"/>
      </w:tblGrid>
      <w:tr>
        <w:tc>
          <w:tcPr>
            <w:tcW w:type="dxa" w:w="26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w:t>
            </w:r>
          </w:p>
        </w:tc>
        <w:tc>
          <w:tcPr>
            <w:tcW w:type="dxa" w:w="13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w:t>
            </w:r>
          </w:p>
        </w:tc>
        <w:tc>
          <w:tcPr>
            <w:tcW w:type="dxa" w:w="13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7-Day</w:t>
            </w:r>
          </w:p>
        </w:tc>
        <w:tc>
          <w:tcPr>
            <w:tcW w:type="dxa" w:w="13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30-Day</w:t>
            </w:r>
          </w:p>
        </w:tc>
        <w:tc>
          <w:tcPr>
            <w:tcW w:type="dxa" w:w="13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100-Day</w:t>
            </w:r>
          </w:p>
        </w:tc>
        <w:tc>
          <w:tcPr>
            <w:tcW w:type="dxa" w:w="14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365-Day</w:t>
            </w:r>
          </w:p>
        </w:tc>
      </w:tr>
      <w:tr>
        <w:tc>
          <w:tcPr>
            <w:tcW w:type="dxa" w:w="26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Meditation</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5</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6</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7.5</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10</w:t>
            </w:r>
          </w:p>
        </w:tc>
        <w:tc>
          <w:tcPr>
            <w:tcW w:type="dxa" w:w="146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15</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Journaling</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4.8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8</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12</w:t>
            </w:r>
          </w:p>
        </w:tc>
      </w:tr>
      <w:tr>
        <w:tc>
          <w:tcPr>
            <w:tcW w:type="dxa" w:w="26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Breathwork</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5</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6</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7.5</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10</w:t>
            </w:r>
          </w:p>
        </w:tc>
        <w:tc>
          <w:tcPr>
            <w:tcW w:type="dxa" w:w="146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15</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Gratitude Log</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3.6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4.5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6</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9</w:t>
            </w:r>
          </w:p>
        </w:tc>
      </w:tr>
    </w:tbl>
    <w:p>
      <w:pPr>
        <w:spacing w:before="100" w:after="100"/>
      </w:pPr>
    </w:p>
    <w:p>
      <w:pPr>
        <w:spacing w:before="200" w:after="100"/>
      </w:pPr>
      <w:r>
        <w:rPr>
          <w:rFonts w:ascii="Arial" w:cs="Arial" w:eastAsia="Arial" w:hAnsi="Arial"/>
          <w:color w:val="8B4513"/>
          <w:sz w:val="22"/>
          <w:szCs w:val="22"/>
        </w:rPr>
        <w:t xml:space="preserve">■ </w:t>
      </w:r>
      <w:r>
        <w:rPr>
          <w:rFonts w:ascii="Arial" w:cs="Arial" w:eastAsia="Arial" w:hAnsi="Arial"/>
          <w:b/>
          <w:bCs/>
          <w:color w:val="8B4513"/>
          <w:spacing w:val="200"/>
          <w:sz w:val="22"/>
          <w:szCs w:val="22"/>
        </w:rPr>
        <w:t xml:space="preserve">NUTRITION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460"/>
      </w:tblGrid>
      <w:tr>
        <w:tc>
          <w:tcPr>
            <w:tcW w:type="dxa" w:w="26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w:t>
            </w:r>
          </w:p>
        </w:tc>
        <w:tc>
          <w:tcPr>
            <w:tcW w:type="dxa" w:w="13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w:t>
            </w:r>
          </w:p>
        </w:tc>
        <w:tc>
          <w:tcPr>
            <w:tcW w:type="dxa" w:w="13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7-Day</w:t>
            </w:r>
          </w:p>
        </w:tc>
        <w:tc>
          <w:tcPr>
            <w:tcW w:type="dxa" w:w="13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30-Day</w:t>
            </w:r>
          </w:p>
        </w:tc>
        <w:tc>
          <w:tcPr>
            <w:tcW w:type="dxa" w:w="13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100-Day</w:t>
            </w:r>
          </w:p>
        </w:tc>
        <w:tc>
          <w:tcPr>
            <w:tcW w:type="dxa" w:w="14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365-Day</w:t>
            </w:r>
          </w:p>
        </w:tc>
      </w:tr>
      <w:tr>
        <w:tc>
          <w:tcPr>
            <w:tcW w:type="dxa" w:w="26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Nutrition Goal Met</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8</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9.6</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12</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16</w:t>
            </w:r>
          </w:p>
        </w:tc>
        <w:tc>
          <w:tcPr>
            <w:tcW w:type="dxa" w:w="146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24</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Meal Logged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3.6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4.5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6</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9</w:t>
            </w:r>
          </w:p>
        </w:tc>
      </w:tr>
      <w:tr>
        <w:tc>
          <w:tcPr>
            <w:tcW w:type="dxa" w:w="26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Hydration Target</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4</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4.8</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6</w:t>
            </w:r>
          </w:p>
        </w:tc>
        <w:tc>
          <w:tcPr>
            <w:tcW w:type="dxa" w:w="13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8</w:t>
            </w:r>
          </w:p>
        </w:tc>
        <w:tc>
          <w:tcPr>
            <w:tcW w:type="dxa" w:w="146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12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Fasting Goal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7.2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12</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18</w:t>
            </w:r>
          </w:p>
        </w:tc>
      </w:tr>
    </w:tbl>
    <w:p>
      <w:r>
        <w:br w:type="page"/>
      </w:r>
    </w:p>
    <w:p>
      <w:pPr>
        <w:pStyle w:val="Heading2"/>
      </w:pPr>
      <w:r>
        <w:rPr>
          <w:rFonts w:ascii="Georgia" w:cs="Georgia" w:eastAsia="Georgia" w:hAnsi="Georgia"/>
          <w:b/>
          <w:bCs/>
          <w:color w:val="3A3A3A"/>
          <w:sz w:val="26"/>
          <w:szCs w:val="26"/>
        </w:rPr>
        <w:t xml:space="preserve">4.2 Streak Multiplier System</w:t>
      </w:r>
    </w:p>
    <w:p>
      <w:pPr>
        <w:spacing w:after="160" w:line="300"/>
      </w:pPr>
      <w:r>
        <w:rPr>
          <w:rFonts w:ascii="Georgia" w:cs="Georgia" w:eastAsia="Georgia" w:hAnsi="Georgia"/>
          <w:color w:val="3A3A3A"/>
          <w:sz w:val="22"/>
          <w:szCs w:val="22"/>
        </w:rPr>
        <w:t xml:space="preserve">The streak multiplier is TRIVENI’s most powerful behavioral incentive. Think of it like compound interest for wellness: the longer you stay consistent, the more each activity is worth. This creates a powerful psychological lock-in — breaking a 100-day streak means losing a 2x multiplier, which is a tangible cost users feel.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Streak Tier</w:t>
            </w:r>
          </w:p>
        </w:tc>
        <w:tc>
          <w:tcPr>
            <w:tcW w:type="dxa" w:w="20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Multiplier</w:t>
            </w:r>
          </w:p>
        </w:tc>
        <w:tc>
          <w:tcPr>
            <w:tcW w:type="dxa" w:w="268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Workout Reward</w:t>
            </w:r>
          </w:p>
        </w:tc>
        <w:tc>
          <w:tcPr>
            <w:tcW w:type="dxa" w:w="268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IRONMAN Reward</w:t>
            </w:r>
          </w:p>
        </w:tc>
      </w:tr>
      <w:tr>
        <w:tc>
          <w:tcPr>
            <w:tcW w:type="dxa" w:w="20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0–6 days</w:t>
            </w:r>
          </w:p>
        </w:tc>
        <w:tc>
          <w:tcPr>
            <w:tcW w:type="dxa" w:w="20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color w:val="3A3A3A"/>
                <w:sz w:val="20"/>
                <w:szCs w:val="20"/>
              </w:rPr>
              <w:t xml:space="preserve">1.0x (Base)</w:t>
            </w:r>
          </w:p>
        </w:tc>
        <w:tc>
          <w:tcPr>
            <w:tcW w:type="dxa" w:w="268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10 TRV</w:t>
            </w:r>
          </w:p>
        </w:tc>
        <w:tc>
          <w:tcPr>
            <w:tcW w:type="dxa" w:w="268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25 TRV</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7–29 days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A3A3A"/>
                <w:sz w:val="20"/>
                <w:szCs w:val="20"/>
              </w:rPr>
              <w:t xml:space="preserve">1.2x</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12 TRV</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30 TRV</w:t>
            </w:r>
          </w:p>
        </w:tc>
      </w:tr>
      <w:tr>
        <w:tc>
          <w:tcPr>
            <w:tcW w:type="dxa" w:w="20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30–99 days</w:t>
            </w:r>
          </w:p>
        </w:tc>
        <w:tc>
          <w:tcPr>
            <w:tcW w:type="dxa" w:w="20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color w:val="3A3A3A"/>
                <w:sz w:val="20"/>
                <w:szCs w:val="20"/>
              </w:rPr>
              <w:t xml:space="preserve">1.5x</w:t>
            </w:r>
          </w:p>
        </w:tc>
        <w:tc>
          <w:tcPr>
            <w:tcW w:type="dxa" w:w="268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15 TRV</w:t>
            </w:r>
          </w:p>
        </w:tc>
        <w:tc>
          <w:tcPr>
            <w:tcW w:type="dxa" w:w="268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37.5 TRV</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100–364 days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A3A3A"/>
                <w:sz w:val="20"/>
                <w:szCs w:val="20"/>
              </w:rPr>
              <w:t xml:space="preserve">2.0x</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20 TRV</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50 TRV</w:t>
            </w:r>
          </w:p>
        </w:tc>
      </w:tr>
      <w:tr>
        <w:tc>
          <w:tcPr>
            <w:tcW w:type="dxa" w:w="20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365+ days</w:t>
            </w:r>
          </w:p>
        </w:tc>
        <w:tc>
          <w:tcPr>
            <w:tcW w:type="dxa" w:w="20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color w:val="3A3A3A"/>
                <w:sz w:val="20"/>
                <w:szCs w:val="20"/>
              </w:rPr>
              <w:t xml:space="preserve">3.0x (Max)</w:t>
            </w:r>
          </w:p>
        </w:tc>
        <w:tc>
          <w:tcPr>
            <w:tcW w:type="dxa" w:w="268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30 TRV</w:t>
            </w:r>
          </w:p>
        </w:tc>
        <w:tc>
          <w:tcPr>
            <w:tcW w:type="dxa" w:w="268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75 TRV</w:t>
            </w:r>
          </w:p>
        </w:tc>
      </w:tr>
    </w:tbl>
    <w:p>
      <w:pPr>
        <w:spacing w:before="100" w:after="100"/>
      </w:pPr>
    </w:p>
    <w:p>
      <w:pPr>
        <w:pStyle w:val="Heading2"/>
      </w:pPr>
      <w:r>
        <w:rPr>
          <w:rFonts w:ascii="Georgia" w:cs="Georgia" w:eastAsia="Georgia" w:hAnsi="Georgia"/>
          <w:b/>
          <w:bCs/>
          <w:color w:val="3A3A3A"/>
          <w:sz w:val="26"/>
          <w:szCs w:val="26"/>
        </w:rPr>
        <w:t xml:space="preserve">4.3 Daily Reward Cap</w:t>
      </w:r>
    </w:p>
    <w:p>
      <w:pPr>
        <w:spacing w:after="160" w:line="300"/>
      </w:pPr>
      <w:r>
        <w:rPr>
          <w:rFonts w:ascii="Georgia" w:cs="Georgia" w:eastAsia="Georgia" w:hAnsi="Georgia"/>
          <w:color w:val="3A3A3A"/>
          <w:sz w:val="22"/>
          <w:szCs w:val="22"/>
        </w:rPr>
        <w:t xml:space="preserve">Each user is limited to 1,000 TRV earned per calendar day (UTC). This prevents gaming, bot abuse, and excessive extraction. The cap is enforced on-chain via the smart contract and is adjustable by the contract owner as the ecosystem matures.</w:t>
      </w:r>
    </w:p>
    <w:p>
      <w:pPr>
        <w:spacing w:after="160" w:line="300"/>
      </w:pPr>
      <w:r>
        <w:rPr>
          <w:rFonts w:ascii="Georgia" w:cs="Georgia" w:eastAsia="Georgia" w:hAnsi="Georgia"/>
          <w:color w:val="3A3A3A"/>
          <w:sz w:val="22"/>
          <w:szCs w:val="22"/>
        </w:rPr>
        <w:t xml:space="preserve">At the maximum streak tier (3x) and the highest-reward activity (IRONMAN Training at 75 TRV), a user could earn the daily cap in approximately 13 sessions — well beyond realistic daily activity, ensuring the cap rarely restricts genuine users.</w:t>
      </w:r>
    </w:p>
    <w:p>
      <w:r>
        <w:br w:type="page"/>
      </w:r>
    </w:p>
    <w:p>
      <w:pPr>
        <w:pStyle w:val="Heading1"/>
      </w:pPr>
      <w:r>
        <w:rPr>
          <w:rFonts w:ascii="Georgia" w:cs="Georgia" w:eastAsia="Georgia" w:hAnsi="Georgia"/>
          <w:b/>
          <w:bCs/>
          <w:color w:val="0D0D0D"/>
          <w:sz w:val="32"/>
          <w:szCs w:val="32"/>
        </w:rPr>
        <w:t xml:space="preserve">5. Token Utility &amp; Burn Mechanics</w:t>
      </w:r>
    </w:p>
    <w:p>
      <w:pPr>
        <w:pBdr>
          <w:bottom w:val="single" w:color="D4AF37" w:sz="6" w:space="1"/>
        </w:pBdr>
        <w:spacing w:before="200" w:after="200"/>
      </w:pPr>
    </w:p>
    <w:p>
      <w:pPr>
        <w:pStyle w:val="Heading2"/>
      </w:pPr>
      <w:r>
        <w:rPr>
          <w:rFonts w:ascii="Georgia" w:cs="Georgia" w:eastAsia="Georgia" w:hAnsi="Georgia"/>
          <w:b/>
          <w:bCs/>
          <w:color w:val="3A3A3A"/>
          <w:sz w:val="26"/>
          <w:szCs w:val="26"/>
        </w:rPr>
        <w:t xml:space="preserve">5.1 How Users Earn TRV</w:t>
      </w:r>
    </w:p>
    <w:p>
      <w:pPr>
        <w:spacing w:after="160" w:line="300"/>
      </w:pPr>
      <w:r>
        <w:rPr>
          <w:rFonts w:ascii="Georgia" w:cs="Georgia" w:eastAsia="Georgia" w:hAnsi="Georgia"/>
          <w:color w:val="3A3A3A"/>
          <w:sz w:val="22"/>
          <w:szCs w:val="22"/>
        </w:rPr>
        <w:t xml:space="preserve">Users earn TRV through verified wellness activities within the TRIVENI app. Each activity completion triggers an on-chain reward mint via the authorized backend relayer. Verification methods include GPS data for outdoor activities, accelerometer data for workouts, manual confirmation with photographic evidence for meals, and session completion tracking for meditation and breathwork.</w:t>
      </w:r>
    </w:p>
    <w:p>
      <w:pPr>
        <w:pStyle w:val="Heading2"/>
      </w:pPr>
      <w:r>
        <w:rPr>
          <w:rFonts w:ascii="Georgia" w:cs="Georgia" w:eastAsia="Georgia" w:hAnsi="Georgia"/>
          <w:b/>
          <w:bCs/>
          <w:color w:val="3A3A3A"/>
          <w:sz w:val="26"/>
          <w:szCs w:val="26"/>
        </w:rPr>
        <w:t xml:space="preserve">5.2 How Users Spend TRV</w:t>
      </w:r>
    </w:p>
    <w:p>
      <w:pPr>
        <w:spacing w:after="160" w:line="300"/>
      </w:pPr>
      <w:r>
        <w:rPr>
          <w:rFonts w:ascii="Georgia" w:cs="Georgia" w:eastAsia="Georgia" w:hAnsi="Georgia"/>
          <w:color w:val="3A3A3A"/>
          <w:sz w:val="22"/>
          <w:szCs w:val="22"/>
        </w:rPr>
        <w:t xml:space="preserve">TRV can be spent within the TRIVENI ecosystem on the following premium features. When tokens are spent, they are permanently burned (destroyed), creating deflationary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560"/>
        <w:gridCol w:w="4700"/>
      </w:tblGrid>
      <w:tr>
        <w:tc>
          <w:tcPr>
            <w:tcW w:type="dxa" w:w="31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Premium Feature</w:t>
            </w:r>
          </w:p>
        </w:tc>
        <w:tc>
          <w:tcPr>
            <w:tcW w:type="dxa" w:w="15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 (TRV)</w:t>
            </w:r>
          </w:p>
        </w:tc>
        <w:tc>
          <w:tcPr>
            <w:tcW w:type="dxa" w:w="47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1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Advanced Analytics</w:t>
            </w:r>
          </w:p>
        </w:tc>
        <w:tc>
          <w:tcPr>
            <w:tcW w:type="dxa" w:w="156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50</w:t>
            </w:r>
          </w:p>
        </w:tc>
        <w:tc>
          <w:tcPr>
            <w:tcW w:type="dxa" w:w="47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color w:val="3A3A3A"/>
                <w:sz w:val="20"/>
                <w:szCs w:val="20"/>
              </w:rPr>
              <w:t xml:space="preserve">Detailed performance charts, trend analysis, and AI-powered insights across all three pillars.</w:t>
            </w:r>
          </w:p>
        </w:tc>
      </w:tr>
      <w:tr>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Personal Coaching Session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200</w:t>
            </w:r>
          </w:p>
        </w:tc>
        <w:tc>
          <w:tcPr>
            <w:tcW w:type="dxa" w:w="4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A3A3A"/>
                <w:sz w:val="20"/>
                <w:szCs w:val="20"/>
              </w:rPr>
              <w:t xml:space="preserve">One-on-one virtual coaching session with a certified wellness professional.</w:t>
            </w:r>
          </w:p>
        </w:tc>
      </w:tr>
      <w:tr>
        <w:tc>
          <w:tcPr>
            <w:tcW w:type="dxa" w:w="31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Custom Training Plan</w:t>
            </w:r>
          </w:p>
        </w:tc>
        <w:tc>
          <w:tcPr>
            <w:tcW w:type="dxa" w:w="156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100</w:t>
            </w:r>
          </w:p>
        </w:tc>
        <w:tc>
          <w:tcPr>
            <w:tcW w:type="dxa" w:w="47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color w:val="3A3A3A"/>
                <w:sz w:val="20"/>
                <w:szCs w:val="20"/>
              </w:rPr>
              <w:t xml:space="preserve">AI-generated periodized training plan tailored to IRONMAN goals, swimming improvement, or sport-specific performance.</w:t>
            </w:r>
          </w:p>
        </w:tc>
      </w:tr>
      <w:tr>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Premium Challenge Entry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25</w:t>
            </w:r>
          </w:p>
        </w:tc>
        <w:tc>
          <w:tcPr>
            <w:tcW w:type="dxa" w:w="4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A3A3A"/>
                <w:sz w:val="20"/>
                <w:szCs w:val="20"/>
              </w:rPr>
              <w:t xml:space="preserve">Join exclusive community challenges with prizes and leaderboard visibility.</w:t>
            </w:r>
          </w:p>
        </w:tc>
      </w:tr>
      <w:tr>
        <w:tc>
          <w:tcPr>
            <w:tcW w:type="dxa" w:w="31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Nutrition Plan Generator</w:t>
            </w:r>
          </w:p>
        </w:tc>
        <w:tc>
          <w:tcPr>
            <w:tcW w:type="dxa" w:w="156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75</w:t>
            </w:r>
          </w:p>
        </w:tc>
        <w:tc>
          <w:tcPr>
            <w:tcW w:type="dxa" w:w="47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color w:val="3A3A3A"/>
                <w:sz w:val="20"/>
                <w:szCs w:val="20"/>
              </w:rPr>
              <w:t xml:space="preserve">Personalized macro-optimized meal plans based on training load and goals.</w:t>
            </w:r>
          </w:p>
        </w:tc>
      </w:tr>
      <w:tr>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Ad-Free Experience (30 days)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30</w:t>
            </w:r>
          </w:p>
        </w:tc>
        <w:tc>
          <w:tcPr>
            <w:tcW w:type="dxa" w:w="4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A3A3A"/>
                <w:sz w:val="20"/>
                <w:szCs w:val="20"/>
              </w:rPr>
              <w:t xml:space="preserve">Remove all advertisements from the app for one month.</w:t>
            </w:r>
          </w:p>
        </w:tc>
      </w:tr>
      <w:tr>
        <w:tc>
          <w:tcPr>
            <w:tcW w:type="dxa" w:w="31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Profile Customization Pack</w:t>
            </w:r>
          </w:p>
        </w:tc>
        <w:tc>
          <w:tcPr>
            <w:tcW w:type="dxa" w:w="156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right"/>
            </w:pPr>
            <w:r>
              <w:rPr>
                <w:rFonts w:ascii="Arial" w:cs="Arial" w:eastAsia="Arial" w:hAnsi="Arial"/>
                <w:color w:val="3A3A3A"/>
                <w:sz w:val="20"/>
                <w:szCs w:val="20"/>
              </w:rPr>
              <w:t xml:space="preserve">15</w:t>
            </w:r>
          </w:p>
        </w:tc>
        <w:tc>
          <w:tcPr>
            <w:tcW w:type="dxa" w:w="47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color w:val="3A3A3A"/>
                <w:sz w:val="20"/>
                <w:szCs w:val="20"/>
              </w:rPr>
              <w:t xml:space="preserve">Exclusive avatar frames, themes, and badge designs.</w:t>
            </w:r>
          </w:p>
        </w:tc>
      </w:tr>
      <w:tr>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Data Export (Full History)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right"/>
            </w:pPr>
            <w:r>
              <w:rPr>
                <w:rFonts w:ascii="Arial" w:cs="Arial" w:eastAsia="Arial" w:hAnsi="Arial"/>
                <w:color w:val="3A3A3A"/>
                <w:sz w:val="20"/>
                <w:szCs w:val="20"/>
              </w:rPr>
              <w:t xml:space="preserve">10</w:t>
            </w:r>
          </w:p>
        </w:tc>
        <w:tc>
          <w:tcPr>
            <w:tcW w:type="dxa" w:w="4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A3A3A"/>
                <w:sz w:val="20"/>
                <w:szCs w:val="20"/>
              </w:rPr>
              <w:t xml:space="preserve">Export complete wellness data in CSV/JSON format for personal analysis.</w:t>
            </w:r>
          </w:p>
        </w:tc>
      </w:tr>
    </w:tbl>
    <w:p>
      <w:pPr>
        <w:spacing w:before="200" w:after="200"/>
      </w:pPr>
    </w:p>
    <w:p>
      <w:pPr>
        <w:pStyle w:val="Heading2"/>
      </w:pPr>
      <w:r>
        <w:rPr>
          <w:rFonts w:ascii="Georgia" w:cs="Georgia" w:eastAsia="Georgia" w:hAnsi="Georgia"/>
          <w:b/>
          <w:bCs/>
          <w:color w:val="3A3A3A"/>
          <w:sz w:val="26"/>
          <w:szCs w:val="26"/>
        </w:rPr>
        <w:t xml:space="preserve">5.3 Deflationary Burn Mechanism</w:t>
      </w:r>
    </w:p>
    <w:p>
      <w:pPr>
        <w:spacing w:after="160" w:line="300"/>
      </w:pPr>
      <w:r>
        <w:rPr>
          <w:rFonts w:ascii="Georgia" w:cs="Georgia" w:eastAsia="Georgia" w:hAnsi="Georgia"/>
          <w:color w:val="3A3A3A"/>
          <w:sz w:val="22"/>
          <w:szCs w:val="22"/>
        </w:rPr>
        <w:t xml:space="preserve">Every TRV spent on premium features is permanently burned via the smart contract’s burn function. This means the effective circulating supply decreases over time as the ecosystem matures. The economic effect is similar to a company buying back and retiring its own shares — fewer tokens in circulation means each remaining token represents a larger share of the ecosystem’s value.</w:t>
      </w:r>
    </w:p>
    <w:p>
      <w:pPr>
        <w:spacing w:after="160" w:line="300"/>
      </w:pPr>
      <w:r>
        <w:rPr>
          <w:rFonts w:ascii="Georgia" w:cs="Georgia" w:eastAsia="Georgia" w:hAnsi="Georgia"/>
          <w:color w:val="3A3A3A"/>
          <w:sz w:val="22"/>
          <w:szCs w:val="22"/>
        </w:rPr>
        <w:t xml:space="preserve">Projected annual burn rate: If 20% of active users spend an average of 100 TRV/month on premium features, and the platform has 10,000 monthly active users, the annual burn would be approximately 2,400,000 TRV. Against a projected annual emission of approximately 7,300,000 TRV from rewards, this creates a net emission of approximately 4,900,000 TRV — significantly slower than the theoretical maximum.</w:t>
      </w:r>
    </w:p>
    <w:p>
      <w:r>
        <w:br w:type="page"/>
      </w:r>
    </w:p>
    <w:p>
      <w:pPr>
        <w:pStyle w:val="Heading1"/>
      </w:pPr>
      <w:r>
        <w:rPr>
          <w:rFonts w:ascii="Georgia" w:cs="Georgia" w:eastAsia="Georgia" w:hAnsi="Georgia"/>
          <w:b/>
          <w:bCs/>
          <w:color w:val="0D0D0D"/>
          <w:sz w:val="32"/>
          <w:szCs w:val="32"/>
        </w:rPr>
        <w:t xml:space="preserve">6. Security &amp; Governance</w:t>
      </w:r>
    </w:p>
    <w:p>
      <w:pPr>
        <w:pBdr>
          <w:bottom w:val="single" w:color="D4AF37" w:sz="6" w:space="1"/>
        </w:pBdr>
        <w:spacing w:before="200" w:after="200"/>
      </w:pPr>
    </w:p>
    <w:p>
      <w:pPr>
        <w:pStyle w:val="Heading2"/>
      </w:pPr>
      <w:r>
        <w:rPr>
          <w:rFonts w:ascii="Georgia" w:cs="Georgia" w:eastAsia="Georgia" w:hAnsi="Georgia"/>
          <w:b/>
          <w:bCs/>
          <w:color w:val="3A3A3A"/>
          <w:sz w:val="26"/>
          <w:szCs w:val="26"/>
        </w:rPr>
        <w:t xml:space="preserve">6.1 Smart Contract Security</w:t>
      </w:r>
    </w:p>
    <w:p>
      <w:pPr>
        <w:spacing w:after="160" w:line="300"/>
      </w:pPr>
      <w:r>
        <w:rPr>
          <w:rFonts w:ascii="Georgia" w:cs="Georgia" w:eastAsia="Georgia" w:hAnsi="Georgia"/>
          <w:color w:val="3A3A3A"/>
          <w:sz w:val="22"/>
          <w:szCs w:val="22"/>
        </w:rPr>
        <w:t xml:space="preserve">The TriveniToken contract is built on OpenZeppelin’s audited, battle-tested library (v5.0). OpenZeppelin contracts are the industry standard, used by projects managing billions of dollars in value. The contract inherits from ERC20, ERC20Burnable, ERC20Capped, Ownable, and Pausable — all extensively audited modules.</w:t>
      </w:r>
    </w:p>
    <w:p>
      <w:pPr>
        <w:spacing w:after="160" w:line="300"/>
      </w:pPr>
      <w:r>
        <w:rPr>
          <w:rFonts w:ascii="Georgia" w:cs="Georgia" w:eastAsia="Georgia" w:hAnsi="Georgia"/>
          <w:color w:val="3A3A3A"/>
          <w:sz w:val="22"/>
          <w:szCs w:val="22"/>
        </w:rPr>
        <w:t xml:space="preserve">Key security features enforced on-chain:</w:t>
      </w:r>
    </w:p>
    <w:p>
      <w:pPr>
        <w:pStyle w:val="ListParagraph"/>
        <w:numPr>
          <w:ilvl w:val="0"/>
          <w:numId w:val="2"/>
        </w:numPr>
        <w:spacing w:after="80"/>
      </w:pPr>
      <w:r>
        <w:rPr>
          <w:rFonts w:ascii="Georgia" w:cs="Georgia" w:eastAsia="Georgia" w:hAnsi="Georgia"/>
          <w:color w:val="3A3A3A"/>
          <w:sz w:val="22"/>
          <w:szCs w:val="22"/>
        </w:rPr>
        <w:t xml:space="preserve">Hard cap at 100M tokens: The ERC20Capped module makes it mathematically impossible to mint beyond the cap, regardless of who controls the contract.</w:t>
      </w:r>
    </w:p>
    <w:p>
      <w:pPr>
        <w:pStyle w:val="ListParagraph"/>
        <w:numPr>
          <w:ilvl w:val="0"/>
          <w:numId w:val="2"/>
        </w:numPr>
        <w:spacing w:after="80"/>
      </w:pPr>
      <w:r>
        <w:rPr>
          <w:rFonts w:ascii="Georgia" w:cs="Georgia" w:eastAsia="Georgia" w:hAnsi="Georgia"/>
          <w:color w:val="3A3A3A"/>
          <w:sz w:val="22"/>
          <w:szCs w:val="22"/>
        </w:rPr>
        <w:t xml:space="preserve">Role-based minting: Only addresses explicitly authorized as “reward minters” can create new tokens. The app backend relayer is the sole minter; the owner cannot mint directly.</w:t>
      </w:r>
    </w:p>
    <w:p>
      <w:pPr>
        <w:pStyle w:val="ListParagraph"/>
        <w:numPr>
          <w:ilvl w:val="0"/>
          <w:numId w:val="2"/>
        </w:numPr>
        <w:spacing w:after="80"/>
      </w:pPr>
      <w:r>
        <w:rPr>
          <w:rFonts w:ascii="Georgia" w:cs="Georgia" w:eastAsia="Georgia" w:hAnsi="Georgia"/>
          <w:color w:val="3A3A3A"/>
          <w:sz w:val="22"/>
          <w:szCs w:val="22"/>
        </w:rPr>
        <w:t xml:space="preserve">Emergency pause: The owner can pause all token operations (transfers, minting, burning) in case of a discovered vulnerability or active exploit.</w:t>
      </w:r>
    </w:p>
    <w:p>
      <w:pPr>
        <w:pStyle w:val="ListParagraph"/>
        <w:numPr>
          <w:ilvl w:val="0"/>
          <w:numId w:val="2"/>
        </w:numPr>
        <w:spacing w:after="80"/>
      </w:pPr>
      <w:r>
        <w:rPr>
          <w:rFonts w:ascii="Georgia" w:cs="Georgia" w:eastAsia="Georgia" w:hAnsi="Georgia"/>
          <w:color w:val="3A3A3A"/>
          <w:sz w:val="22"/>
          <w:szCs w:val="22"/>
        </w:rPr>
        <w:t xml:space="preserve">Daily reward cap: On-chain enforcement of 1,000 TRV per user per day prevents both bot abuse and accidental over-minting from backend bugs.</w:t>
      </w:r>
    </w:p>
    <w:p>
      <w:pPr>
        <w:pStyle w:val="Heading2"/>
      </w:pPr>
      <w:r>
        <w:rPr>
          <w:rFonts w:ascii="Georgia" w:cs="Georgia" w:eastAsia="Georgia" w:hAnsi="Georgia"/>
          <w:b/>
          <w:bCs/>
          <w:color w:val="3A3A3A"/>
          <w:sz w:val="26"/>
          <w:szCs w:val="26"/>
        </w:rPr>
        <w:t xml:space="preserve">6.2 Governance Roadmap</w:t>
      </w:r>
    </w:p>
    <w:p>
      <w:pPr>
        <w:spacing w:after="160" w:line="300"/>
      </w:pPr>
      <w:r>
        <w:rPr>
          <w:rFonts w:ascii="Georgia" w:cs="Georgia" w:eastAsia="Georgia" w:hAnsi="Georgia"/>
          <w:color w:val="3A3A3A"/>
          <w:sz w:val="22"/>
          <w:szCs w:val="22"/>
        </w:rPr>
        <w:t xml:space="preserve">Phase 1 (Launch): Centralized governance. The deployer address holds the Ownable role and manages contract parameters. This enables rapid iteration during the initial growth phase.</w:t>
      </w:r>
    </w:p>
    <w:p>
      <w:pPr>
        <w:spacing w:after="160" w:line="300"/>
      </w:pPr>
      <w:r>
        <w:rPr>
          <w:rFonts w:ascii="Georgia" w:cs="Georgia" w:eastAsia="Georgia" w:hAnsi="Georgia"/>
          <w:color w:val="3A3A3A"/>
          <w:sz w:val="22"/>
          <w:szCs w:val="22"/>
        </w:rPr>
        <w:t xml:space="preserve">Phase 2 (Maturity): Transition the Ownable role to a multi-signature wallet (Gnosis Safe) requiring 2-of-3 or 3-of-5 approvals for any contract parameter changes.</w:t>
      </w:r>
    </w:p>
    <w:p>
      <w:pPr>
        <w:spacing w:after="160" w:line="300"/>
      </w:pPr>
      <w:r>
        <w:rPr>
          <w:rFonts w:ascii="Georgia" w:cs="Georgia" w:eastAsia="Georgia" w:hAnsi="Georgia"/>
          <w:color w:val="3A3A3A"/>
          <w:sz w:val="22"/>
          <w:szCs w:val="22"/>
        </w:rPr>
        <w:t xml:space="preserve">Phase 3 (Decentralization): If the community reaches sufficient scale, introduce on-chain governance where TRV holders can vote on parameter changes (reward rates, new activity types, premium feature pricing). This would use a standard governance framework like OpenZeppelin Governor.</w:t>
      </w:r>
    </w:p>
    <w:p>
      <w:r>
        <w:br w:type="page"/>
      </w:r>
    </w:p>
    <w:p>
      <w:pPr>
        <w:pStyle w:val="Heading1"/>
      </w:pPr>
      <w:r>
        <w:rPr>
          <w:rFonts w:ascii="Georgia" w:cs="Georgia" w:eastAsia="Georgia" w:hAnsi="Georgia"/>
          <w:b/>
          <w:bCs/>
          <w:color w:val="0D0D0D"/>
          <w:sz w:val="32"/>
          <w:szCs w:val="32"/>
        </w:rPr>
        <w:t xml:space="preserve">7. Regulatory Considerations</w:t>
      </w:r>
    </w:p>
    <w:p>
      <w:pPr>
        <w:pBdr>
          <w:bottom w:val="single" w:color="D4AF37" w:sz="6" w:space="1"/>
        </w:pBdr>
        <w:spacing w:before="200" w:after="200"/>
      </w:pPr>
    </w:p>
    <w:p>
      <w:pPr>
        <w:pStyle w:val="Heading2"/>
      </w:pPr>
      <w:r>
        <w:rPr>
          <w:rFonts w:ascii="Georgia" w:cs="Georgia" w:eastAsia="Georgia" w:hAnsi="Georgia"/>
          <w:b/>
          <w:bCs/>
          <w:color w:val="3A3A3A"/>
          <w:sz w:val="26"/>
          <w:szCs w:val="26"/>
        </w:rPr>
        <w:t xml:space="preserve">7.1 Utility Token Classification</w:t>
      </w:r>
    </w:p>
    <w:p>
      <w:pPr>
        <w:spacing w:after="160" w:line="300"/>
      </w:pPr>
      <w:r>
        <w:rPr>
          <w:rFonts w:ascii="Georgia" w:cs="Georgia" w:eastAsia="Georgia" w:hAnsi="Georgia"/>
          <w:color w:val="3A3A3A"/>
          <w:sz w:val="22"/>
          <w:szCs w:val="22"/>
        </w:rPr>
        <w:t xml:space="preserve">TRV is designed and structured as a pure utility token. It provides access to specific services within the TRIVENI app and has no promise of financial return, profit-sharing, or equity-like characteristics. This distinction is critical under Indian regulatory frameworks.</w:t>
      </w:r>
    </w:p>
    <w:p>
      <w:pPr>
        <w:spacing w:after="160" w:line="300"/>
      </w:pPr>
      <w:r>
        <w:rPr>
          <w:rFonts w:ascii="Georgia" w:cs="Georgia" w:eastAsia="Georgia" w:hAnsi="Georgia"/>
          <w:color w:val="3A3A3A"/>
          <w:sz w:val="22"/>
          <w:szCs w:val="22"/>
        </w:rPr>
        <w:t xml:space="preserve">The token does not represent ownership in any entity, does not pay dividends or interest, is not marketed as an investment vehicle, and derives its value solely from its utility within the TRIVENI ecosystem.</w:t>
      </w:r>
    </w:p>
    <w:p>
      <w:pPr>
        <w:pStyle w:val="Heading2"/>
      </w:pPr>
      <w:r>
        <w:rPr>
          <w:rFonts w:ascii="Georgia" w:cs="Georgia" w:eastAsia="Georgia" w:hAnsi="Georgia"/>
          <w:b/>
          <w:bCs/>
          <w:color w:val="3A3A3A"/>
          <w:sz w:val="26"/>
          <w:szCs w:val="26"/>
        </w:rPr>
        <w:t xml:space="preserve">7.2 Indian Regulatory Landscape</w:t>
      </w:r>
    </w:p>
    <w:p>
      <w:pPr>
        <w:spacing w:after="160" w:line="300"/>
      </w:pPr>
      <w:r>
        <w:rPr>
          <w:rFonts w:ascii="Georgia" w:cs="Georgia" w:eastAsia="Georgia" w:hAnsi="Georgia"/>
          <w:color w:val="3A3A3A"/>
          <w:sz w:val="22"/>
          <w:szCs w:val="22"/>
        </w:rPr>
        <w:t xml:space="preserve">As of 2026, India’s regulatory stance on cryptocurrency is evolving. The key considerations are:</w:t>
      </w:r>
    </w:p>
    <w:p>
      <w:pPr>
        <w:pStyle w:val="ListParagraph"/>
        <w:numPr>
          <w:ilvl w:val="0"/>
          <w:numId w:val="2"/>
        </w:numPr>
        <w:spacing w:after="80"/>
      </w:pPr>
      <w:r>
        <w:rPr>
          <w:rFonts w:ascii="Georgia" w:cs="Georgia" w:eastAsia="Georgia" w:hAnsi="Georgia"/>
          <w:color w:val="3A3A3A"/>
          <w:sz w:val="22"/>
          <w:szCs w:val="22"/>
        </w:rPr>
        <w:t xml:space="preserve">Taxation: Crypto gains are taxed at 30% under Section 115BBH of the Income Tax Act (introduced in Union Budget 2022). A 1% TDS applies on transfers above threshold amounts. Since TRV is primarily earned and burned within the app (not traded on exchanges), most user interactions may not trigger these provisions.</w:t>
      </w:r>
    </w:p>
    <w:p>
      <w:pPr>
        <w:pStyle w:val="ListParagraph"/>
        <w:numPr>
          <w:ilvl w:val="0"/>
          <w:numId w:val="2"/>
        </w:numPr>
        <w:spacing w:after="80"/>
      </w:pPr>
      <w:r>
        <w:rPr>
          <w:rFonts w:ascii="Georgia" w:cs="Georgia" w:eastAsia="Georgia" w:hAnsi="Georgia"/>
          <w:color w:val="3A3A3A"/>
          <w:sz w:val="22"/>
          <w:szCs w:val="22"/>
        </w:rPr>
        <w:t xml:space="preserve">RBI Guidelines: The Reserve Bank of India has expressed caution regarding cryptocurrency. By positioning TRV as an in-app utility token (not a payment instrument or store of value), the project operates in a lower-risk regulatory zone.</w:t>
      </w:r>
    </w:p>
    <w:p>
      <w:pPr>
        <w:pStyle w:val="ListParagraph"/>
        <w:numPr>
          <w:ilvl w:val="0"/>
          <w:numId w:val="2"/>
        </w:numPr>
        <w:spacing w:after="120"/>
      </w:pPr>
      <w:r>
        <w:rPr>
          <w:rFonts w:ascii="Georgia" w:cs="Georgia" w:eastAsia="Georgia" w:hAnsi="Georgia"/>
          <w:color w:val="3A3A3A"/>
          <w:sz w:val="22"/>
          <w:szCs w:val="22"/>
        </w:rPr>
        <w:t xml:space="preserve">SEBI: The Securities and Exchange Board of India may classify tokens as securities if they exhibit investment characteristics. TRV’s utility-only design intentionally avoids these triggers.</w:t>
      </w:r>
    </w:p>
    <w:p>
      <w:pPr>
        <w:spacing w:after="160" w:line="300"/>
      </w:pPr>
      <w:r>
        <w:rPr>
          <w:rFonts w:ascii="Georgia" w:cs="Georgia" w:eastAsia="Georgia" w:hAnsi="Georgia"/>
          <w:b/>
          <w:bCs/>
          <w:color w:val="3A3A3A"/>
          <w:sz w:val="22"/>
          <w:szCs w:val="22"/>
        </w:rPr>
        <w:t xml:space="preserve">Recommendation: </w:t>
      </w:r>
      <w:r>
        <w:rPr>
          <w:rFonts w:ascii="Georgia" w:cs="Georgia" w:eastAsia="Georgia" w:hAnsi="Georgia"/>
          <w:color w:val="3A3A3A"/>
          <w:sz w:val="22"/>
          <w:szCs w:val="22"/>
        </w:rPr>
        <w:t xml:space="preserve">Engage a crypto-specialized legal counsel in India before mainnet deployment to review the token design, terms of service, and marketing materials for regulatory compliance.</w:t>
      </w:r>
    </w:p>
    <w:p>
      <w:r>
        <w:br w:type="page"/>
      </w:r>
    </w:p>
    <w:p>
      <w:pPr>
        <w:pStyle w:val="Heading1"/>
      </w:pPr>
      <w:r>
        <w:rPr>
          <w:rFonts w:ascii="Georgia" w:cs="Georgia" w:eastAsia="Georgia" w:hAnsi="Georgia"/>
          <w:b/>
          <w:bCs/>
          <w:color w:val="0D0D0D"/>
          <w:sz w:val="32"/>
          <w:szCs w:val="32"/>
        </w:rPr>
        <w:t xml:space="preserve">8. Token Roadmap</w:t>
      </w:r>
    </w:p>
    <w:p>
      <w:pPr>
        <w:pBdr>
          <w:bottom w:val="single" w:color="D4AF37"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60"/>
        <w:gridCol w:w="5700"/>
      </w:tblGrid>
      <w:tr>
        <w:tc>
          <w:tcPr>
            <w:tcW w:type="dxa" w:w="15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16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c>
          <w:tcPr>
            <w:tcW w:type="dxa" w:w="57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Milestones</w:t>
            </w:r>
          </w:p>
        </w:tc>
      </w:tr>
      <w:tr>
        <w:tc>
          <w:tcPr>
            <w:tcW w:type="dxa" w:w="15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Phase 0</w:t>
            </w:r>
          </w:p>
        </w:tc>
        <w:tc>
          <w:tcPr>
            <w:tcW w:type="dxa" w:w="216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color w:val="3A3A3A"/>
                <w:sz w:val="20"/>
                <w:szCs w:val="20"/>
              </w:rPr>
              <w:t xml:space="preserve">Q2 2026</w:t>
            </w:r>
          </w:p>
        </w:tc>
        <w:tc>
          <w:tcPr>
            <w:tcW w:type="dxa" w:w="57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color w:val="3A3A3A"/>
                <w:sz w:val="20"/>
                <w:szCs w:val="20"/>
              </w:rPr>
              <w:t xml:space="preserve">Smart contract development, internal testing on Hardhat local node. Security review. Tokenomics finalization.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Phase 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A3A3A"/>
                <w:sz w:val="20"/>
                <w:szCs w:val="20"/>
              </w:rPr>
              <w:t xml:space="preserve">Q3 2026</w:t>
            </w:r>
          </w:p>
        </w:tc>
        <w:tc>
          <w:tcPr>
            <w:tcW w:type="dxa" w:w="5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A3A3A"/>
                <w:sz w:val="20"/>
                <w:szCs w:val="20"/>
              </w:rPr>
              <w:t xml:space="preserve">Deploy to Polygon Amoy testnet. Integrate reward minting with TRIVENI Flutter app backend. Closed beta with 50–100 testers.</w:t>
            </w:r>
          </w:p>
        </w:tc>
      </w:tr>
      <w:tr>
        <w:tc>
          <w:tcPr>
            <w:tcW w:type="dxa" w:w="15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Phase 2</w:t>
            </w:r>
          </w:p>
        </w:tc>
        <w:tc>
          <w:tcPr>
            <w:tcW w:type="dxa" w:w="216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color w:val="3A3A3A"/>
                <w:sz w:val="20"/>
                <w:szCs w:val="20"/>
              </w:rPr>
              <w:t xml:space="preserve">Q4 2026</w:t>
            </w:r>
          </w:p>
        </w:tc>
        <w:tc>
          <w:tcPr>
            <w:tcW w:type="dxa" w:w="57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color w:val="3A3A3A"/>
                <w:sz w:val="20"/>
                <w:szCs w:val="20"/>
              </w:rPr>
              <w:t xml:space="preserve">Mainnet deployment on Polygon. Launch reward system for Body pillar activities. Community airdrop campaign for early adopters.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Phase 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A3A3A"/>
                <w:sz w:val="20"/>
                <w:szCs w:val="20"/>
              </w:rPr>
              <w:t xml:space="preserve">Q1 2027</w:t>
            </w:r>
          </w:p>
        </w:tc>
        <w:tc>
          <w:tcPr>
            <w:tcW w:type="dxa" w:w="5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A3A3A"/>
                <w:sz w:val="20"/>
                <w:szCs w:val="20"/>
              </w:rPr>
              <w:t xml:space="preserve">Expand to Spirit and Nutrition pillars. Launch premium feature store with burn mechanism. 1,000+ monthly active users target.</w:t>
            </w:r>
          </w:p>
        </w:tc>
      </w:tr>
      <w:tr>
        <w:tc>
          <w:tcPr>
            <w:tcW w:type="dxa" w:w="15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Phase 4</w:t>
            </w:r>
          </w:p>
        </w:tc>
        <w:tc>
          <w:tcPr>
            <w:tcW w:type="dxa" w:w="216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color w:val="3A3A3A"/>
                <w:sz w:val="20"/>
                <w:szCs w:val="20"/>
              </w:rPr>
              <w:t xml:space="preserve">Q2 2027</w:t>
            </w:r>
          </w:p>
        </w:tc>
        <w:tc>
          <w:tcPr>
            <w:tcW w:type="dxa" w:w="5700"/>
            <w:tcBorders>
              <w:top w:val="single" w:color="CCCCCC" w:sz="1"/>
              <w:left w:val="single" w:color="CCCCCC" w:sz="1"/>
              <w:bottom w:val="single" w:color="CCCCCC" w:sz="1"/>
              <w:right w:val="single" w:color="CCCCCC" w:sz="1"/>
            </w:tcBorders>
            <w:shd w:fill="F7F4EF" w:val="clear"/>
            <w:tcMar>
              <w:top w:type="dxa" w:w="60"/>
              <w:left w:type="dxa" w:w="120"/>
              <w:bottom w:type="dxa" w:w="60"/>
              <w:right w:type="dxa" w:w="120"/>
            </w:tcMar>
          </w:tcPr>
          <w:p>
            <w:pPr>
              <w:jc w:val="left"/>
            </w:pPr>
            <w:r>
              <w:rPr>
                <w:rFonts w:ascii="Arial" w:cs="Arial" w:eastAsia="Arial" w:hAnsi="Arial"/>
                <w:color w:val="3A3A3A"/>
                <w:sz w:val="20"/>
                <w:szCs w:val="20"/>
              </w:rPr>
              <w:t xml:space="preserve">Introduce streak challenges and community leaderboards. Multi-sig governance transition. Explore DEX listing on QuickSwap (Polygon’s largest DEX).</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3A3A3A"/>
                <w:sz w:val="20"/>
                <w:szCs w:val="20"/>
              </w:rPr>
              <w:t xml:space="preserve">Phase 5</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A3A3A"/>
                <w:sz w:val="20"/>
                <w:szCs w:val="20"/>
              </w:rPr>
              <w:t xml:space="preserve">H2 2027</w:t>
            </w:r>
          </w:p>
        </w:tc>
        <w:tc>
          <w:tcPr>
            <w:tcW w:type="dxa" w:w="5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A3A3A"/>
                <w:sz w:val="20"/>
                <w:szCs w:val="20"/>
              </w:rPr>
              <w:t xml:space="preserve">On-chain governance exploration. Cross-app partnerships (fitness wearable integrations). 10,000+ monthly active users target.</w:t>
            </w:r>
          </w:p>
        </w:tc>
      </w:tr>
    </w:tbl>
    <w:p>
      <w:r>
        <w:br w:type="page"/>
      </w:r>
    </w:p>
    <w:p>
      <w:pPr>
        <w:pStyle w:val="Heading1"/>
      </w:pPr>
      <w:r>
        <w:rPr>
          <w:rFonts w:ascii="Georgia" w:cs="Georgia" w:eastAsia="Georgia" w:hAnsi="Georgia"/>
          <w:b/>
          <w:bCs/>
          <w:color w:val="0D0D0D"/>
          <w:sz w:val="32"/>
          <w:szCs w:val="32"/>
        </w:rPr>
        <w:t xml:space="preserve">9. Risk Factors</w:t>
      </w:r>
    </w:p>
    <w:p>
      <w:pPr>
        <w:pBdr>
          <w:bottom w:val="single" w:color="D4AF37" w:sz="6" w:space="1"/>
        </w:pBdr>
        <w:spacing w:before="200" w:after="200"/>
      </w:pPr>
    </w:p>
    <w:p>
      <w:pPr>
        <w:spacing w:after="160" w:line="300"/>
      </w:pPr>
      <w:r>
        <w:rPr>
          <w:rFonts w:ascii="Georgia" w:cs="Georgia" w:eastAsia="Georgia" w:hAnsi="Georgia"/>
          <w:color w:val="3A3A3A"/>
          <w:sz w:val="22"/>
          <w:szCs w:val="22"/>
        </w:rPr>
        <w:t xml:space="preserve">Transparency requires acknowledging the risks inherent in a token-based ecosystem:</w:t>
      </w:r>
    </w:p>
    <w:p>
      <w:pPr>
        <w:pStyle w:val="ListParagraph"/>
        <w:numPr>
          <w:ilvl w:val="0"/>
          <w:numId w:val="3"/>
        </w:numPr>
        <w:spacing w:after="100"/>
      </w:pPr>
      <w:r>
        <w:rPr>
          <w:rFonts w:ascii="Georgia" w:cs="Georgia" w:eastAsia="Georgia" w:hAnsi="Georgia"/>
          <w:color w:val="3A3A3A"/>
          <w:sz w:val="22"/>
          <w:szCs w:val="22"/>
        </w:rPr>
        <w:t xml:space="preserve">Regulatory Risk: India’s crypto regulations are evolving rapidly. New legislation could restrict or redefine how utility tokens operate. Mitigation: Maintain strict utility-only positioning and engage legal counsel.</w:t>
      </w:r>
    </w:p>
    <w:p>
      <w:pPr>
        <w:pStyle w:val="ListParagraph"/>
        <w:numPr>
          <w:ilvl w:val="0"/>
          <w:numId w:val="3"/>
        </w:numPr>
        <w:spacing w:after="100"/>
      </w:pPr>
      <w:r>
        <w:rPr>
          <w:rFonts w:ascii="Georgia" w:cs="Georgia" w:eastAsia="Georgia" w:hAnsi="Georgia"/>
          <w:color w:val="3A3A3A"/>
          <w:sz w:val="22"/>
          <w:szCs w:val="22"/>
        </w:rPr>
        <w:t xml:space="preserve">Smart Contract Risk: Despite using audited OpenZeppelin libraries, all smart contracts carry the risk of undiscovered vulnerabilities. Mitigation: Pausable functionality, thorough testing, and planned third-party audit before mainnet.</w:t>
      </w:r>
    </w:p>
    <w:p>
      <w:pPr>
        <w:pStyle w:val="ListParagraph"/>
        <w:numPr>
          <w:ilvl w:val="0"/>
          <w:numId w:val="3"/>
        </w:numPr>
        <w:spacing w:after="100"/>
      </w:pPr>
      <w:r>
        <w:rPr>
          <w:rFonts w:ascii="Georgia" w:cs="Georgia" w:eastAsia="Georgia" w:hAnsi="Georgia"/>
          <w:color w:val="3A3A3A"/>
          <w:sz w:val="22"/>
          <w:szCs w:val="22"/>
        </w:rPr>
        <w:t xml:space="preserve">Adoption Risk: The token’s value depends on TRIVENI achieving meaningful user adoption. Without a sufficient user base, the reward economy may not sustain itself. Mitigation: Focus on app-market fit before token launch.</w:t>
      </w:r>
    </w:p>
    <w:p>
      <w:pPr>
        <w:pStyle w:val="ListParagraph"/>
        <w:numPr>
          <w:ilvl w:val="0"/>
          <w:numId w:val="3"/>
        </w:numPr>
        <w:spacing w:after="100"/>
      </w:pPr>
      <w:r>
        <w:rPr>
          <w:rFonts w:ascii="Georgia" w:cs="Georgia" w:eastAsia="Georgia" w:hAnsi="Georgia"/>
          <w:color w:val="3A3A3A"/>
          <w:sz w:val="22"/>
          <w:szCs w:val="22"/>
        </w:rPr>
        <w:t xml:space="preserve">Inflation Risk: If reward emissions significantly outpace burns, token value could dilute. Mitigation: Daily caps, configurable reward rates, and active monitoring of emission-to-burn ratios.</w:t>
      </w:r>
    </w:p>
    <w:p>
      <w:pPr>
        <w:pStyle w:val="ListParagraph"/>
        <w:numPr>
          <w:ilvl w:val="0"/>
          <w:numId w:val="3"/>
        </w:numPr>
        <w:spacing w:after="100"/>
      </w:pPr>
      <w:r>
        <w:rPr>
          <w:rFonts w:ascii="Georgia" w:cs="Georgia" w:eastAsia="Georgia" w:hAnsi="Georgia"/>
          <w:color w:val="3A3A3A"/>
          <w:sz w:val="22"/>
          <w:szCs w:val="22"/>
        </w:rPr>
        <w:t xml:space="preserve">Network Risk: Polygon’s security depends on Ethereum’s validation layer. While highly reliable, network outages or consensus issues could temporarily prevent token operations. Mitigation: Pausable contract and off-chain activity queuing.</w:t>
      </w:r>
    </w:p>
    <w:p>
      <w:r>
        <w:br w:type="page"/>
      </w:r>
    </w:p>
    <w:p>
      <w:pPr>
        <w:pStyle w:val="Heading1"/>
      </w:pPr>
      <w:r>
        <w:rPr>
          <w:rFonts w:ascii="Georgia" w:cs="Georgia" w:eastAsia="Georgia" w:hAnsi="Georgia"/>
          <w:b/>
          <w:bCs/>
          <w:color w:val="0D0D0D"/>
          <w:sz w:val="32"/>
          <w:szCs w:val="32"/>
        </w:rPr>
        <w:t xml:space="preserve">10. Conclusion</w:t>
      </w:r>
    </w:p>
    <w:p>
      <w:pPr>
        <w:pBdr>
          <w:bottom w:val="single" w:color="D4AF37" w:sz="6" w:space="1"/>
        </w:pBdr>
        <w:spacing w:before="200" w:after="200"/>
      </w:pPr>
    </w:p>
    <w:p>
      <w:pPr>
        <w:spacing w:after="160" w:line="300"/>
      </w:pPr>
      <w:r>
        <w:rPr>
          <w:rFonts w:ascii="Georgia" w:cs="Georgia" w:eastAsia="Georgia" w:hAnsi="Georgia"/>
          <w:color w:val="3A3A3A"/>
          <w:sz w:val="22"/>
          <w:szCs w:val="22"/>
        </w:rPr>
        <w:t xml:space="preserve">TRIVENI Token represents a carefully designed intersection of behavioral economics and blockchain technology, purpose-built for a wellness ecosystem. By rewarding consistency (streak multipliers), creating tangible spending utility (premium features), and enforcing scarcity (burn mechanism + hard cap), TRV establishes a self-sustaining economy where healthy behavior has real, measurable value.</w:t>
      </w:r>
    </w:p>
    <w:p>
      <w:pPr>
        <w:spacing w:after="160" w:line="300"/>
      </w:pPr>
      <w:r>
        <w:rPr>
          <w:rFonts w:ascii="Georgia" w:cs="Georgia" w:eastAsia="Georgia" w:hAnsi="Georgia"/>
          <w:color w:val="3A3A3A"/>
          <w:sz w:val="22"/>
          <w:szCs w:val="22"/>
        </w:rPr>
        <w:t xml:space="preserve">The choice of Polygon ensures that this economy operates at negligible cost to users, the ERC-20 standard provides universal wallet compatibility, and the on-chain security features (caps, roles, pausing) protect against both external attacks and internal mismanagement.</w:t>
      </w:r>
    </w:p>
    <w:p>
      <w:pPr>
        <w:spacing w:after="160" w:line="300"/>
      </w:pPr>
      <w:r>
        <w:rPr>
          <w:rFonts w:ascii="Georgia" w:cs="Georgia" w:eastAsia="Georgia" w:hAnsi="Georgia"/>
          <w:color w:val="3A3A3A"/>
          <w:sz w:val="22"/>
          <w:szCs w:val="22"/>
        </w:rPr>
        <w:t xml:space="preserve">The path forward is deliberate: testnet validation, closed beta, phased mainnet rollout, and gradual decentralization. Every decision prioritizes long-term ecosystem health over short-term hype.</w:t>
      </w:r>
    </w:p>
    <w:p>
      <w:pPr>
        <w:spacing w:before="400" w:after="400"/>
      </w:pPr>
    </w:p>
    <w:p>
      <w:pPr>
        <w:jc w:val="center"/>
      </w:pPr>
      <w:r>
        <w:rPr>
          <w:rFonts w:ascii="Georgia" w:cs="Georgia" w:eastAsia="Georgia" w:hAnsi="Georgia"/>
          <w:color w:val="D4AF37"/>
          <w:sz w:val="48"/>
          <w:szCs w:val="48"/>
        </w:rPr>
        <w:t xml:space="preserve">✧</w:t>
      </w:r>
    </w:p>
    <w:p>
      <w:pPr>
        <w:spacing w:before="100" w:after="100"/>
      </w:pPr>
    </w:p>
    <w:p>
      <w:pPr>
        <w:jc w:val="center"/>
      </w:pPr>
      <w:r>
        <w:rPr>
          <w:rFonts w:ascii="Georgia" w:cs="Georgia" w:eastAsia="Georgia" w:hAnsi="Georgia"/>
          <w:i/>
          <w:iCs/>
          <w:color w:val="C5A55A"/>
          <w:sz w:val="26"/>
          <w:szCs w:val="26"/>
        </w:rPr>
        <w:t xml:space="preserve">Body. Spirit. Nutrition.</w:t>
      </w:r>
    </w:p>
    <w:p>
      <w:pPr>
        <w:jc w:val="center"/>
      </w:pPr>
      <w:r>
        <w:rPr>
          <w:rFonts w:ascii="Georgia" w:cs="Georgia" w:eastAsia="Georgia" w:hAnsi="Georgia"/>
          <w:color w:val="3A3A3A"/>
          <w:sz w:val="22"/>
          <w:szCs w:val="22"/>
        </w:rPr>
        <w:t xml:space="preserve">One Token. One Ecosystem.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A3A3A"/>
        <w:sz w:val="16"/>
        <w:szCs w:val="16"/>
      </w:rPr>
      <w:t xml:space="preserve">Page </w:t>
    </w:r>
    <w:r>
      <w:rPr>
        <w:rFonts w:ascii="Arial" w:cs="Arial" w:eastAsia="Arial" w:hAnsi="Arial"/>
        <w:color w:val="3A3A3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2" w:space="4"/>
      </w:pBdr>
    </w:pPr>
    <w:r>
      <w:rPr>
        <w:rFonts w:ascii="Arial" w:cs="Arial" w:eastAsia="Arial" w:hAnsi="Arial"/>
        <w:color w:val="C5A55A"/>
        <w:sz w:val="16"/>
        <w:szCs w:val="16"/>
      </w:rPr>
      <w:t xml:space="preserve">TRIVENI TOKEN  |  Tokenomics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0D0D0D"/>
      <w:sz w:val="32"/>
      <w:szCs w:val="32"/>
    </w:rPr>
  </w:style>
  <w:style w:type="paragraph" w:styleId="Heading2">
    <w:name w:val="Heading 2"/>
    <w:basedOn w:val="Normal"/>
    <w:next w:val="Normal"/>
    <w:qFormat/>
    <w:pPr>
      <w:spacing w:before="240" w:after="160"/>
      <w:outlineLvl w:val="1"/>
    </w:pPr>
    <w:rPr>
      <w:rFonts w:ascii="Georgia" w:cs="Georgia" w:eastAsia="Georgia" w:hAnsi="Georgia"/>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2026-03-28T20:07:56.486Z</dcterms:created>
  <dcterms:modified xsi:type="dcterms:W3CDTF">2026-03-28T20:07:56.487Z</dcterms:modified>
</cp:coreProperties>
</file>

<file path=docProps/custom.xml><?xml version="1.0" encoding="utf-8"?>
<Properties xmlns="http://schemas.openxmlformats.org/officeDocument/2006/custom-properties" xmlns:vt="http://schemas.openxmlformats.org/officeDocument/2006/docPropsVTypes"/>
</file>