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1B99A">
      <w:pPr>
        <w:pStyle w:val="2"/>
        <w:suppressLineNumbers w:val="0"/>
        <w:bidi w:val="0"/>
        <w:spacing w:before="360" w:beforeAutospacing="0" w:after="80" w:afterAutospacing="0" w:line="279" w:lineRule="auto"/>
        <w:ind w:left="0" w:right="0"/>
        <w:jc w:val="left"/>
        <w:rPr>
          <w:rFonts w:hint="default"/>
          <w:lang w:val="fr-FR"/>
        </w:rPr>
      </w:pPr>
      <w:r>
        <w:t>EXERCICE DE PHARMACOLOGIE GÉNÉRALE</w:t>
      </w:r>
      <w:r>
        <w:rPr>
          <w:rFonts w:hint="default"/>
          <w:lang w:val="fr-FR"/>
        </w:rPr>
        <w:t xml:space="preserve"> 2026</w:t>
      </w:r>
      <w:bookmarkStart w:id="0" w:name="_GoBack"/>
      <w:bookmarkEnd w:id="0"/>
    </w:p>
    <w:p w14:paraId="4D097CCD">
      <w:pPr>
        <w:pStyle w:val="3"/>
      </w:pPr>
      <w:r>
        <w:t>IDE/SFM L1 – INFAS</w:t>
      </w:r>
    </w:p>
    <w:p w14:paraId="387CABF1">
      <w:pPr>
        <w:pStyle w:val="4"/>
      </w:pPr>
      <w:r>
        <w:t>Questions à Choix Dichotomique (QCD)</w:t>
      </w:r>
    </w:p>
    <w:p w14:paraId="2DCECCBB">
      <w:r>
        <w:rPr>
          <w:b/>
          <w:bCs/>
        </w:rPr>
        <w:t>Consigne : Pour chaque affirmation, cochez VRAI ou FAUX.</w:t>
      </w:r>
    </w:p>
    <w:p w14:paraId="32BB84C8">
      <w:pPr>
        <w:pStyle w:val="4"/>
      </w:pPr>
      <w:r>
        <w:t>Définition de la pharmacologie et du médicament</w:t>
      </w:r>
    </w:p>
    <w:p w14:paraId="0B7278F9">
      <w:r>
        <w:rPr>
          <w:b/>
          <w:bCs/>
        </w:rPr>
        <w:t>Q1.</w:t>
      </w:r>
      <w:r>
        <w:t xml:space="preserve"> La pharmacologie est l'étude des médicaments, de leurs actions et de leur emploi.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825F1AC">
      <w:r>
        <w:rPr>
          <w:b/>
          <w:bCs/>
        </w:rPr>
        <w:t>Q2.</w:t>
      </w:r>
      <w:r>
        <w:t xml:space="preserve"> Un médicament peut être utilisé pour établir un diagnostic médical.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0E12B44">
      <w:r>
        <w:rPr>
          <w:b/>
          <w:bCs/>
        </w:rPr>
        <w:t>Q3.</w:t>
      </w:r>
      <w:r>
        <w:t xml:space="preserve"> Tout médicament est constitué uniquement d'un principe actif.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7242C81">
      <w:pPr>
        <w:pStyle w:val="4"/>
      </w:pPr>
      <w:r>
        <w:t>Principe actif et excipients</w:t>
      </w:r>
    </w:p>
    <w:p w14:paraId="22BDE31E">
      <w:r>
        <w:rPr>
          <w:b/>
          <w:bCs/>
        </w:rPr>
        <w:t>Q4.</w:t>
      </w:r>
      <w:r>
        <w:t xml:space="preserve"> Le principe actif est la substance responsable de l'effet thérapeutique du médicament.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3FBA7B93">
      <w:r>
        <w:rPr>
          <w:b/>
          <w:bCs/>
        </w:rPr>
        <w:t>Q5.</w:t>
      </w:r>
      <w:r>
        <w:t xml:space="preserve"> Les excipients sont toujours dépourvus de rôle dans la présentation du médicament.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4AD072DB">
      <w:r>
        <w:rPr>
          <w:b/>
          <w:bCs/>
        </w:rPr>
        <w:t>Q6.</w:t>
      </w:r>
      <w:r>
        <w:t xml:space="preserve"> La quantité de principe actif est généralement inférieure à celle des excipients dans un médicament.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259F4414">
      <w:pPr>
        <w:pStyle w:val="4"/>
      </w:pPr>
      <w:r>
        <w:t>Dénominations des médicaments</w:t>
      </w:r>
    </w:p>
    <w:p w14:paraId="2AEAD064">
      <w:r>
        <w:rPr>
          <w:b/>
          <w:bCs/>
        </w:rPr>
        <w:t>Q7.</w:t>
      </w:r>
      <w:r>
        <w:t xml:space="preserve"> Ibuprofène est un exemple de Dénomination Commune Internationale (DCI).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B743600">
      <w:r>
        <w:rPr>
          <w:b/>
          <w:bCs/>
        </w:rPr>
        <w:t>Q8.</w:t>
      </w:r>
      <w:r>
        <w:t xml:space="preserve"> ADVIL® est un nom de spécialité pharmaceutique.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3DFA2E83">
      <w:r>
        <w:rPr>
          <w:b/>
          <w:bCs/>
        </w:rPr>
        <w:t>Q9.</w:t>
      </w:r>
      <w:r>
        <w:t xml:space="preserve"> Le nom chimique d'un médicament est son nom commercial.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A8AB74B">
      <w:pPr>
        <w:pStyle w:val="4"/>
      </w:pPr>
      <w:r>
        <w:t>Origine et catégories des médicaments</w:t>
      </w:r>
    </w:p>
    <w:p w14:paraId="4951D9E3">
      <w:r>
        <w:rPr>
          <w:b/>
          <w:bCs/>
        </w:rPr>
        <w:t>Q10.</w:t>
      </w:r>
      <w:r>
        <w:t xml:space="preserve"> La morphine est un médicament d'origine végétale.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0AA0913">
      <w:r>
        <w:rPr>
          <w:b/>
          <w:bCs/>
        </w:rPr>
        <w:t>Q11.</w:t>
      </w:r>
      <w:r>
        <w:t xml:space="preserve"> Les vaccins sont des médicaments d'origine microbiologique.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177ED571">
      <w:r>
        <w:rPr>
          <w:b/>
          <w:bCs/>
        </w:rPr>
        <w:t>Q12.</w:t>
      </w:r>
      <w:r>
        <w:t xml:space="preserve"> L'insuline a été historiquement obtenue par extraction du pancréas.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4576264">
      <w:pPr>
        <w:pStyle w:val="4"/>
      </w:pPr>
      <w:r>
        <w:t>Médicaments génériques</w:t>
      </w:r>
    </w:p>
    <w:p w14:paraId="1310B6C9">
      <w:r>
        <w:rPr>
          <w:b/>
          <w:bCs/>
        </w:rPr>
        <w:t>Q13.</w:t>
      </w:r>
      <w:r>
        <w:t xml:space="preserve"> Un médicament générique possède la même DCI que le médicament princeps.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2A31B6DE">
      <w:r>
        <w:rPr>
          <w:b/>
          <w:bCs/>
        </w:rPr>
        <w:t>Q14.</w:t>
      </w:r>
      <w:r>
        <w:t xml:space="preserve"> Le générique doit démontrer sa bioéquivalence avec le princeps.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22A8DFB0">
      <w:r>
        <w:rPr>
          <w:b/>
          <w:bCs/>
        </w:rPr>
        <w:t>Q15.</w:t>
      </w:r>
      <w:r>
        <w:t xml:space="preserve"> Un médicament générique est obligatoirement différent du princeps sur le plan thérapeutique.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A7B05BF">
      <w:pPr>
        <w:pStyle w:val="4"/>
      </w:pPr>
      <w:r>
        <w:t>Prescription médicale et rôle infirmier</w:t>
      </w:r>
    </w:p>
    <w:p w14:paraId="25B5D68F">
      <w:r>
        <w:rPr>
          <w:b/>
          <w:bCs/>
        </w:rPr>
        <w:t>Q16.</w:t>
      </w:r>
      <w:r>
        <w:t xml:space="preserve"> En Côte d'Ivoire, la prescription des médicaments est principalement réservée aux médecins.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C22C8FF">
      <w:r>
        <w:rPr>
          <w:b/>
          <w:bCs/>
        </w:rPr>
        <w:t>Q17.</w:t>
      </w:r>
      <w:r>
        <w:t xml:space="preserve"> Un infirmier peut établir librement une ordonnance médicale pour tous les patients.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CEAE571">
      <w:r>
        <w:rPr>
          <w:b/>
          <w:bCs/>
        </w:rPr>
        <w:t>Q18.</w:t>
      </w:r>
      <w:r>
        <w:t xml:space="preserve"> Une ordonnance doit mentionner la posologie du traitement.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454C423A">
      <w:pPr>
        <w:pStyle w:val="4"/>
      </w:pPr>
      <w:r>
        <w:t>Règle des 5 B et surveillance</w:t>
      </w:r>
    </w:p>
    <w:p w14:paraId="0CE2C2E6">
      <w:r>
        <w:rPr>
          <w:b/>
          <w:bCs/>
        </w:rPr>
        <w:t>Q19.</w:t>
      </w:r>
      <w:r>
        <w:t xml:space="preserve"> Vérifier le bon patient fait partie de la règle des 5 B.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187FA609">
      <w:r>
        <w:rPr>
          <w:b/>
          <w:bCs/>
        </w:rPr>
        <w:t>Q20.</w:t>
      </w:r>
      <w:r>
        <w:t xml:space="preserve"> Le bon moment d'administration est un élément des 5 B.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532E8817">
      <w:r>
        <w:rPr>
          <w:b/>
          <w:bCs/>
        </w:rPr>
        <w:t>Q21.</w:t>
      </w:r>
      <w:r>
        <w:t xml:space="preserve"> Après administration d'un médicament, aucune surveillance n'est nécessaire.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5912F808">
      <w:pPr>
        <w:pStyle w:val="4"/>
      </w:pPr>
      <w:r>
        <w:t>Distribution et administration des médicaments</w:t>
      </w:r>
    </w:p>
    <w:p w14:paraId="07226B45">
      <w:r>
        <w:rPr>
          <w:b/>
          <w:bCs/>
        </w:rPr>
        <w:t>Q22.</w:t>
      </w:r>
      <w:r>
        <w:t xml:space="preserve"> Toute administration médicamenteuse doit être tracée dans le dossier de soins.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5B63E89E">
      <w:r>
        <w:rPr>
          <w:b/>
          <w:bCs/>
        </w:rPr>
        <w:t>Q23.</w:t>
      </w:r>
      <w:r>
        <w:t xml:space="preserve"> La vérification de la date de péremption est inutile avant l'administration d'un médicament.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9880C84">
      <w:r>
        <w:rPr>
          <w:b/>
          <w:bCs/>
        </w:rPr>
        <w:t>Q24.</w:t>
      </w:r>
      <w:r>
        <w:t xml:space="preserve"> Une erreur d'administration doit être signalée au médecin.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0961223">
      <w:pPr>
        <w:pStyle w:val="4"/>
      </w:pPr>
      <w:r>
        <w:t>Voies d'administration</w:t>
      </w:r>
    </w:p>
    <w:p w14:paraId="2EDE9D75">
      <w:r>
        <w:rPr>
          <w:b/>
          <w:bCs/>
        </w:rPr>
        <w:t>Q25.</w:t>
      </w:r>
      <w:r>
        <w:t xml:space="preserve"> La voie orale est une voie systémique.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D9897D9">
      <w:r>
        <w:rPr>
          <w:b/>
          <w:bCs/>
        </w:rPr>
        <w:t>Q26.</w:t>
      </w:r>
      <w:r>
        <w:t xml:space="preserve"> Une injection intramusculaire est réalisée dans le tissu musculaire profond.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A56D950">
      <w:r>
        <w:rPr>
          <w:b/>
          <w:bCs/>
        </w:rPr>
        <w:t>Q27.</w:t>
      </w:r>
      <w:r>
        <w:t xml:space="preserve"> La voie sous-cutanée consiste à injecter le médicament directement dans une veine.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173C01C7">
      <w:r>
        <w:rPr>
          <w:b/>
          <w:bCs/>
        </w:rPr>
        <w:t>Q28.</w:t>
      </w:r>
      <w:r>
        <w:t xml:space="preserve"> La voie sublinguale permet une action rapide.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14101EE2">
      <w:r>
        <w:rPr>
          <w:b/>
          <w:bCs/>
        </w:rPr>
        <w:t>Q29.</w:t>
      </w:r>
      <w:r>
        <w:t xml:space="preserve"> La voie rectale peut avoir une action locale ou générale.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3AC6782A">
      <w:r>
        <w:rPr>
          <w:b/>
          <w:bCs/>
        </w:rPr>
        <w:t>Q30.</w:t>
      </w:r>
      <w:r>
        <w:t xml:space="preserve"> Les patchs transdermiques sont destinés uniquement à une action locale.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5350D6C8">
      <w:pPr>
        <w:pStyle w:val="4"/>
      </w:pPr>
      <w:r>
        <w:t>Formes galéniques</w:t>
      </w:r>
    </w:p>
    <w:p w14:paraId="556FC4B0">
      <w:r>
        <w:rPr>
          <w:b/>
          <w:bCs/>
        </w:rPr>
        <w:t>Q31.</w:t>
      </w:r>
      <w:r>
        <w:t xml:space="preserve"> Les comprimés effervescents doivent être dissous dans un verre d'eau.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946B3D4">
      <w:r>
        <w:rPr>
          <w:b/>
          <w:bCs/>
        </w:rPr>
        <w:t>Q32.</w:t>
      </w:r>
      <w:r>
        <w:t xml:space="preserve"> Les comprimés gastrorésistants peuvent être écrasés sans précaution particulière.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B86B635">
      <w:r>
        <w:rPr>
          <w:b/>
          <w:bCs/>
        </w:rPr>
        <w:t>Q33.</w:t>
      </w:r>
      <w:r>
        <w:t xml:space="preserve"> Les comprimés sublinguaux doivent être placés sous la langue.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1BFFF2C7">
      <w:r>
        <w:rPr>
          <w:b/>
          <w:bCs/>
        </w:rPr>
        <w:t>Q34.</w:t>
      </w:r>
      <w:r>
        <w:t xml:space="preserve"> Les gélules sont utiles pour certains médicaments sensibles à la lumière.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39A6732A">
      <w:r>
        <w:rPr>
          <w:b/>
          <w:bCs/>
        </w:rPr>
        <w:t>Q35.</w:t>
      </w:r>
      <w:r>
        <w:t xml:space="preserve"> Les formes injectables doivent être stériles.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2ED82E6B">
      <w:pPr>
        <w:pStyle w:val="4"/>
      </w:pPr>
      <w:r>
        <w:t>Pharmacocinétique</w:t>
      </w:r>
    </w:p>
    <w:p w14:paraId="21DEBEEF">
      <w:r>
        <w:rPr>
          <w:b/>
          <w:bCs/>
        </w:rPr>
        <w:t>Q36.</w:t>
      </w:r>
      <w:r>
        <w:t xml:space="preserve"> La pharmacocinétique étudie le devenir du médicament dans l'organisme au cours du temps.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489CCB07">
      <w:r>
        <w:rPr>
          <w:b/>
          <w:bCs/>
        </w:rPr>
        <w:t>Q37.</w:t>
      </w:r>
      <w:r>
        <w:t xml:space="preserve"> L'absorption correspond au passage du médicament dans la circulation générale.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5FFDDE0">
      <w:r>
        <w:rPr>
          <w:b/>
          <w:bCs/>
        </w:rPr>
        <w:t>Q38.</w:t>
      </w:r>
      <w:r>
        <w:t xml:space="preserve"> La forme libre du médicament est pharmacologiquement active.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A012A97">
      <w:r>
        <w:rPr>
          <w:b/>
          <w:bCs/>
        </w:rPr>
        <w:t>Q39.</w:t>
      </w:r>
      <w:r>
        <w:t xml:space="preserve"> Le foie est le principal organe du métabolisme des médicaments.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229E97E2">
      <w:r>
        <w:rPr>
          <w:b/>
          <w:bCs/>
        </w:rPr>
        <w:t>Q40.</w:t>
      </w:r>
      <w:r>
        <w:t xml:space="preserve"> La voie urinaire est la principale voie d'élimination des médicaments.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97DAF1B">
      <w:pPr>
        <w:pStyle w:val="4"/>
      </w:pPr>
      <w:r>
        <w:t>Effet de premier passage hépatique et demi-vie</w:t>
      </w:r>
    </w:p>
    <w:p w14:paraId="58A99688">
      <w:r>
        <w:rPr>
          <w:b/>
          <w:bCs/>
        </w:rPr>
        <w:t>Q41.</w:t>
      </w:r>
      <w:r>
        <w:t xml:space="preserve"> Après administration orale, une partie du médicament peut être transformée par le foie avant d'atteindre la circulation générale.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07F27E40">
      <w:r>
        <w:rPr>
          <w:b/>
          <w:bCs/>
        </w:rPr>
        <w:t>Q42.</w:t>
      </w:r>
      <w:r>
        <w:t xml:space="preserve"> La demi-vie correspond au temps nécessaire pour éliminer la moitié de la concentration sanguine d'un médicament.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4B8657ED">
      <w:pPr>
        <w:pStyle w:val="4"/>
      </w:pPr>
      <w:r>
        <w:t>Pharmacodynamie et récepteurs</w:t>
      </w:r>
    </w:p>
    <w:p w14:paraId="51132C71">
      <w:r>
        <w:rPr>
          <w:b/>
          <w:bCs/>
        </w:rPr>
        <w:t>Q43.</w:t>
      </w:r>
      <w:r>
        <w:t xml:space="preserve"> Certains médicaments exercent leurs effets en se fixant sur des récepteurs cellulaires.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547FF838">
      <w:r>
        <w:rPr>
          <w:b/>
          <w:bCs/>
        </w:rPr>
        <w:t>Q44.</w:t>
      </w:r>
      <w:r>
        <w:t xml:space="preserve"> Un médicament agoniste active le récepteur sur lequel il se fixe.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3B8C438">
      <w:pPr>
        <w:pStyle w:val="4"/>
      </w:pPr>
      <w:r>
        <w:t>Toxicité, pharmacodépendance et pharmacovigilance</w:t>
      </w:r>
    </w:p>
    <w:p w14:paraId="65CBA60A">
      <w:r>
        <w:rPr>
          <w:b/>
          <w:bCs/>
        </w:rPr>
        <w:t>Q45.</w:t>
      </w:r>
      <w:r>
        <w:t xml:space="preserve"> La toxicité aiguë apparaît généralement rapidement après la prise d'un médicament.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31BA767">
      <w:r>
        <w:rPr>
          <w:b/>
          <w:bCs/>
        </w:rPr>
        <w:t>Q46.</w:t>
      </w:r>
      <w:r>
        <w:t xml:space="preserve"> Le risque tératogène concerne l'apparition de malformations chez le fœtus.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3ED206EB">
      <w:r>
        <w:rPr>
          <w:b/>
          <w:bCs/>
        </w:rPr>
        <w:t>Q47.</w:t>
      </w:r>
      <w:r>
        <w:t xml:space="preserve"> La pharmacodépendance peut être psychique ou physique.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3E30C8AE">
      <w:r>
        <w:rPr>
          <w:b/>
          <w:bCs/>
        </w:rPr>
        <w:t>Q48.</w:t>
      </w:r>
      <w:r>
        <w:t xml:space="preserve"> La pharmacovigilance concerne l'observation et l'analyse des effets indésirables des médicaments.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4A1C7C7A">
      <w:pPr>
        <w:pStyle w:val="4"/>
      </w:pPr>
      <w:r>
        <w:t>Interactions médicamenteuses</w:t>
      </w:r>
    </w:p>
    <w:p w14:paraId="6BE2A6DE">
      <w:r>
        <w:rPr>
          <w:b/>
          <w:bCs/>
        </w:rPr>
        <w:t>Q49.</w:t>
      </w:r>
      <w:r>
        <w:t xml:space="preserve"> Une synergie médicamenteuse peut augmenter l'effet obtenu par l'association de deux médicaments.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75CF74C1">
      <w:r>
        <w:rPr>
          <w:b/>
          <w:bCs/>
        </w:rPr>
        <w:t>Q50.</w:t>
      </w:r>
      <w:r>
        <w:t xml:space="preserve"> Les ordonnances comportant de nombreux médicaments diminuent le risque d'interactions médicamenteuses.</w:t>
      </w:r>
      <w:r>
        <w:br w:type="textWrapping"/>
      </w:r>
      <w:r>
        <w:t>□ VRAI</w:t>
      </w:r>
      <w:r>
        <w:br w:type="textWrapping"/>
      </w:r>
      <w:r>
        <w:t>□ FAUX</w:t>
      </w:r>
    </w:p>
    <w:p w14:paraId="672A6659">
      <w:pPr>
        <w:pBdr>
          <w:top w:val="single" w:color="auto" w:sz="12" w:space="0"/>
        </w:pBdr>
        <w:spacing w:after="0"/>
      </w:pPr>
    </w:p>
    <w:p w14:paraId="4B919ED6">
      <w:pPr>
        <w:pStyle w:val="2"/>
      </w:pPr>
      <w:r>
        <w:t>CORRIGÉ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058"/>
        <w:gridCol w:w="7079"/>
      </w:tblGrid>
      <w:tr w14:paraId="070E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198853A">
            <w:pPr>
              <w:spacing w:after="0" w:line="240" w:lineRule="auto"/>
            </w:pPr>
            <w:r>
              <w:t>Question</w:t>
            </w:r>
          </w:p>
        </w:tc>
        <w:tc>
          <w:tcPr>
            <w:vAlign w:val="center"/>
          </w:tcPr>
          <w:p w14:paraId="4420210D">
            <w:pPr>
              <w:spacing w:after="0" w:line="240" w:lineRule="auto"/>
            </w:pPr>
            <w:r>
              <w:t>Réponse</w:t>
            </w:r>
          </w:p>
        </w:tc>
        <w:tc>
          <w:tcPr>
            <w:vAlign w:val="center"/>
          </w:tcPr>
          <w:p w14:paraId="2D134F98">
            <w:pPr>
              <w:spacing w:after="0" w:line="240" w:lineRule="auto"/>
            </w:pPr>
            <w:r>
              <w:t>Justification</w:t>
            </w:r>
          </w:p>
        </w:tc>
      </w:tr>
      <w:tr w14:paraId="1758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4B5F073">
            <w:pPr>
              <w:spacing w:after="0" w:line="240" w:lineRule="auto"/>
            </w:pPr>
            <w:r>
              <w:t>Q1</w:t>
            </w:r>
          </w:p>
        </w:tc>
        <w:tc>
          <w:tcPr>
            <w:vAlign w:val="center"/>
          </w:tcPr>
          <w:p w14:paraId="099E5A31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6C1A17E">
            <w:pPr>
              <w:spacing w:after="0" w:line="240" w:lineRule="auto"/>
            </w:pPr>
            <w:r>
              <w:t>La pharmacologie étudie les médicaments, leurs actions et leur emploi.</w:t>
            </w:r>
          </w:p>
        </w:tc>
      </w:tr>
      <w:tr w14:paraId="1327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A8B0D65">
            <w:pPr>
              <w:spacing w:after="0" w:line="240" w:lineRule="auto"/>
            </w:pPr>
            <w:r>
              <w:t>Q2</w:t>
            </w:r>
          </w:p>
        </w:tc>
        <w:tc>
          <w:tcPr>
            <w:vAlign w:val="center"/>
          </w:tcPr>
          <w:p w14:paraId="572C6AC4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A0D18A9">
            <w:pPr>
              <w:spacing w:after="0" w:line="240" w:lineRule="auto"/>
            </w:pPr>
            <w:r>
              <w:t>Certains médicaments servent au diagnostic médical.</w:t>
            </w:r>
          </w:p>
        </w:tc>
      </w:tr>
      <w:tr w14:paraId="7ACB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356CC74">
            <w:pPr>
              <w:spacing w:after="0" w:line="240" w:lineRule="auto"/>
            </w:pPr>
            <w:r>
              <w:t>Q3</w:t>
            </w:r>
          </w:p>
        </w:tc>
        <w:tc>
          <w:tcPr>
            <w:vAlign w:val="center"/>
          </w:tcPr>
          <w:p w14:paraId="0C030964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50D80155">
            <w:pPr>
              <w:spacing w:after="0" w:line="240" w:lineRule="auto"/>
            </w:pPr>
            <w:r>
              <w:t>Un médicament contient un principe actif et des excipients.</w:t>
            </w:r>
          </w:p>
        </w:tc>
      </w:tr>
      <w:tr w14:paraId="45EF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9434170">
            <w:pPr>
              <w:spacing w:after="0" w:line="240" w:lineRule="auto"/>
            </w:pPr>
            <w:r>
              <w:t>Q4</w:t>
            </w:r>
          </w:p>
        </w:tc>
        <w:tc>
          <w:tcPr>
            <w:vAlign w:val="center"/>
          </w:tcPr>
          <w:p w14:paraId="40EF7962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682B1EFA">
            <w:pPr>
              <w:spacing w:after="0" w:line="240" w:lineRule="auto"/>
            </w:pPr>
            <w:r>
              <w:t>Le principe actif produit l'effet thérapeutique recherché.</w:t>
            </w:r>
          </w:p>
        </w:tc>
      </w:tr>
      <w:tr w14:paraId="774C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C429E0C">
            <w:pPr>
              <w:spacing w:after="0" w:line="240" w:lineRule="auto"/>
            </w:pPr>
            <w:r>
              <w:t>Q5</w:t>
            </w:r>
          </w:p>
        </w:tc>
        <w:tc>
          <w:tcPr>
            <w:vAlign w:val="center"/>
          </w:tcPr>
          <w:p w14:paraId="50EF6B65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394F8EBB">
            <w:pPr>
              <w:spacing w:after="0" w:line="240" w:lineRule="auto"/>
            </w:pPr>
            <w:r>
              <w:t>Les excipients contribuent à la forme, à la conservation ou au goût du médicament.</w:t>
            </w:r>
          </w:p>
        </w:tc>
      </w:tr>
      <w:tr w14:paraId="560C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DA0C480">
            <w:pPr>
              <w:spacing w:after="0" w:line="240" w:lineRule="auto"/>
            </w:pPr>
            <w:r>
              <w:t>Q6</w:t>
            </w:r>
          </w:p>
        </w:tc>
        <w:tc>
          <w:tcPr>
            <w:vAlign w:val="center"/>
          </w:tcPr>
          <w:p w14:paraId="0874BB3E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5C1FCBB3">
            <w:pPr>
              <w:spacing w:after="0" w:line="240" w:lineRule="auto"/>
            </w:pPr>
            <w:r>
              <w:t>Le principe actif est souvent présent en plus faible quantité que les excipients.</w:t>
            </w:r>
          </w:p>
        </w:tc>
      </w:tr>
      <w:tr w14:paraId="0D05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8832017">
            <w:pPr>
              <w:spacing w:after="0" w:line="240" w:lineRule="auto"/>
            </w:pPr>
            <w:r>
              <w:t>Q7</w:t>
            </w:r>
          </w:p>
        </w:tc>
        <w:tc>
          <w:tcPr>
            <w:vAlign w:val="center"/>
          </w:tcPr>
          <w:p w14:paraId="32A44117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7102259B">
            <w:pPr>
              <w:spacing w:after="0" w:line="240" w:lineRule="auto"/>
            </w:pPr>
            <w:r>
              <w:t>Ibuprofène est la DCI de cette molécule.</w:t>
            </w:r>
          </w:p>
        </w:tc>
      </w:tr>
      <w:tr w14:paraId="61AFE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2E9C68D0">
            <w:pPr>
              <w:spacing w:after="0" w:line="240" w:lineRule="auto"/>
            </w:pPr>
            <w:r>
              <w:t>Q8</w:t>
            </w:r>
          </w:p>
        </w:tc>
        <w:tc>
          <w:tcPr>
            <w:vAlign w:val="center"/>
          </w:tcPr>
          <w:p w14:paraId="01973564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79968AA7">
            <w:pPr>
              <w:spacing w:after="0" w:line="240" w:lineRule="auto"/>
            </w:pPr>
            <w:r>
              <w:t>ADVIL® est un nom commercial ou nom de spécialité.</w:t>
            </w:r>
          </w:p>
        </w:tc>
      </w:tr>
      <w:tr w14:paraId="6A96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EECE049">
            <w:pPr>
              <w:spacing w:after="0" w:line="240" w:lineRule="auto"/>
            </w:pPr>
            <w:r>
              <w:t>Q9</w:t>
            </w:r>
          </w:p>
        </w:tc>
        <w:tc>
          <w:tcPr>
            <w:vAlign w:val="center"/>
          </w:tcPr>
          <w:p w14:paraId="24FD697D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1DA9334E">
            <w:pPr>
              <w:spacing w:after="0" w:line="240" w:lineRule="auto"/>
            </w:pPr>
            <w:r>
              <w:t>Le nom chimique est différent du nom commercial.</w:t>
            </w:r>
          </w:p>
        </w:tc>
      </w:tr>
      <w:tr w14:paraId="5CC7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B5BFAC3">
            <w:pPr>
              <w:spacing w:after="0" w:line="240" w:lineRule="auto"/>
            </w:pPr>
            <w:r>
              <w:t>Q10</w:t>
            </w:r>
          </w:p>
        </w:tc>
        <w:tc>
          <w:tcPr>
            <w:vAlign w:val="center"/>
          </w:tcPr>
          <w:p w14:paraId="43A10B8B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1536B538">
            <w:pPr>
              <w:spacing w:after="0" w:line="240" w:lineRule="auto"/>
            </w:pPr>
            <w:r>
              <w:t>La morphine est extraite du pavot.</w:t>
            </w:r>
          </w:p>
        </w:tc>
      </w:tr>
      <w:tr w14:paraId="46CB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2369C9E">
            <w:pPr>
              <w:spacing w:after="0" w:line="240" w:lineRule="auto"/>
            </w:pPr>
            <w:r>
              <w:t>Q11</w:t>
            </w:r>
          </w:p>
        </w:tc>
        <w:tc>
          <w:tcPr>
            <w:vAlign w:val="center"/>
          </w:tcPr>
          <w:p w14:paraId="7B3EF244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1B9B0228">
            <w:pPr>
              <w:spacing w:after="0" w:line="240" w:lineRule="auto"/>
            </w:pPr>
            <w:r>
              <w:t>Les vaccins sont classés parmi les médicaments d'origine microbiologique.</w:t>
            </w:r>
          </w:p>
        </w:tc>
      </w:tr>
      <w:tr w14:paraId="7671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244FE97">
            <w:pPr>
              <w:spacing w:after="0" w:line="240" w:lineRule="auto"/>
            </w:pPr>
            <w:r>
              <w:t>Q12</w:t>
            </w:r>
          </w:p>
        </w:tc>
        <w:tc>
          <w:tcPr>
            <w:vAlign w:val="center"/>
          </w:tcPr>
          <w:p w14:paraId="2C018C01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90805D3">
            <w:pPr>
              <w:spacing w:after="0" w:line="240" w:lineRule="auto"/>
            </w:pPr>
            <w:r>
              <w:t>L'insuline a été obtenue initialement à partir du pancréas animal.</w:t>
            </w:r>
          </w:p>
        </w:tc>
      </w:tr>
      <w:tr w14:paraId="6FC09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57711DF">
            <w:pPr>
              <w:spacing w:after="0" w:line="240" w:lineRule="auto"/>
            </w:pPr>
            <w:r>
              <w:t>Q13</w:t>
            </w:r>
          </w:p>
        </w:tc>
        <w:tc>
          <w:tcPr>
            <w:vAlign w:val="center"/>
          </w:tcPr>
          <w:p w14:paraId="3FE69AC3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62594E65">
            <w:pPr>
              <w:spacing w:after="0" w:line="240" w:lineRule="auto"/>
            </w:pPr>
            <w:r>
              <w:t>Le générique possède la même DCI que le princeps.</w:t>
            </w:r>
          </w:p>
        </w:tc>
      </w:tr>
      <w:tr w14:paraId="19ED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7C3DC719">
            <w:pPr>
              <w:spacing w:after="0" w:line="240" w:lineRule="auto"/>
            </w:pPr>
            <w:r>
              <w:t>Q14</w:t>
            </w:r>
          </w:p>
        </w:tc>
        <w:tc>
          <w:tcPr>
            <w:vAlign w:val="center"/>
          </w:tcPr>
          <w:p w14:paraId="1BE914DA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0B0B651C">
            <w:pPr>
              <w:spacing w:after="0" w:line="240" w:lineRule="auto"/>
            </w:pPr>
            <w:r>
              <w:t>La bioéquivalence doit être démontrée.</w:t>
            </w:r>
          </w:p>
        </w:tc>
      </w:tr>
      <w:tr w14:paraId="7E44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3626059">
            <w:pPr>
              <w:spacing w:after="0" w:line="240" w:lineRule="auto"/>
            </w:pPr>
            <w:r>
              <w:t>Q15</w:t>
            </w:r>
          </w:p>
        </w:tc>
        <w:tc>
          <w:tcPr>
            <w:vAlign w:val="center"/>
          </w:tcPr>
          <w:p w14:paraId="72ECD8EF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5D241861">
            <w:pPr>
              <w:spacing w:after="0" w:line="240" w:lineRule="auto"/>
            </w:pPr>
            <w:r>
              <w:t>Le générique doit avoir la même efficacité thérapeutique.</w:t>
            </w:r>
          </w:p>
        </w:tc>
      </w:tr>
      <w:tr w14:paraId="7B2F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7A40292E">
            <w:pPr>
              <w:spacing w:after="0" w:line="240" w:lineRule="auto"/>
            </w:pPr>
            <w:r>
              <w:t>Q16</w:t>
            </w:r>
          </w:p>
        </w:tc>
        <w:tc>
          <w:tcPr>
            <w:vAlign w:val="center"/>
          </w:tcPr>
          <w:p w14:paraId="74368134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5201985">
            <w:pPr>
              <w:spacing w:after="0" w:line="240" w:lineRule="auto"/>
            </w:pPr>
            <w:r>
              <w:t>La prescription est principalement un acte médical.</w:t>
            </w:r>
          </w:p>
        </w:tc>
      </w:tr>
      <w:tr w14:paraId="4761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E6C530F">
            <w:pPr>
              <w:spacing w:after="0" w:line="240" w:lineRule="auto"/>
            </w:pPr>
            <w:r>
              <w:t>Q17</w:t>
            </w:r>
          </w:p>
        </w:tc>
        <w:tc>
          <w:tcPr>
            <w:vAlign w:val="center"/>
          </w:tcPr>
          <w:p w14:paraId="4F786198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74E165FE">
            <w:pPr>
              <w:spacing w:after="0" w:line="240" w:lineRule="auto"/>
            </w:pPr>
            <w:r>
              <w:t>L'infirmier n'est pas autorisé à prescrire librement des médicaments.</w:t>
            </w:r>
          </w:p>
        </w:tc>
      </w:tr>
      <w:tr w14:paraId="60FB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EEE5843">
            <w:pPr>
              <w:spacing w:after="0" w:line="240" w:lineRule="auto"/>
            </w:pPr>
            <w:r>
              <w:t>Q18</w:t>
            </w:r>
          </w:p>
        </w:tc>
        <w:tc>
          <w:tcPr>
            <w:vAlign w:val="center"/>
          </w:tcPr>
          <w:p w14:paraId="71511F04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638E0FB9">
            <w:pPr>
              <w:spacing w:after="0" w:line="240" w:lineRule="auto"/>
            </w:pPr>
            <w:r>
              <w:t>La posologie est une mention obligatoire de l'ordonnance.</w:t>
            </w:r>
          </w:p>
        </w:tc>
      </w:tr>
      <w:tr w14:paraId="4E5A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A6E612D">
            <w:pPr>
              <w:spacing w:after="0" w:line="240" w:lineRule="auto"/>
            </w:pPr>
            <w:r>
              <w:t>Q19</w:t>
            </w:r>
          </w:p>
        </w:tc>
        <w:tc>
          <w:tcPr>
            <w:vAlign w:val="center"/>
          </w:tcPr>
          <w:p w14:paraId="71F8135B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A75766B">
            <w:pPr>
              <w:spacing w:after="0" w:line="240" w:lineRule="auto"/>
            </w:pPr>
            <w:r>
              <w:t>Le bon patient fait partie des 5 B.</w:t>
            </w:r>
          </w:p>
        </w:tc>
      </w:tr>
      <w:tr w14:paraId="3F4B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0139D27">
            <w:pPr>
              <w:spacing w:after="0" w:line="240" w:lineRule="auto"/>
            </w:pPr>
            <w:r>
              <w:t>Q20</w:t>
            </w:r>
          </w:p>
        </w:tc>
        <w:tc>
          <w:tcPr>
            <w:vAlign w:val="center"/>
          </w:tcPr>
          <w:p w14:paraId="29F774B3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D659E12">
            <w:pPr>
              <w:spacing w:after="0" w:line="240" w:lineRule="auto"/>
            </w:pPr>
            <w:r>
              <w:t>Le respect du bon moment est essentiel à la sécurité du traitement.</w:t>
            </w:r>
          </w:p>
        </w:tc>
      </w:tr>
      <w:tr w14:paraId="00BE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09291DD">
            <w:pPr>
              <w:spacing w:after="0" w:line="240" w:lineRule="auto"/>
            </w:pPr>
            <w:r>
              <w:t>Q21</w:t>
            </w:r>
          </w:p>
        </w:tc>
        <w:tc>
          <w:tcPr>
            <w:vAlign w:val="center"/>
          </w:tcPr>
          <w:p w14:paraId="440DB15A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2CACA456">
            <w:pPr>
              <w:spacing w:after="0" w:line="240" w:lineRule="auto"/>
            </w:pPr>
            <w:r>
              <w:t>Une surveillance de l'efficacité et de la tolérance est nécessaire.</w:t>
            </w:r>
          </w:p>
        </w:tc>
      </w:tr>
      <w:tr w14:paraId="7B46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39CA4A5">
            <w:pPr>
              <w:spacing w:after="0" w:line="240" w:lineRule="auto"/>
            </w:pPr>
            <w:r>
              <w:t>Q22</w:t>
            </w:r>
          </w:p>
        </w:tc>
        <w:tc>
          <w:tcPr>
            <w:vAlign w:val="center"/>
          </w:tcPr>
          <w:p w14:paraId="6FDB9B30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67E50E36">
            <w:pPr>
              <w:spacing w:after="0" w:line="240" w:lineRule="auto"/>
            </w:pPr>
            <w:r>
              <w:t>Toute administration doit être tracée dans le dossier du patient.</w:t>
            </w:r>
          </w:p>
        </w:tc>
      </w:tr>
      <w:tr w14:paraId="4629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A34407D">
            <w:pPr>
              <w:spacing w:after="0" w:line="240" w:lineRule="auto"/>
            </w:pPr>
            <w:r>
              <w:t>Q23</w:t>
            </w:r>
          </w:p>
        </w:tc>
        <w:tc>
          <w:tcPr>
            <w:vAlign w:val="center"/>
          </w:tcPr>
          <w:p w14:paraId="1C3F375A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620FF10E">
            <w:pPr>
              <w:spacing w:after="0" w:line="240" w:lineRule="auto"/>
            </w:pPr>
            <w:r>
              <w:t>La date de péremption doit toujours être vérifiée.</w:t>
            </w:r>
          </w:p>
        </w:tc>
      </w:tr>
      <w:tr w14:paraId="40436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CBBE23E">
            <w:pPr>
              <w:spacing w:after="0" w:line="240" w:lineRule="auto"/>
            </w:pPr>
            <w:r>
              <w:t>Q24</w:t>
            </w:r>
          </w:p>
        </w:tc>
        <w:tc>
          <w:tcPr>
            <w:vAlign w:val="center"/>
          </w:tcPr>
          <w:p w14:paraId="7533AAC8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078CF73">
            <w:pPr>
              <w:spacing w:after="0" w:line="240" w:lineRule="auto"/>
            </w:pPr>
            <w:r>
              <w:t>Toute erreur doit être rapidement signalée au médecin.</w:t>
            </w:r>
          </w:p>
        </w:tc>
      </w:tr>
      <w:tr w14:paraId="524E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7B4E8ED4">
            <w:pPr>
              <w:spacing w:after="0" w:line="240" w:lineRule="auto"/>
            </w:pPr>
            <w:r>
              <w:t>Q25</w:t>
            </w:r>
          </w:p>
        </w:tc>
        <w:tc>
          <w:tcPr>
            <w:vAlign w:val="center"/>
          </w:tcPr>
          <w:p w14:paraId="0A5D9EEC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23F24409">
            <w:pPr>
              <w:spacing w:after="0" w:line="240" w:lineRule="auto"/>
            </w:pPr>
            <w:r>
              <w:t>Le médicament rejoint la circulation sanguine pour agir.</w:t>
            </w:r>
          </w:p>
        </w:tc>
      </w:tr>
      <w:tr w14:paraId="7B4E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F667BEB">
            <w:pPr>
              <w:spacing w:after="0" w:line="240" w:lineRule="auto"/>
            </w:pPr>
            <w:r>
              <w:t>Q26</w:t>
            </w:r>
          </w:p>
        </w:tc>
        <w:tc>
          <w:tcPr>
            <w:vAlign w:val="center"/>
          </w:tcPr>
          <w:p w14:paraId="6DD1F55F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067A095">
            <w:pPr>
              <w:spacing w:after="0" w:line="240" w:lineRule="auto"/>
            </w:pPr>
            <w:r>
              <w:t>L'injection IM est réalisée dans un muscle profond.</w:t>
            </w:r>
          </w:p>
        </w:tc>
      </w:tr>
      <w:tr w14:paraId="70BF4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2F554C7C">
            <w:pPr>
              <w:spacing w:after="0" w:line="240" w:lineRule="auto"/>
            </w:pPr>
            <w:r>
              <w:t>Q27</w:t>
            </w:r>
          </w:p>
        </w:tc>
        <w:tc>
          <w:tcPr>
            <w:vAlign w:val="center"/>
          </w:tcPr>
          <w:p w14:paraId="469BE268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6B1320A7">
            <w:pPr>
              <w:spacing w:after="0" w:line="240" w:lineRule="auto"/>
            </w:pPr>
            <w:r>
              <w:t>La voie sous-cutanée se fait sous la peau.</w:t>
            </w:r>
          </w:p>
        </w:tc>
      </w:tr>
      <w:tr w14:paraId="4609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8ABB445">
            <w:pPr>
              <w:spacing w:after="0" w:line="240" w:lineRule="auto"/>
            </w:pPr>
            <w:r>
              <w:t>Q28</w:t>
            </w:r>
          </w:p>
        </w:tc>
        <w:tc>
          <w:tcPr>
            <w:vAlign w:val="center"/>
          </w:tcPr>
          <w:p w14:paraId="5E9BC4D3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A2461D5">
            <w:pPr>
              <w:spacing w:after="0" w:line="240" w:lineRule="auto"/>
            </w:pPr>
            <w:r>
              <w:t>La voie sublinguale produit une action rapide.</w:t>
            </w:r>
          </w:p>
        </w:tc>
      </w:tr>
      <w:tr w14:paraId="6480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DF6E219">
            <w:pPr>
              <w:spacing w:after="0" w:line="240" w:lineRule="auto"/>
            </w:pPr>
            <w:r>
              <w:t>Q29</w:t>
            </w:r>
          </w:p>
        </w:tc>
        <w:tc>
          <w:tcPr>
            <w:vAlign w:val="center"/>
          </w:tcPr>
          <w:p w14:paraId="3EEDA390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C1A0F28">
            <w:pPr>
              <w:spacing w:after="0" w:line="240" w:lineRule="auto"/>
            </w:pPr>
            <w:r>
              <w:t>La voie rectale peut être utilisée pour une action locale ou générale.</w:t>
            </w:r>
          </w:p>
        </w:tc>
      </w:tr>
      <w:tr w14:paraId="61A0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66477D6">
            <w:pPr>
              <w:spacing w:after="0" w:line="240" w:lineRule="auto"/>
            </w:pPr>
            <w:r>
              <w:t>Q30</w:t>
            </w:r>
          </w:p>
        </w:tc>
        <w:tc>
          <w:tcPr>
            <w:vAlign w:val="center"/>
          </w:tcPr>
          <w:p w14:paraId="36DE9DC2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2F653CC8">
            <w:pPr>
              <w:spacing w:after="0" w:line="240" w:lineRule="auto"/>
            </w:pPr>
            <w:r>
              <w:t>Les patchs ont généralement une action générale via la circulation sanguine.</w:t>
            </w:r>
          </w:p>
        </w:tc>
      </w:tr>
      <w:tr w14:paraId="00DC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C3A5AB4">
            <w:pPr>
              <w:spacing w:after="0" w:line="240" w:lineRule="auto"/>
            </w:pPr>
            <w:r>
              <w:t>Q31</w:t>
            </w:r>
          </w:p>
        </w:tc>
        <w:tc>
          <w:tcPr>
            <w:vAlign w:val="center"/>
          </w:tcPr>
          <w:p w14:paraId="5EC56277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5D82F6C9">
            <w:pPr>
              <w:spacing w:after="0" w:line="240" w:lineRule="auto"/>
            </w:pPr>
            <w:r>
              <w:t>Ils doivent être dissous avant administration.</w:t>
            </w:r>
          </w:p>
        </w:tc>
      </w:tr>
      <w:tr w14:paraId="3298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08F66F6">
            <w:pPr>
              <w:spacing w:after="0" w:line="240" w:lineRule="auto"/>
            </w:pPr>
            <w:r>
              <w:t>Q32</w:t>
            </w:r>
          </w:p>
        </w:tc>
        <w:tc>
          <w:tcPr>
            <w:vAlign w:val="center"/>
          </w:tcPr>
          <w:p w14:paraId="61E64F16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128AA4BA">
            <w:pPr>
              <w:spacing w:after="0" w:line="240" w:lineRule="auto"/>
            </w:pPr>
            <w:r>
              <w:t>Les formes gastrorésistantes ne doivent pas être écrasées.</w:t>
            </w:r>
          </w:p>
        </w:tc>
      </w:tr>
      <w:tr w14:paraId="0B85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6EFB7A4">
            <w:pPr>
              <w:spacing w:after="0" w:line="240" w:lineRule="auto"/>
            </w:pPr>
            <w:r>
              <w:t>Q33</w:t>
            </w:r>
          </w:p>
        </w:tc>
        <w:tc>
          <w:tcPr>
            <w:vAlign w:val="center"/>
          </w:tcPr>
          <w:p w14:paraId="25FF2797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F025600">
            <w:pPr>
              <w:spacing w:after="0" w:line="240" w:lineRule="auto"/>
            </w:pPr>
            <w:r>
              <w:t>Leur mode d'administration exige un placement sous la langue.</w:t>
            </w:r>
          </w:p>
        </w:tc>
      </w:tr>
      <w:tr w14:paraId="1023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0E7D03F">
            <w:pPr>
              <w:spacing w:after="0" w:line="240" w:lineRule="auto"/>
            </w:pPr>
            <w:r>
              <w:t>Q34</w:t>
            </w:r>
          </w:p>
        </w:tc>
        <w:tc>
          <w:tcPr>
            <w:vAlign w:val="center"/>
          </w:tcPr>
          <w:p w14:paraId="3AEED8ED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76B6AFA1">
            <w:pPr>
              <w:spacing w:after="0" w:line="240" w:lineRule="auto"/>
            </w:pPr>
            <w:r>
              <w:t>Les gélules protègent certains principes actifs sensibles.</w:t>
            </w:r>
          </w:p>
        </w:tc>
      </w:tr>
      <w:tr w14:paraId="049D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4870B8F">
            <w:pPr>
              <w:spacing w:after="0" w:line="240" w:lineRule="auto"/>
            </w:pPr>
            <w:r>
              <w:t>Q35</w:t>
            </w:r>
          </w:p>
        </w:tc>
        <w:tc>
          <w:tcPr>
            <w:vAlign w:val="center"/>
          </w:tcPr>
          <w:p w14:paraId="11B30C19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03A315E0">
            <w:pPr>
              <w:spacing w:after="0" w:line="240" w:lineRule="auto"/>
            </w:pPr>
            <w:r>
              <w:t>Toute forme injectable doit être stérile.</w:t>
            </w:r>
          </w:p>
        </w:tc>
      </w:tr>
      <w:tr w14:paraId="75D7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1335023">
            <w:pPr>
              <w:spacing w:after="0" w:line="240" w:lineRule="auto"/>
            </w:pPr>
            <w:r>
              <w:t>Q36</w:t>
            </w:r>
          </w:p>
        </w:tc>
        <w:tc>
          <w:tcPr>
            <w:vAlign w:val="center"/>
          </w:tcPr>
          <w:p w14:paraId="73B73541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2D061DAD">
            <w:pPr>
              <w:spacing w:after="0" w:line="240" w:lineRule="auto"/>
            </w:pPr>
            <w:r>
              <w:t>La pharmacocinétique étudie le devenir du médicament dans l'organisme.</w:t>
            </w:r>
          </w:p>
        </w:tc>
      </w:tr>
      <w:tr w14:paraId="33BC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3940C8E">
            <w:pPr>
              <w:spacing w:after="0" w:line="240" w:lineRule="auto"/>
            </w:pPr>
            <w:r>
              <w:t>Q37</w:t>
            </w:r>
          </w:p>
        </w:tc>
        <w:tc>
          <w:tcPr>
            <w:vAlign w:val="center"/>
          </w:tcPr>
          <w:p w14:paraId="182483A7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04446820">
            <w:pPr>
              <w:spacing w:after="0" w:line="240" w:lineRule="auto"/>
            </w:pPr>
            <w:r>
              <w:t>L'absorption correspond à l'entrée dans la circulation générale.</w:t>
            </w:r>
          </w:p>
        </w:tc>
      </w:tr>
      <w:tr w14:paraId="2B89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1D40DDD">
            <w:pPr>
              <w:spacing w:after="0" w:line="240" w:lineRule="auto"/>
            </w:pPr>
            <w:r>
              <w:t>Q38</w:t>
            </w:r>
          </w:p>
        </w:tc>
        <w:tc>
          <w:tcPr>
            <w:vAlign w:val="center"/>
          </w:tcPr>
          <w:p w14:paraId="1C8F0283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CDC40FC">
            <w:pPr>
              <w:spacing w:after="0" w:line="240" w:lineRule="auto"/>
            </w:pPr>
            <w:r>
              <w:t>Seule la fraction libre est active et diffusible.</w:t>
            </w:r>
          </w:p>
        </w:tc>
      </w:tr>
      <w:tr w14:paraId="4A3B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707A03C">
            <w:pPr>
              <w:spacing w:after="0" w:line="240" w:lineRule="auto"/>
            </w:pPr>
            <w:r>
              <w:t>Q39</w:t>
            </w:r>
          </w:p>
        </w:tc>
        <w:tc>
          <w:tcPr>
            <w:vAlign w:val="center"/>
          </w:tcPr>
          <w:p w14:paraId="4E0DEF7B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5FDBEEAF">
            <w:pPr>
              <w:spacing w:after="0" w:line="240" w:lineRule="auto"/>
            </w:pPr>
            <w:r>
              <w:t>Le foie est l'organe principal de biotransformation.</w:t>
            </w:r>
          </w:p>
        </w:tc>
      </w:tr>
      <w:tr w14:paraId="3E694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4A1700D">
            <w:pPr>
              <w:spacing w:after="0" w:line="240" w:lineRule="auto"/>
            </w:pPr>
            <w:r>
              <w:t>Q40</w:t>
            </w:r>
          </w:p>
        </w:tc>
        <w:tc>
          <w:tcPr>
            <w:vAlign w:val="center"/>
          </w:tcPr>
          <w:p w14:paraId="5235DFFF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C3A0F53">
            <w:pPr>
              <w:spacing w:after="0" w:line="240" w:lineRule="auto"/>
            </w:pPr>
            <w:r>
              <w:t>L'élimination rénale est la principale voie d'excrétion.</w:t>
            </w:r>
          </w:p>
        </w:tc>
      </w:tr>
      <w:tr w14:paraId="30BD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317150C">
            <w:pPr>
              <w:spacing w:after="0" w:line="240" w:lineRule="auto"/>
            </w:pPr>
            <w:r>
              <w:t>Q41</w:t>
            </w:r>
          </w:p>
        </w:tc>
        <w:tc>
          <w:tcPr>
            <w:vAlign w:val="center"/>
          </w:tcPr>
          <w:p w14:paraId="4D9E2731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1AD8D6E4">
            <w:pPr>
              <w:spacing w:after="0" w:line="240" w:lineRule="auto"/>
            </w:pPr>
            <w:r>
              <w:t>Il s'agit de l'effet de premier passage hépatique.</w:t>
            </w:r>
          </w:p>
        </w:tc>
      </w:tr>
      <w:tr w14:paraId="61DF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D2B12A5">
            <w:pPr>
              <w:spacing w:after="0" w:line="240" w:lineRule="auto"/>
            </w:pPr>
            <w:r>
              <w:t>Q42</w:t>
            </w:r>
          </w:p>
        </w:tc>
        <w:tc>
          <w:tcPr>
            <w:vAlign w:val="center"/>
          </w:tcPr>
          <w:p w14:paraId="066ABCF8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42F9119B">
            <w:pPr>
              <w:spacing w:after="0" w:line="240" w:lineRule="auto"/>
            </w:pPr>
            <w:r>
              <w:t>C'est la définition de la demi-vie d'élimination.</w:t>
            </w:r>
          </w:p>
        </w:tc>
      </w:tr>
      <w:tr w14:paraId="0BBA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63DEE3B">
            <w:pPr>
              <w:spacing w:after="0" w:line="240" w:lineRule="auto"/>
            </w:pPr>
            <w:r>
              <w:t>Q43</w:t>
            </w:r>
          </w:p>
        </w:tc>
        <w:tc>
          <w:tcPr>
            <w:vAlign w:val="center"/>
          </w:tcPr>
          <w:p w14:paraId="353E1E8C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68F75BD7">
            <w:pPr>
              <w:spacing w:after="0" w:line="240" w:lineRule="auto"/>
            </w:pPr>
            <w:r>
              <w:t>De nombreux médicaments agissent via des récepteurs cellulaires.</w:t>
            </w:r>
          </w:p>
        </w:tc>
      </w:tr>
      <w:tr w14:paraId="2AC8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026B15C">
            <w:pPr>
              <w:spacing w:after="0" w:line="240" w:lineRule="auto"/>
            </w:pPr>
            <w:r>
              <w:t>Q44</w:t>
            </w:r>
          </w:p>
        </w:tc>
        <w:tc>
          <w:tcPr>
            <w:vAlign w:val="center"/>
          </w:tcPr>
          <w:p w14:paraId="1C974510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3CDF3A1A">
            <w:pPr>
              <w:spacing w:after="0" w:line="240" w:lineRule="auto"/>
            </w:pPr>
            <w:r>
              <w:t>Un agoniste stimule le récepteur.</w:t>
            </w:r>
          </w:p>
        </w:tc>
      </w:tr>
      <w:tr w14:paraId="7930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D6787AB">
            <w:pPr>
              <w:spacing w:after="0" w:line="240" w:lineRule="auto"/>
            </w:pPr>
            <w:r>
              <w:t>Q45</w:t>
            </w:r>
          </w:p>
        </w:tc>
        <w:tc>
          <w:tcPr>
            <w:vAlign w:val="center"/>
          </w:tcPr>
          <w:p w14:paraId="0516FCF6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0A52E6B7">
            <w:pPr>
              <w:spacing w:after="0" w:line="240" w:lineRule="auto"/>
            </w:pPr>
            <w:r>
              <w:t>La toxicité aiguë survient rapidement après l'administration.</w:t>
            </w:r>
          </w:p>
        </w:tc>
      </w:tr>
      <w:tr w14:paraId="0FED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C508DFE">
            <w:pPr>
              <w:spacing w:after="0" w:line="240" w:lineRule="auto"/>
            </w:pPr>
            <w:r>
              <w:t>Q46</w:t>
            </w:r>
          </w:p>
        </w:tc>
        <w:tc>
          <w:tcPr>
            <w:vAlign w:val="center"/>
          </w:tcPr>
          <w:p w14:paraId="7B121BBB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06FE2ED2">
            <w:pPr>
              <w:spacing w:after="0" w:line="240" w:lineRule="auto"/>
            </w:pPr>
            <w:r>
              <w:t>Elle correspond au risque de malformations fœtales.</w:t>
            </w:r>
          </w:p>
        </w:tc>
      </w:tr>
      <w:tr w14:paraId="569E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32EB83D">
            <w:pPr>
              <w:spacing w:after="0" w:line="240" w:lineRule="auto"/>
            </w:pPr>
            <w:r>
              <w:t>Q47</w:t>
            </w:r>
          </w:p>
        </w:tc>
        <w:tc>
          <w:tcPr>
            <w:vAlign w:val="center"/>
          </w:tcPr>
          <w:p w14:paraId="3BE7E1F5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0DB4BADF">
            <w:pPr>
              <w:spacing w:after="0" w:line="240" w:lineRule="auto"/>
            </w:pPr>
            <w:r>
              <w:t>Les deux formes de dépendance sont décrites dans le cours.</w:t>
            </w:r>
          </w:p>
        </w:tc>
      </w:tr>
      <w:tr w14:paraId="3587A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69494DD">
            <w:pPr>
              <w:spacing w:after="0" w:line="240" w:lineRule="auto"/>
            </w:pPr>
            <w:r>
              <w:t>Q48</w:t>
            </w:r>
          </w:p>
        </w:tc>
        <w:tc>
          <w:tcPr>
            <w:vAlign w:val="center"/>
          </w:tcPr>
          <w:p w14:paraId="255B667D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28E93EAC">
            <w:pPr>
              <w:spacing w:after="0" w:line="240" w:lineRule="auto"/>
            </w:pPr>
            <w:r>
              <w:t>La pharmacovigilance surveille les effets indésirables.</w:t>
            </w:r>
          </w:p>
        </w:tc>
      </w:tr>
      <w:tr w14:paraId="76C3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CE06F39">
            <w:pPr>
              <w:spacing w:after="0" w:line="240" w:lineRule="auto"/>
            </w:pPr>
            <w:r>
              <w:t>Q49</w:t>
            </w:r>
          </w:p>
        </w:tc>
        <w:tc>
          <w:tcPr>
            <w:vAlign w:val="center"/>
          </w:tcPr>
          <w:p w14:paraId="59E78175">
            <w:pPr>
              <w:spacing w:after="0" w:line="240" w:lineRule="auto"/>
            </w:pPr>
            <w:r>
              <w:t>VRAI</w:t>
            </w:r>
          </w:p>
        </w:tc>
        <w:tc>
          <w:tcPr>
            <w:vAlign w:val="center"/>
          </w:tcPr>
          <w:p w14:paraId="635151EC">
            <w:pPr>
              <w:spacing w:after="0" w:line="240" w:lineRule="auto"/>
            </w:pPr>
            <w:r>
              <w:t>La synergie augmente l'effet global de l'association.</w:t>
            </w:r>
          </w:p>
        </w:tc>
      </w:tr>
      <w:tr w14:paraId="63D3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2A9CCE4">
            <w:pPr>
              <w:spacing w:after="0" w:line="240" w:lineRule="auto"/>
            </w:pPr>
            <w:r>
              <w:t>Q50</w:t>
            </w:r>
          </w:p>
        </w:tc>
        <w:tc>
          <w:tcPr>
            <w:vAlign w:val="center"/>
          </w:tcPr>
          <w:p w14:paraId="563534CC">
            <w:pPr>
              <w:spacing w:after="0" w:line="240" w:lineRule="auto"/>
            </w:pPr>
            <w:r>
              <w:t>FAUX</w:t>
            </w:r>
          </w:p>
        </w:tc>
        <w:tc>
          <w:tcPr>
            <w:vAlign w:val="center"/>
          </w:tcPr>
          <w:p w14:paraId="2B5AFA62">
            <w:pPr>
              <w:spacing w:after="0" w:line="240" w:lineRule="auto"/>
            </w:pPr>
            <w:r>
              <w:t>Les ordonnances très chargées augmentent le risque d'interactions médicamenteuses.</w:t>
            </w:r>
          </w:p>
        </w:tc>
      </w:tr>
    </w:tbl>
    <w:p w14:paraId="663FD1E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20419C3C"/>
    <w:rsid w:val="20419C3C"/>
    <w:rsid w:val="251E3949"/>
    <w:rsid w:val="397297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0563C1"/>
      <w:u w:val="single"/>
    </w:rPr>
  </w:style>
  <w:style w:type="character" w:styleId="13">
    <w:name w:val="footnote reference"/>
    <w:basedOn w:val="11"/>
    <w:semiHidden/>
    <w:unhideWhenUsed/>
    <w:uiPriority w:val="99"/>
    <w:rPr>
      <w:vertAlign w:val="superscript"/>
    </w:rPr>
  </w:style>
  <w:style w:type="paragraph" w:styleId="14">
    <w:name w:val="Subtitle"/>
    <w:basedOn w:val="1"/>
    <w:next w:val="1"/>
    <w:link w:val="28"/>
    <w:qFormat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15">
    <w:name w:val="footnote text"/>
    <w:basedOn w:val="1"/>
    <w:link w:val="3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customStyle="1" w:styleId="1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21">
    <w:name w:val="Heading 4 Char"/>
    <w:basedOn w:val="11"/>
    <w:link w:val="5"/>
    <w:qFormat/>
    <w:uiPriority w:val="9"/>
    <w:rPr>
      <w:rFonts w:eastAsiaTheme="majorEastAsia" w:cstheme="majorBidi"/>
      <w:i/>
      <w:iCs/>
      <w:color w:val="0F4761"/>
    </w:rPr>
  </w:style>
  <w:style w:type="character" w:customStyle="1" w:styleId="22">
    <w:name w:val="Heading 5 Char"/>
    <w:basedOn w:val="11"/>
    <w:link w:val="6"/>
    <w:qFormat/>
    <w:uiPriority w:val="9"/>
    <w:rPr>
      <w:rFonts w:eastAsiaTheme="majorEastAsia" w:cstheme="majorBidi"/>
      <w:color w:val="0F4761"/>
    </w:rPr>
  </w:style>
  <w:style w:type="character" w:customStyle="1" w:styleId="23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/>
    </w:rPr>
  </w:style>
  <w:style w:type="character" w:customStyle="1" w:styleId="24">
    <w:name w:val="Heading 7 Char"/>
    <w:basedOn w:val="11"/>
    <w:link w:val="8"/>
    <w:qFormat/>
    <w:uiPriority w:val="9"/>
    <w:rPr>
      <w:rFonts w:eastAsiaTheme="majorEastAsia" w:cstheme="majorBidi"/>
      <w:color w:val="595959"/>
    </w:rPr>
  </w:style>
  <w:style w:type="character" w:customStyle="1" w:styleId="25">
    <w:name w:val="Heading 8 Char"/>
    <w:basedOn w:val="11"/>
    <w:link w:val="9"/>
    <w:uiPriority w:val="9"/>
    <w:rPr>
      <w:rFonts w:eastAsiaTheme="majorEastAsia" w:cstheme="majorBidi"/>
      <w:i/>
      <w:iCs/>
      <w:color w:val="272727"/>
    </w:rPr>
  </w:style>
  <w:style w:type="character" w:customStyle="1" w:styleId="26">
    <w:name w:val="Heading 9 Char"/>
    <w:basedOn w:val="11"/>
    <w:link w:val="10"/>
    <w:qFormat/>
    <w:uiPriority w:val="9"/>
    <w:rPr>
      <w:rFonts w:eastAsiaTheme="majorEastAsia" w:cstheme="majorBidi"/>
      <w:color w:val="272727"/>
    </w:rPr>
  </w:style>
  <w:style w:type="character" w:customStyle="1" w:styleId="27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4"/>
    <w:qFormat/>
    <w:uiPriority w:val="11"/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29">
    <w:name w:val="Intense Emphasis"/>
    <w:basedOn w:val="11"/>
    <w:qFormat/>
    <w:uiPriority w:val="21"/>
    <w:rPr>
      <w:i/>
      <w:iCs/>
      <w:color w:val="0F4761"/>
    </w:rPr>
  </w:style>
  <w:style w:type="character" w:customStyle="1" w:styleId="30">
    <w:name w:val="Quote Char"/>
    <w:basedOn w:val="11"/>
    <w:link w:val="31"/>
    <w:uiPriority w:val="29"/>
    <w:rPr>
      <w:i/>
      <w:iCs/>
      <w:color w:val="404040"/>
    </w:rPr>
  </w:style>
  <w:style w:type="paragraph" w:customStyle="1" w:styleId="31">
    <w:name w:val="Code"/>
    <w:basedOn w:val="1"/>
    <w:next w:val="1"/>
    <w:link w:val="30"/>
    <w:qFormat/>
    <w:uiPriority w:val="35"/>
    <w:pPr>
      <w:spacing w:before="160"/>
      <w:contextualSpacing/>
      <w:jc w:val="left"/>
    </w:pPr>
    <w:rPr>
      <w:i/>
      <w:iCs/>
      <w:color w:val="404040"/>
    </w:rPr>
  </w:style>
  <w:style w:type="paragraph" w:styleId="32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3">
    <w:name w:val="Intense Quote Char"/>
    <w:basedOn w:val="11"/>
    <w:link w:val="34"/>
    <w:qFormat/>
    <w:uiPriority w:val="30"/>
    <w:rPr>
      <w:i/>
      <w:iCs/>
      <w:color w:val="0F4761"/>
    </w:rPr>
  </w:style>
  <w:style w:type="paragraph" w:styleId="34">
    <w:name w:val="Intense Quote"/>
    <w:basedOn w:val="1"/>
    <w:next w:val="1"/>
    <w:link w:val="33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table" w:styleId="36">
    <w:name w:val="Table Grid"/>
    <w:basedOn w:val="1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Grid Table 4 Accent 1"/>
    <w:basedOn w:val="17"/>
    <w:qFormat/>
    <w:uiPriority w:val="49"/>
    <w:pPr>
      <w:spacing w:after="0" w:line="240" w:lineRule="auto"/>
    </w:p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Footnote Text Char"/>
    <w:basedOn w:val="11"/>
    <w:link w:val="15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1362</Words>
  <Characters>7281</Characters>
  <TotalTime>0</TotalTime>
  <ScaleCrop>false</ScaleCrop>
  <LinksUpToDate>false</LinksUpToDate>
  <CharactersWithSpaces>8320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2026-09-08T12:29:00Z</dcterms:created>
  <dc:creator>Un-named</dc:creator>
  <cp:lastModifiedBy>akaboss_b</cp:lastModifiedBy>
  <dcterms:modified xsi:type="dcterms:W3CDTF">2026-09-08T12:35:25Z</dcterms:modified>
  <dc:title>Document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eyJoZGlkIjoiNmNjZTM1MDFjMzExNDU2NzczODQ3N2YzYWY2MmYxMWEiLCJ1c2VySWQiOiIxNjY2NTU3OTQ3MDQ3In0=</vt:lpwstr>
  </property>
  <property fmtid="{D5CDD505-2E9C-101B-9397-08002B2CF9AE}" pid="3" name="KSOProductBuildVer">
    <vt:lpwstr>1036-12.1.0.28485</vt:lpwstr>
  </property>
  <property fmtid="{D5CDD505-2E9C-101B-9397-08002B2CF9AE}" pid="4" name="ICV">
    <vt:lpwstr>938DEE4C80484145897299CA9E89BE38_13</vt:lpwstr>
  </property>
</Properties>
</file>