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7A8A"/>
          <w:sz w:val="52"/>
          <w:szCs w:val="52"/>
        </w:rPr>
        <w:t xml:space="preserve">Fighting for the Medicine Your Child Needs</w:t>
      </w:r>
    </w:p>
    <w:p>
      <w:pPr>
        <w:spacing w:after="40"/>
      </w:pPr>
      <w:r>
        <w:rPr>
          <w:rFonts w:ascii="Arial" w:cs="Arial" w:eastAsia="Arial" w:hAnsi="Arial"/>
          <w:b/>
          <w:bCs/>
          <w:color w:val="E8A020"/>
          <w:sz w:val="28"/>
          <w:szCs w:val="28"/>
        </w:rPr>
        <w:t xml:space="preserve">A Step-by-Step Guide to Insurance Escalation for sJIA Biologics</w:t>
      </w:r>
    </w:p>
    <w:p>
      <w:pPr>
        <w:pBdr>
          <w:bottom w:val="single" w:color="1A7A8A" w:sz="4" w:space="1"/>
        </w:pBdr>
        <w:spacing w:before="160" w:after="160"/>
      </w:pPr>
      <w:r>
        <w:t xml:space="preserve"/>
      </w:r>
    </w:p>
    <w:p>
      <w:pPr>
        <w:spacing w:after="80"/>
      </w:pPr>
      <w:r>
        <w:t xml:space="preserve"/>
      </w:r>
    </w:p>
    <w:p>
      <w:pPr>
        <w:pBdr>
          <w:left w:val="thick" w:color="E8A020" w:sz="12"/>
        </w:pBdr>
        <w:spacing w:after="200" w:before="200"/>
        <w:ind w:left="400"/>
      </w:pPr>
      <w:r>
        <w:rPr>
          <w:rFonts w:ascii="Arial" w:cs="Arial" w:eastAsia="Arial" w:hAnsi="Arial"/>
          <w:i/>
          <w:iCs/>
          <w:color w:val="1A1A1A"/>
          <w:sz w:val="24"/>
          <w:szCs w:val="24"/>
        </w:rPr>
        <w:t xml:space="preserve">This guide was written by parents who fought this fight, not by attorneys or insurance experts. It reflects our personal experience and research. For complex or ongoing cases, consider working with a patient advocate or healthcare attorney.</w:t>
      </w:r>
    </w:p>
    <w:p>
      <w:pPr>
        <w:spacing w:after="80"/>
      </w:pPr>
      <w:r>
        <w:t xml:space="preserve"/>
      </w:r>
    </w:p>
    <w:p>
      <w:pPr>
        <w:pStyle w:val="Heading2"/>
      </w:pPr>
      <w:r>
        <w:t xml:space="preserve">Our Story (and Why We Wrote This)</w:t>
      </w:r>
    </w:p>
    <w:p>
      <w:pPr>
        <w:spacing w:after="160"/>
      </w:pPr>
      <w:r>
        <w:rPr>
          <w:rFonts w:ascii="Arial" w:cs="Arial" w:eastAsia="Arial" w:hAnsi="Arial"/>
          <w:color w:val="1A1A1A"/>
          <w:sz w:val="24"/>
          <w:szCs w:val="24"/>
        </w:rPr>
        <w:t xml:space="preserve">When Corbin's rheumatologist prescribed a biologic — a medication that we were told could put his disease into remission and protect his organs — our insurance denied it. Not once. Three times.</w:t>
      </w:r>
    </w:p>
    <w:p>
      <w:pPr>
        <w:spacing w:after="160"/>
      </w:pPr>
      <w:r>
        <w:rPr>
          <w:rFonts w:ascii="Arial" w:cs="Arial" w:eastAsia="Arial" w:hAnsi="Arial"/>
          <w:color w:val="1A1A1A"/>
          <w:sz w:val="24"/>
          <w:szCs w:val="24"/>
        </w:rPr>
        <w:t xml:space="preserve">We were devastated, furious, and completely lost. We didn't know we had rights. We didn't know there was a process. We didn't know that the denial letter was the beginning of a fight we could actually win.</w:t>
      </w:r>
    </w:p>
    <w:p>
      <w:pPr>
        <w:spacing w:after="160"/>
      </w:pPr>
      <w:r>
        <w:rPr>
          <w:rFonts w:ascii="Arial" w:cs="Arial" w:eastAsia="Arial" w:hAnsi="Arial"/>
          <w:color w:val="1A1A1A"/>
          <w:sz w:val="24"/>
          <w:szCs w:val="24"/>
        </w:rPr>
        <w:t xml:space="preserve">We want every sJIA family to know what we eventually learned — because the medicine your child needs is worth fighting for, and you are more powerful than you know.</w:t>
      </w:r>
    </w:p>
    <w:p>
      <w:pPr>
        <w:spacing w:after="80"/>
      </w:pPr>
      <w:r>
        <w:t xml:space="preserve"/>
      </w:r>
    </w:p>
    <w:p>
      <w:pPr>
        <w:pBdr>
          <w:bottom w:val="single" w:color="1A7A8A" w:sz="4" w:space="1"/>
        </w:pBdr>
        <w:spacing w:before="160" w:after="160"/>
      </w:pPr>
      <w:r>
        <w:t xml:space="preserve"/>
      </w:r>
    </w:p>
    <w:p>
      <w:pPr>
        <w:pStyle w:val="Heading2"/>
      </w:pPr>
      <w:r>
        <w:t xml:space="preserve">Understanding Why Biologics Get Denied</w:t>
      </w:r>
    </w:p>
    <w:p>
      <w:pPr>
        <w:spacing w:after="160"/>
      </w:pPr>
      <w:r>
        <w:rPr>
          <w:rFonts w:ascii="Arial" w:cs="Arial" w:eastAsia="Arial" w:hAnsi="Arial"/>
          <w:color w:val="1A1A1A"/>
          <w:sz w:val="24"/>
          <w:szCs w:val="24"/>
        </w:rPr>
        <w:t xml:space="preserve">Insurance companies frequently deny biologic medications for sJIA on first submission. Common denial reasons include:</w:t>
      </w:r>
    </w:p>
    <w:p>
      <w:pPr>
        <w:pStyle w:val="ListParagraph"/>
        <w:numPr>
          <w:ilvl w:val="0"/>
          <w:numId w:val="2"/>
        </w:numPr>
        <w:spacing w:after="80"/>
      </w:pPr>
      <w:r>
        <w:rPr>
          <w:rFonts w:ascii="Arial" w:cs="Arial" w:eastAsia="Arial" w:hAnsi="Arial"/>
          <w:color w:val="1A1A1A"/>
          <w:sz w:val="24"/>
          <w:szCs w:val="24"/>
        </w:rPr>
        <w:t xml:space="preserve">'Step therapy' or 'fail first' requirements — insurance wants to see that less expensive medications were tried first</w:t>
      </w:r>
    </w:p>
    <w:p>
      <w:pPr>
        <w:pStyle w:val="ListParagraph"/>
        <w:numPr>
          <w:ilvl w:val="0"/>
          <w:numId w:val="2"/>
        </w:numPr>
        <w:spacing w:after="80"/>
      </w:pPr>
      <w:r>
        <w:rPr>
          <w:rFonts w:ascii="Arial" w:cs="Arial" w:eastAsia="Arial" w:hAnsi="Arial"/>
          <w:color w:val="1A1A1A"/>
          <w:sz w:val="24"/>
          <w:szCs w:val="24"/>
        </w:rPr>
        <w:t xml:space="preserve">'Not medically necessary' — often used as a catch-all denial</w:t>
      </w:r>
    </w:p>
    <w:p>
      <w:pPr>
        <w:pStyle w:val="ListParagraph"/>
        <w:numPr>
          <w:ilvl w:val="0"/>
          <w:numId w:val="2"/>
        </w:numPr>
        <w:spacing w:after="80"/>
      </w:pPr>
      <w:r>
        <w:rPr>
          <w:rFonts w:ascii="Arial" w:cs="Arial" w:eastAsia="Arial" w:hAnsi="Arial"/>
          <w:color w:val="1A1A1A"/>
          <w:sz w:val="24"/>
          <w:szCs w:val="24"/>
        </w:rPr>
        <w:t xml:space="preserve">'Experimental or investigational' — sometimes used for newer biologics</w:t>
      </w:r>
    </w:p>
    <w:p>
      <w:pPr>
        <w:pStyle w:val="ListParagraph"/>
        <w:numPr>
          <w:ilvl w:val="0"/>
          <w:numId w:val="2"/>
        </w:numPr>
        <w:spacing w:after="80"/>
      </w:pPr>
      <w:r>
        <w:rPr>
          <w:rFonts w:ascii="Arial" w:cs="Arial" w:eastAsia="Arial" w:hAnsi="Arial"/>
          <w:color w:val="1A1A1A"/>
          <w:sz w:val="24"/>
          <w:szCs w:val="24"/>
        </w:rPr>
        <w:t xml:space="preserve">Prior authorization not completed correctly</w:t>
      </w:r>
    </w:p>
    <w:p>
      <w:pPr>
        <w:pStyle w:val="ListParagraph"/>
        <w:numPr>
          <w:ilvl w:val="0"/>
          <w:numId w:val="2"/>
        </w:numPr>
        <w:spacing w:after="80"/>
      </w:pPr>
      <w:r>
        <w:rPr>
          <w:rFonts w:ascii="Arial" w:cs="Arial" w:eastAsia="Arial" w:hAnsi="Arial"/>
          <w:color w:val="1A1A1A"/>
          <w:sz w:val="24"/>
          <w:szCs w:val="24"/>
        </w:rPr>
        <w:t xml:space="preserve">Missing clinical documentation</w:t>
      </w:r>
    </w:p>
    <w:p>
      <w:pPr>
        <w:spacing w:after="40"/>
      </w:pPr>
      <w:r>
        <w:t xml:space="preserve"/>
      </w:r>
    </w:p>
    <w:p>
      <w:pPr>
        <w:pBdr>
          <w:left w:val="thick" w:color="1A7A8A" w:sz="12"/>
        </w:pBdr>
        <w:spacing w:after="200" w:before="200"/>
        <w:ind w:left="400"/>
      </w:pPr>
      <w:r>
        <w:rPr>
          <w:rFonts w:ascii="Arial" w:cs="Arial" w:eastAsia="Arial" w:hAnsi="Arial"/>
          <w:i/>
          <w:iCs/>
          <w:color w:val="1A1A1A"/>
          <w:sz w:val="24"/>
          <w:szCs w:val="24"/>
        </w:rPr>
        <w:t xml:space="preserve">A denial is not a final answer. It is the opening of a negotiation. Insurance companies count on families giving up. Don't give up.</w:t>
      </w:r>
    </w:p>
    <w:p>
      <w:pPr>
        <w:spacing w:after="80"/>
      </w:pPr>
      <w:r>
        <w:t xml:space="preserve"/>
      </w:r>
    </w:p>
    <w:p>
      <w:pPr>
        <w:pBdr>
          <w:bottom w:val="single" w:color="1A7A8A" w:sz="4" w:space="1"/>
        </w:pBdr>
        <w:spacing w:before="160" w:after="160"/>
      </w:pPr>
      <w:r>
        <w:t xml:space="preserve"/>
      </w:r>
    </w:p>
    <w:p>
      <w:pPr>
        <w:pStyle w:val="Heading2"/>
      </w:pPr>
      <w:r>
        <w:t xml:space="preserve">Step 1: Understand the Denial Letter Completely</w:t>
      </w:r>
    </w:p>
    <w:p>
      <w:pPr>
        <w:spacing w:after="160"/>
      </w:pPr>
      <w:r>
        <w:rPr>
          <w:rFonts w:ascii="Arial" w:cs="Arial" w:eastAsia="Arial" w:hAnsi="Arial"/>
          <w:color w:val="1A1A1A"/>
          <w:sz w:val="24"/>
          <w:szCs w:val="24"/>
        </w:rPr>
        <w:t xml:space="preserve">Before you do anything else, read the denial letter word for word. Make note of:</w:t>
      </w:r>
    </w:p>
    <w:p>
      <w:pPr>
        <w:pStyle w:val="ListParagraph"/>
        <w:numPr>
          <w:ilvl w:val="0"/>
          <w:numId w:val="3"/>
        </w:numPr>
        <w:spacing w:after="100"/>
      </w:pPr>
      <w:r>
        <w:rPr>
          <w:rFonts w:ascii="Arial" w:cs="Arial" w:eastAsia="Arial" w:hAnsi="Arial"/>
          <w:color w:val="1A1A1A"/>
          <w:sz w:val="24"/>
          <w:szCs w:val="24"/>
        </w:rPr>
        <w:t xml:space="preserve">The specific reason for denial (the medical/clinical language used)</w:t>
      </w:r>
    </w:p>
    <w:p>
      <w:pPr>
        <w:pStyle w:val="ListParagraph"/>
        <w:numPr>
          <w:ilvl w:val="0"/>
          <w:numId w:val="3"/>
        </w:numPr>
        <w:spacing w:after="100"/>
      </w:pPr>
      <w:r>
        <w:rPr>
          <w:rFonts w:ascii="Arial" w:cs="Arial" w:eastAsia="Arial" w:hAnsi="Arial"/>
          <w:color w:val="1A1A1A"/>
          <w:sz w:val="24"/>
          <w:szCs w:val="24"/>
        </w:rPr>
        <w:t xml:space="preserve">The insurance plan's internal appeal deadline (usually 30-180 days — missing this forfeits your rights)</w:t>
      </w:r>
    </w:p>
    <w:p>
      <w:pPr>
        <w:pStyle w:val="ListParagraph"/>
        <w:numPr>
          <w:ilvl w:val="0"/>
          <w:numId w:val="3"/>
        </w:numPr>
        <w:spacing w:after="100"/>
      </w:pPr>
      <w:r>
        <w:rPr>
          <w:rFonts w:ascii="Arial" w:cs="Arial" w:eastAsia="Arial" w:hAnsi="Arial"/>
          <w:color w:val="1A1A1A"/>
          <w:sz w:val="24"/>
          <w:szCs w:val="24"/>
        </w:rPr>
        <w:t xml:space="preserve">The reference to the specific plan document or policy that supports the denial</w:t>
      </w:r>
    </w:p>
    <w:p>
      <w:pPr>
        <w:pStyle w:val="ListParagraph"/>
        <w:numPr>
          <w:ilvl w:val="0"/>
          <w:numId w:val="3"/>
        </w:numPr>
        <w:spacing w:after="100"/>
      </w:pPr>
      <w:r>
        <w:rPr>
          <w:rFonts w:ascii="Arial" w:cs="Arial" w:eastAsia="Arial" w:hAnsi="Arial"/>
          <w:color w:val="1A1A1A"/>
          <w:sz w:val="24"/>
          <w:szCs w:val="24"/>
        </w:rPr>
        <w:t xml:space="preserve">The name of the medical reviewer who made the decision</w:t>
      </w:r>
    </w:p>
    <w:p>
      <w:pPr>
        <w:pStyle w:val="ListParagraph"/>
        <w:numPr>
          <w:ilvl w:val="0"/>
          <w:numId w:val="3"/>
        </w:numPr>
        <w:spacing w:after="100"/>
      </w:pPr>
      <w:r>
        <w:rPr>
          <w:rFonts w:ascii="Arial" w:cs="Arial" w:eastAsia="Arial" w:hAnsi="Arial"/>
          <w:color w:val="1A1A1A"/>
          <w:sz w:val="24"/>
          <w:szCs w:val="24"/>
        </w:rPr>
        <w:t xml:space="preserve">The instructions for filing an internal appeal</w:t>
      </w:r>
    </w:p>
    <w:p>
      <w:pPr>
        <w:spacing w:after="40"/>
      </w:pPr>
      <w:r>
        <w:t xml:space="preserve"/>
      </w:r>
    </w:p>
    <w:p>
      <w:pPr>
        <w:spacing w:after="160"/>
      </w:pPr>
      <w:r>
        <w:rPr>
          <w:rFonts w:ascii="Arial" w:cs="Arial" w:eastAsia="Arial" w:hAnsi="Arial"/>
          <w:color w:val="1A1A1A"/>
          <w:sz w:val="24"/>
          <w:szCs w:val="24"/>
        </w:rPr>
        <w:t xml:space="preserve">Call your insurance company and ask them to explain the denial in plain language. Ask specifically:</w:t>
      </w:r>
    </w:p>
    <w:p>
      <w:pPr>
        <w:pStyle w:val="ListParagraph"/>
        <w:numPr>
          <w:ilvl w:val="0"/>
          <w:numId w:val="2"/>
        </w:numPr>
        <w:spacing w:after="80"/>
      </w:pPr>
      <w:r>
        <w:rPr>
          <w:rFonts w:ascii="Arial" w:cs="Arial" w:eastAsia="Arial" w:hAnsi="Arial"/>
          <w:color w:val="1A1A1A"/>
          <w:sz w:val="24"/>
          <w:szCs w:val="24"/>
        </w:rPr>
        <w:t xml:space="preserve">'What clinical criteria must be met for this medication to be approved?'</w:t>
      </w:r>
    </w:p>
    <w:p>
      <w:pPr>
        <w:pStyle w:val="ListParagraph"/>
        <w:numPr>
          <w:ilvl w:val="0"/>
          <w:numId w:val="2"/>
        </w:numPr>
        <w:spacing w:after="80"/>
      </w:pPr>
      <w:r>
        <w:rPr>
          <w:rFonts w:ascii="Arial" w:cs="Arial" w:eastAsia="Arial" w:hAnsi="Arial"/>
          <w:color w:val="1A1A1A"/>
          <w:sz w:val="24"/>
          <w:szCs w:val="24"/>
        </w:rPr>
        <w:t xml:space="preserve">'What documentation is missing from the original prior authorization?'</w:t>
      </w:r>
    </w:p>
    <w:p>
      <w:pPr>
        <w:pStyle w:val="ListParagraph"/>
        <w:numPr>
          <w:ilvl w:val="0"/>
          <w:numId w:val="2"/>
        </w:numPr>
        <w:spacing w:after="80"/>
      </w:pPr>
      <w:r>
        <w:rPr>
          <w:rFonts w:ascii="Arial" w:cs="Arial" w:eastAsia="Arial" w:hAnsi="Arial"/>
          <w:color w:val="1A1A1A"/>
          <w:sz w:val="24"/>
          <w:szCs w:val="24"/>
        </w:rPr>
        <w:t xml:space="preserve">'Is there a specific step therapy protocol I need to complete?'</w:t>
      </w:r>
    </w:p>
    <w:p>
      <w:pPr>
        <w:spacing w:after="80"/>
      </w:pPr>
      <w:r>
        <w:t xml:space="preserve"/>
      </w:r>
    </w:p>
    <w:p>
      <w:pPr>
        <w:pBdr>
          <w:bottom w:val="single" w:color="1A7A8A" w:sz="4" w:space="1"/>
        </w:pBdr>
        <w:spacing w:before="160" w:after="160"/>
      </w:pPr>
      <w:r>
        <w:t xml:space="preserve"/>
      </w:r>
    </w:p>
    <w:p>
      <w:pPr>
        <w:pStyle w:val="Heading2"/>
      </w:pPr>
      <w:r>
        <w:t xml:space="preserve">Step 2: Arm Your Doctor</w:t>
      </w:r>
    </w:p>
    <w:p>
      <w:pPr>
        <w:spacing w:after="160"/>
      </w:pPr>
      <w:r>
        <w:rPr>
          <w:rFonts w:ascii="Arial" w:cs="Arial" w:eastAsia="Arial" w:hAnsi="Arial"/>
          <w:color w:val="1A1A1A"/>
          <w:sz w:val="24"/>
          <w:szCs w:val="24"/>
        </w:rPr>
        <w:t xml:space="preserve">Your rheumatologist is your most important ally. They need to be willing to fight alongside you. Schedule a call or appointment specifically to discuss the denial and your plan to appeal.</w:t>
      </w:r>
    </w:p>
    <w:p>
      <w:pPr>
        <w:spacing w:after="40"/>
      </w:pPr>
      <w:r>
        <w:t xml:space="preserve"/>
      </w:r>
    </w:p>
    <w:p>
      <w:pPr>
        <w:pStyle w:val="Heading3"/>
      </w:pPr>
      <w:r>
        <w:t xml:space="preserve">What to Ask Your Doctor to Document</w:t>
      </w:r>
    </w:p>
    <w:p>
      <w:pPr>
        <w:spacing w:after="160"/>
      </w:pPr>
      <w:r>
        <w:rPr>
          <w:rFonts w:ascii="Arial" w:cs="Arial" w:eastAsia="Arial" w:hAnsi="Arial"/>
          <w:color w:val="1A1A1A"/>
          <w:sz w:val="24"/>
          <w:szCs w:val="24"/>
        </w:rPr>
        <w:t xml:space="preserve">A strong prior authorization letter or Letter of Medical Necessity (LMN) is the foundation of your appeal. Ask your rheumatologist to include:</w:t>
      </w:r>
    </w:p>
    <w:p>
      <w:pPr>
        <w:pStyle w:val="ListParagraph"/>
        <w:numPr>
          <w:ilvl w:val="0"/>
          <w:numId w:val="3"/>
        </w:numPr>
        <w:spacing w:after="100"/>
      </w:pPr>
      <w:r>
        <w:rPr>
          <w:rFonts w:ascii="Arial" w:cs="Arial" w:eastAsia="Arial" w:hAnsi="Arial"/>
          <w:color w:val="1A1A1A"/>
          <w:sz w:val="24"/>
          <w:szCs w:val="24"/>
        </w:rPr>
        <w:t xml:space="preserve">Specific diagnosis with ICD-10 code (M08.20 for sJIA, or the relevant code for your child)</w:t>
      </w:r>
    </w:p>
    <w:p>
      <w:pPr>
        <w:pStyle w:val="ListParagraph"/>
        <w:numPr>
          <w:ilvl w:val="0"/>
          <w:numId w:val="3"/>
        </w:numPr>
        <w:spacing w:after="100"/>
      </w:pPr>
      <w:r>
        <w:rPr>
          <w:rFonts w:ascii="Arial" w:cs="Arial" w:eastAsia="Arial" w:hAnsi="Arial"/>
          <w:color w:val="1A1A1A"/>
          <w:sz w:val="24"/>
          <w:szCs w:val="24"/>
        </w:rPr>
        <w:t xml:space="preserve">Disease severity documentation — lab values (ferritin, CRP, ESR, CBC), joint counts, fever documentation, physician notes</w:t>
      </w:r>
    </w:p>
    <w:p>
      <w:pPr>
        <w:pStyle w:val="ListParagraph"/>
        <w:numPr>
          <w:ilvl w:val="0"/>
          <w:numId w:val="3"/>
        </w:numPr>
        <w:spacing w:after="100"/>
      </w:pPr>
      <w:r>
        <w:rPr>
          <w:rFonts w:ascii="Arial" w:cs="Arial" w:eastAsia="Arial" w:hAnsi="Arial"/>
          <w:color w:val="1A1A1A"/>
          <w:sz w:val="24"/>
          <w:szCs w:val="24"/>
        </w:rPr>
        <w:t xml:space="preserve">Documentation of all prior treatments tried and why they failed or are inappropriate (this is the 'step therapy' evidence)</w:t>
      </w:r>
    </w:p>
    <w:p>
      <w:pPr>
        <w:pStyle w:val="ListParagraph"/>
        <w:numPr>
          <w:ilvl w:val="0"/>
          <w:numId w:val="3"/>
        </w:numPr>
        <w:spacing w:after="100"/>
      </w:pPr>
      <w:r>
        <w:rPr>
          <w:rFonts w:ascii="Arial" w:cs="Arial" w:eastAsia="Arial" w:hAnsi="Arial"/>
          <w:color w:val="1A1A1A"/>
          <w:sz w:val="24"/>
          <w:szCs w:val="24"/>
        </w:rPr>
        <w:t xml:space="preserve">Medical literature supporting the prescribed biologic as standard of care for sJIA</w:t>
      </w:r>
    </w:p>
    <w:p>
      <w:pPr>
        <w:pStyle w:val="ListParagraph"/>
        <w:numPr>
          <w:ilvl w:val="0"/>
          <w:numId w:val="3"/>
        </w:numPr>
        <w:spacing w:after="100"/>
      </w:pPr>
      <w:r>
        <w:rPr>
          <w:rFonts w:ascii="Arial" w:cs="Arial" w:eastAsia="Arial" w:hAnsi="Arial"/>
          <w:color w:val="1A1A1A"/>
          <w:sz w:val="24"/>
          <w:szCs w:val="24"/>
        </w:rPr>
        <w:t xml:space="preserve">Statement that the denial of this medication puts the child at risk of serious complications, including MAS, organ damage, and permanent joint damage</w:t>
      </w:r>
    </w:p>
    <w:p>
      <w:pPr>
        <w:pStyle w:val="ListParagraph"/>
        <w:numPr>
          <w:ilvl w:val="0"/>
          <w:numId w:val="3"/>
        </w:numPr>
        <w:spacing w:after="100"/>
      </w:pPr>
      <w:r>
        <w:rPr>
          <w:rFonts w:ascii="Arial" w:cs="Arial" w:eastAsia="Arial" w:hAnsi="Arial"/>
          <w:color w:val="1A1A1A"/>
          <w:sz w:val="24"/>
          <w:szCs w:val="24"/>
        </w:rPr>
        <w:t xml:space="preserve">Urgency if applicable — 'Delayed treatment poses immediate risk' is powerful language</w:t>
      </w:r>
    </w:p>
    <w:p>
      <w:pPr>
        <w:spacing w:after="40"/>
      </w:pPr>
      <w:r>
        <w:t xml:space="preserve"/>
      </w:r>
    </w:p>
    <w:p>
      <w:pPr>
        <w:pBdr>
          <w:left w:val="thick" w:color="1A7A8A" w:sz="12"/>
        </w:pBdr>
        <w:spacing w:after="200" w:before="200"/>
        <w:ind w:left="400"/>
      </w:pPr>
      <w:r>
        <w:rPr>
          <w:rFonts w:ascii="Arial" w:cs="Arial" w:eastAsia="Arial" w:hAnsi="Arial"/>
          <w:i/>
          <w:iCs/>
          <w:color w:val="1A1A1A"/>
          <w:sz w:val="24"/>
          <w:szCs w:val="24"/>
        </w:rPr>
        <w:t xml:space="preserve">Ask your rheumatologist to cite the ACR guidelines for sJIA treatment. Insurance companies are required to consider clinical guidelines when making coverage decisions.</w:t>
      </w:r>
    </w:p>
    <w:p>
      <w:pPr>
        <w:spacing w:after="80"/>
      </w:pPr>
      <w:r>
        <w:t xml:space="preserve"/>
      </w:r>
    </w:p>
    <w:p>
      <w:pPr>
        <w:pBdr>
          <w:bottom w:val="single" w:color="1A7A8A" w:sz="4" w:space="1"/>
        </w:pBdr>
        <w:spacing w:before="160" w:after="160"/>
      </w:pPr>
      <w:r>
        <w:t xml:space="preserve"/>
      </w:r>
    </w:p>
    <w:p>
      <w:pPr>
        <w:pStyle w:val="Heading2"/>
      </w:pPr>
      <w:r>
        <w:t xml:space="preserve">Step 3: File the Internal Appeal</w:t>
      </w:r>
    </w:p>
    <w:p>
      <w:pPr>
        <w:spacing w:after="160"/>
      </w:pPr>
      <w:r>
        <w:rPr>
          <w:rFonts w:ascii="Arial" w:cs="Arial" w:eastAsia="Arial" w:hAnsi="Arial"/>
          <w:color w:val="1A1A1A"/>
          <w:sz w:val="24"/>
          <w:szCs w:val="24"/>
        </w:rPr>
        <w:t xml:space="preserve">Every insurance plan is required by law to offer at least one internal appeal. This is your first formal step.</w:t>
      </w:r>
    </w:p>
    <w:p>
      <w:pPr>
        <w:spacing w:after="40"/>
      </w:pPr>
      <w:r>
        <w:t xml:space="preserve"/>
      </w:r>
    </w:p>
    <w:p>
      <w:pPr>
        <w:pStyle w:val="Heading3"/>
      </w:pPr>
      <w:r>
        <w:t xml:space="preserve">What to Include in Your Internal Appeal Packet</w:t>
      </w:r>
    </w:p>
    <w:p>
      <w:pPr>
        <w:pStyle w:val="ListParagraph"/>
        <w:numPr>
          <w:ilvl w:val="0"/>
          <w:numId w:val="3"/>
        </w:numPr>
        <w:spacing w:after="100"/>
      </w:pPr>
      <w:r>
        <w:rPr>
          <w:rFonts w:ascii="Arial" w:cs="Arial" w:eastAsia="Arial" w:hAnsi="Arial"/>
          <w:color w:val="1A1A1A"/>
          <w:sz w:val="24"/>
          <w:szCs w:val="24"/>
        </w:rPr>
        <w:t xml:space="preserve">A cover letter from you as the parent (more on this below)</w:t>
      </w:r>
    </w:p>
    <w:p>
      <w:pPr>
        <w:pStyle w:val="ListParagraph"/>
        <w:numPr>
          <w:ilvl w:val="0"/>
          <w:numId w:val="3"/>
        </w:numPr>
        <w:spacing w:after="100"/>
      </w:pPr>
      <w:r>
        <w:rPr>
          <w:rFonts w:ascii="Arial" w:cs="Arial" w:eastAsia="Arial" w:hAnsi="Arial"/>
          <w:color w:val="1A1A1A"/>
          <w:sz w:val="24"/>
          <w:szCs w:val="24"/>
        </w:rPr>
        <w:t xml:space="preserve">Your doctor's Letter of Medical Necessity</w:t>
      </w:r>
    </w:p>
    <w:p>
      <w:pPr>
        <w:pStyle w:val="ListParagraph"/>
        <w:numPr>
          <w:ilvl w:val="0"/>
          <w:numId w:val="3"/>
        </w:numPr>
        <w:spacing w:after="100"/>
      </w:pPr>
      <w:r>
        <w:rPr>
          <w:rFonts w:ascii="Arial" w:cs="Arial" w:eastAsia="Arial" w:hAnsi="Arial"/>
          <w:color w:val="1A1A1A"/>
          <w:sz w:val="24"/>
          <w:szCs w:val="24"/>
        </w:rPr>
        <w:t xml:space="preserve">Copies of relevant medical records (office visit notes, lab results, imaging)</w:t>
      </w:r>
    </w:p>
    <w:p>
      <w:pPr>
        <w:pStyle w:val="ListParagraph"/>
        <w:numPr>
          <w:ilvl w:val="0"/>
          <w:numId w:val="3"/>
        </w:numPr>
        <w:spacing w:after="100"/>
      </w:pPr>
      <w:r>
        <w:rPr>
          <w:rFonts w:ascii="Arial" w:cs="Arial" w:eastAsia="Arial" w:hAnsi="Arial"/>
          <w:color w:val="1A1A1A"/>
          <w:sz w:val="24"/>
          <w:szCs w:val="24"/>
        </w:rPr>
        <w:t xml:space="preserve">The denial letter itself</w:t>
      </w:r>
    </w:p>
    <w:p>
      <w:pPr>
        <w:pStyle w:val="ListParagraph"/>
        <w:numPr>
          <w:ilvl w:val="0"/>
          <w:numId w:val="3"/>
        </w:numPr>
        <w:spacing w:after="100"/>
      </w:pPr>
      <w:r>
        <w:rPr>
          <w:rFonts w:ascii="Arial" w:cs="Arial" w:eastAsia="Arial" w:hAnsi="Arial"/>
          <w:color w:val="1A1A1A"/>
          <w:sz w:val="24"/>
          <w:szCs w:val="24"/>
        </w:rPr>
        <w:t xml:space="preserve">Published medical guidelines supporting the treatment (ACR, CARRA)</w:t>
      </w:r>
    </w:p>
    <w:p>
      <w:pPr>
        <w:pStyle w:val="ListParagraph"/>
        <w:numPr>
          <w:ilvl w:val="0"/>
          <w:numId w:val="3"/>
        </w:numPr>
        <w:spacing w:after="100"/>
      </w:pPr>
      <w:r>
        <w:rPr>
          <w:rFonts w:ascii="Arial" w:cs="Arial" w:eastAsia="Arial" w:hAnsi="Arial"/>
          <w:color w:val="1A1A1A"/>
          <w:sz w:val="24"/>
          <w:szCs w:val="24"/>
        </w:rPr>
        <w:t xml:space="preserve">Any peer-reviewed research supporting the medication for sJIA</w:t>
      </w:r>
    </w:p>
    <w:p>
      <w:pPr>
        <w:pStyle w:val="ListParagraph"/>
        <w:numPr>
          <w:ilvl w:val="0"/>
          <w:numId w:val="3"/>
        </w:numPr>
        <w:spacing w:after="100"/>
      </w:pPr>
      <w:r>
        <w:rPr>
          <w:rFonts w:ascii="Arial" w:cs="Arial" w:eastAsia="Arial" w:hAnsi="Arial"/>
          <w:color w:val="1A1A1A"/>
          <w:sz w:val="24"/>
          <w:szCs w:val="24"/>
        </w:rPr>
        <w:t xml:space="preserve">Manufacturer prescribing information showing FDA approval for this indication</w:t>
      </w:r>
    </w:p>
    <w:p>
      <w:pPr>
        <w:spacing w:after="80"/>
      </w:pPr>
      <w:r>
        <w:t xml:space="preserve"/>
      </w:r>
    </w:p>
    <w:p>
      <w:pPr>
        <w:pStyle w:val="Heading3"/>
      </w:pPr>
      <w:r>
        <w:t xml:space="preserve">How to Write Your Parent Cover Letter</w:t>
      </w:r>
    </w:p>
    <w:p>
      <w:pPr>
        <w:spacing w:after="160"/>
      </w:pPr>
      <w:r>
        <w:rPr>
          <w:rFonts w:ascii="Arial" w:cs="Arial" w:eastAsia="Arial" w:hAnsi="Arial"/>
          <w:color w:val="1A1A1A"/>
          <w:sz w:val="24"/>
          <w:szCs w:val="24"/>
        </w:rPr>
        <w:t xml:space="preserve">This letter is more powerful than you might think. Insurance reviewers are human beings. Your story matters. Here is a framework:</w:t>
      </w:r>
    </w:p>
    <w:p>
      <w:pPr>
        <w:spacing w:after="40"/>
      </w:pPr>
      <w:r>
        <w:t xml:space="preserve"/>
      </w:r>
    </w:p>
    <w:p>
      <w:pPr>
        <w:spacing w:after="160"/>
      </w:pPr>
      <w:r>
        <w:rPr>
          <w:rFonts w:ascii="Arial" w:cs="Arial" w:eastAsia="Arial" w:hAnsi="Arial"/>
          <w:b/>
          <w:bCs/>
          <w:color w:val="1A1A1A"/>
          <w:sz w:val="24"/>
          <w:szCs w:val="24"/>
        </w:rPr>
        <w:t xml:space="preserve">Paragraph 1: Who your child is.</w:t>
      </w:r>
      <w:r>
        <w:rPr>
          <w:rFonts w:ascii="Arial" w:cs="Arial" w:eastAsia="Arial" w:hAnsi="Arial"/>
          <w:color w:val="1A1A1A"/>
          <w:sz w:val="24"/>
          <w:szCs w:val="24"/>
        </w:rPr>
        <w:t xml:space="preserve"> Name (first name only for privacy), age, diagnosis, when diagnosed.</w:t>
      </w:r>
    </w:p>
    <w:p>
      <w:pPr>
        <w:spacing w:after="160"/>
      </w:pPr>
      <w:r>
        <w:rPr>
          <w:rFonts w:ascii="Arial" w:cs="Arial" w:eastAsia="Arial" w:hAnsi="Arial"/>
          <w:b/>
          <w:bCs/>
          <w:color w:val="1A1A1A"/>
          <w:sz w:val="24"/>
          <w:szCs w:val="24"/>
        </w:rPr>
        <w:t xml:space="preserve">Paragraph 2: What their disease looks like.</w:t>
      </w:r>
      <w:r>
        <w:rPr>
          <w:rFonts w:ascii="Arial" w:cs="Arial" w:eastAsia="Arial" w:hAnsi="Arial"/>
          <w:color w:val="1A1A1A"/>
          <w:sz w:val="24"/>
          <w:szCs w:val="24"/>
        </w:rPr>
        <w:t xml:space="preserve"> Describe a flare in real terms. What did it look like? What did it feel like to watch your child? What did it cost your family? What school did they miss?</w:t>
      </w:r>
    </w:p>
    <w:p>
      <w:pPr>
        <w:spacing w:after="160"/>
      </w:pPr>
      <w:r>
        <w:rPr>
          <w:rFonts w:ascii="Arial" w:cs="Arial" w:eastAsia="Arial" w:hAnsi="Arial"/>
          <w:b/>
          <w:bCs/>
          <w:color w:val="1A1A1A"/>
          <w:sz w:val="24"/>
          <w:szCs w:val="24"/>
        </w:rPr>
        <w:t xml:space="preserve">Paragraph 3: Why this specific medication.</w:t>
      </w:r>
      <w:r>
        <w:rPr>
          <w:rFonts w:ascii="Arial" w:cs="Arial" w:eastAsia="Arial" w:hAnsi="Arial"/>
          <w:color w:val="1A1A1A"/>
          <w:sz w:val="24"/>
          <w:szCs w:val="24"/>
        </w:rPr>
        <w:t xml:space="preserve"> What has your doctor told you about why this is the right medication? What alternatives have been tried?</w:t>
      </w:r>
    </w:p>
    <w:p>
      <w:pPr>
        <w:spacing w:after="160"/>
      </w:pPr>
      <w:r>
        <w:rPr>
          <w:rFonts w:ascii="Arial" w:cs="Arial" w:eastAsia="Arial" w:hAnsi="Arial"/>
          <w:b/>
          <w:bCs/>
          <w:color w:val="1A1A1A"/>
          <w:sz w:val="24"/>
          <w:szCs w:val="24"/>
        </w:rPr>
        <w:t xml:space="preserve">Paragraph 4: What the denial means.</w:t>
      </w:r>
      <w:r>
        <w:rPr>
          <w:rFonts w:ascii="Arial" w:cs="Arial" w:eastAsia="Arial" w:hAnsi="Arial"/>
          <w:color w:val="1A1A1A"/>
          <w:sz w:val="24"/>
          <w:szCs w:val="24"/>
        </w:rPr>
        <w:t xml:space="preserve"> In plain terms, explain what happens if your child does not get this medication. Use the language your rheumatologist used.</w:t>
      </w:r>
    </w:p>
    <w:p>
      <w:pPr>
        <w:spacing w:after="160"/>
      </w:pPr>
      <w:r>
        <w:rPr>
          <w:rFonts w:ascii="Arial" w:cs="Arial" w:eastAsia="Arial" w:hAnsi="Arial"/>
          <w:b/>
          <w:bCs/>
          <w:color w:val="1A1A1A"/>
          <w:sz w:val="24"/>
          <w:szCs w:val="24"/>
        </w:rPr>
        <w:t xml:space="preserve">Paragraph 5: What you are asking for.</w:t>
      </w:r>
      <w:r>
        <w:rPr>
          <w:rFonts w:ascii="Arial" w:cs="Arial" w:eastAsia="Arial" w:hAnsi="Arial"/>
          <w:color w:val="1A1A1A"/>
          <w:sz w:val="24"/>
          <w:szCs w:val="24"/>
        </w:rPr>
        <w:t xml:space="preserve"> A clear request for approval, and a statement that you will continue to escalate through every available channel if denied.</w:t>
      </w:r>
    </w:p>
    <w:p>
      <w:pPr>
        <w:spacing w:after="80"/>
      </w:pPr>
      <w:r>
        <w:t xml:space="preserve"/>
      </w:r>
    </w:p>
    <w:p>
      <w:pPr>
        <w:pBdr>
          <w:bottom w:val="single" w:color="1A7A8A" w:sz="4" w:space="1"/>
        </w:pBdr>
        <w:spacing w:before="160" w:after="160"/>
      </w:pPr>
      <w:r>
        <w:t xml:space="preserve"/>
      </w:r>
    </w:p>
    <w:p>
      <w:pPr>
        <w:pStyle w:val="Heading2"/>
      </w:pPr>
      <w:r>
        <w:t xml:space="preserve">Step 4: Request a Peer-to-Peer Review</w:t>
      </w:r>
    </w:p>
    <w:p>
      <w:pPr>
        <w:spacing w:after="160"/>
      </w:pPr>
      <w:r>
        <w:rPr>
          <w:rFonts w:ascii="Arial" w:cs="Arial" w:eastAsia="Arial" w:hAnsi="Arial"/>
          <w:color w:val="1A1A1A"/>
          <w:sz w:val="24"/>
          <w:szCs w:val="24"/>
        </w:rPr>
        <w:t xml:space="preserve">While your internal appeal is pending — or if it is denied — ask your rheumatologist to request a peer-to-peer (P2P) review with the insurance company's medical reviewer.</w:t>
      </w:r>
    </w:p>
    <w:p>
      <w:pPr>
        <w:spacing w:after="160"/>
      </w:pPr>
      <w:r>
        <w:rPr>
          <w:rFonts w:ascii="Arial" w:cs="Arial" w:eastAsia="Arial" w:hAnsi="Arial"/>
          <w:color w:val="1A1A1A"/>
          <w:sz w:val="24"/>
          <w:szCs w:val="24"/>
        </w:rPr>
        <w:t xml:space="preserve">In a P2P review, your child's doctor speaks directly with the insurance company's physician. This is one of the most effective tools in the process. A pediatric rheumatologist speaking specialist-to-specialist is very different from a form letter.</w:t>
      </w:r>
    </w:p>
    <w:p>
      <w:pPr>
        <w:pStyle w:val="ListParagraph"/>
        <w:numPr>
          <w:ilvl w:val="0"/>
          <w:numId w:val="2"/>
        </w:numPr>
        <w:spacing w:after="80"/>
      </w:pPr>
      <w:r>
        <w:rPr>
          <w:rFonts w:ascii="Arial" w:cs="Arial" w:eastAsia="Arial" w:hAnsi="Arial"/>
          <w:color w:val="1A1A1A"/>
          <w:sz w:val="24"/>
          <w:szCs w:val="24"/>
        </w:rPr>
        <w:t xml:space="preserve">Ask your rheumatologist's office if they are willing to do this — most will if asked</w:t>
      </w:r>
    </w:p>
    <w:p>
      <w:pPr>
        <w:pStyle w:val="ListParagraph"/>
        <w:numPr>
          <w:ilvl w:val="0"/>
          <w:numId w:val="2"/>
        </w:numPr>
        <w:spacing w:after="80"/>
      </w:pPr>
      <w:r>
        <w:rPr>
          <w:rFonts w:ascii="Arial" w:cs="Arial" w:eastAsia="Arial" w:hAnsi="Arial"/>
          <w:color w:val="1A1A1A"/>
          <w:sz w:val="24"/>
          <w:szCs w:val="24"/>
        </w:rPr>
        <w:t xml:space="preserve">This typically happens by phone, and the rheumatologist can make the case for medical necessity directly</w:t>
      </w:r>
    </w:p>
    <w:p>
      <w:pPr>
        <w:pStyle w:val="ListParagraph"/>
        <w:numPr>
          <w:ilvl w:val="0"/>
          <w:numId w:val="2"/>
        </w:numPr>
        <w:spacing w:after="80"/>
      </w:pPr>
      <w:r>
        <w:rPr>
          <w:rFonts w:ascii="Arial" w:cs="Arial" w:eastAsia="Arial" w:hAnsi="Arial"/>
          <w:color w:val="1A1A1A"/>
          <w:sz w:val="24"/>
          <w:szCs w:val="24"/>
        </w:rPr>
        <w:t xml:space="preserve">P2P reviews result in approval a significant percentage of the time</w:t>
      </w:r>
    </w:p>
    <w:p>
      <w:pPr>
        <w:spacing w:after="80"/>
      </w:pPr>
      <w:r>
        <w:t xml:space="preserve"/>
      </w:r>
    </w:p>
    <w:p>
      <w:pPr>
        <w:pBdr>
          <w:bottom w:val="single" w:color="1A7A8A" w:sz="4" w:space="1"/>
        </w:pBdr>
        <w:spacing w:before="160" w:after="160"/>
      </w:pPr>
      <w:r>
        <w:t xml:space="preserve"/>
      </w:r>
    </w:p>
    <w:p>
      <w:pPr>
        <w:pStyle w:val="Heading2"/>
      </w:pPr>
      <w:r>
        <w:t xml:space="preserve">Step 5: File an External Independent Review (If Internal Appeal Fails)</w:t>
      </w:r>
    </w:p>
    <w:p>
      <w:pPr>
        <w:spacing w:after="160"/>
      </w:pPr>
      <w:r>
        <w:rPr>
          <w:rFonts w:ascii="Arial" w:cs="Arial" w:eastAsia="Arial" w:hAnsi="Arial"/>
          <w:color w:val="1A1A1A"/>
          <w:sz w:val="24"/>
          <w:szCs w:val="24"/>
        </w:rPr>
        <w:t xml:space="preserve">If your insurance company upholds the denial after an internal appeal, you have the right to request an External Independent Review (EIR) — also called an Independent Medical Review (IMR).</w:t>
      </w:r>
    </w:p>
    <w:p>
      <w:pPr>
        <w:pStyle w:val="ListParagraph"/>
        <w:numPr>
          <w:ilvl w:val="0"/>
          <w:numId w:val="2"/>
        </w:numPr>
        <w:spacing w:after="80"/>
      </w:pPr>
      <w:r>
        <w:rPr>
          <w:rFonts w:ascii="Arial" w:cs="Arial" w:eastAsia="Arial" w:hAnsi="Arial"/>
          <w:color w:val="1A1A1A"/>
          <w:sz w:val="24"/>
          <w:szCs w:val="24"/>
        </w:rPr>
        <w:t xml:space="preserve">An EIR is conducted by an independent organization with no relationship to your insurance company</w:t>
      </w:r>
    </w:p>
    <w:p>
      <w:pPr>
        <w:pStyle w:val="ListParagraph"/>
        <w:numPr>
          <w:ilvl w:val="0"/>
          <w:numId w:val="2"/>
        </w:numPr>
        <w:spacing w:after="80"/>
      </w:pPr>
      <w:r>
        <w:rPr>
          <w:rFonts w:ascii="Arial" w:cs="Arial" w:eastAsia="Arial" w:hAnsi="Arial"/>
          <w:color w:val="1A1A1A"/>
          <w:sz w:val="24"/>
          <w:szCs w:val="24"/>
        </w:rPr>
        <w:t xml:space="preserve">The reviewer must be qualified to evaluate your child's condition</w:t>
      </w:r>
    </w:p>
    <w:p>
      <w:pPr>
        <w:pStyle w:val="ListParagraph"/>
        <w:numPr>
          <w:ilvl w:val="0"/>
          <w:numId w:val="2"/>
        </w:numPr>
        <w:spacing w:after="80"/>
      </w:pPr>
      <w:r>
        <w:rPr>
          <w:rFonts w:ascii="Arial" w:cs="Arial" w:eastAsia="Arial" w:hAnsi="Arial"/>
          <w:color w:val="1A1A1A"/>
          <w:sz w:val="24"/>
          <w:szCs w:val="24"/>
        </w:rPr>
        <w:t xml:space="preserve">Most states require the insurance company to comply with the EIR decision if it is in your favor</w:t>
      </w:r>
    </w:p>
    <w:p>
      <w:pPr>
        <w:pStyle w:val="ListParagraph"/>
        <w:numPr>
          <w:ilvl w:val="0"/>
          <w:numId w:val="2"/>
        </w:numPr>
        <w:spacing w:after="80"/>
      </w:pPr>
      <w:r>
        <w:rPr>
          <w:rFonts w:ascii="Arial" w:cs="Arial" w:eastAsia="Arial" w:hAnsi="Arial"/>
          <w:color w:val="1A1A1A"/>
          <w:sz w:val="24"/>
          <w:szCs w:val="24"/>
        </w:rPr>
        <w:t xml:space="preserve">Filing an EIR is free</w:t>
      </w:r>
    </w:p>
    <w:p>
      <w:pPr>
        <w:spacing w:after="40"/>
      </w:pPr>
      <w:r>
        <w:t xml:space="preserve"/>
      </w:r>
    </w:p>
    <w:p>
      <w:pPr>
        <w:spacing w:after="160"/>
      </w:pPr>
      <w:r>
        <w:rPr>
          <w:rFonts w:ascii="Arial" w:cs="Arial" w:eastAsia="Arial" w:hAnsi="Arial"/>
          <w:color w:val="1A1A1A"/>
          <w:sz w:val="24"/>
          <w:szCs w:val="24"/>
        </w:rPr>
        <w:t xml:space="preserve">How to request an EIR: The appeal denial letter should include instructions. If not, contact your </w:t>
      </w:r>
      <w:r>
        <w:rPr>
          <w:rFonts w:ascii="Arial" w:cs="Arial" w:eastAsia="Arial" w:hAnsi="Arial"/>
          <w:b/>
          <w:bCs/>
          <w:color w:val="1A1A1A"/>
          <w:sz w:val="24"/>
          <w:szCs w:val="24"/>
        </w:rPr>
        <w:t xml:space="preserve">state insurance commissioner's office</w:t>
      </w:r>
      <w:r>
        <w:rPr>
          <w:rFonts w:ascii="Arial" w:cs="Arial" w:eastAsia="Arial" w:hAnsi="Arial"/>
          <w:color w:val="1A1A1A"/>
          <w:sz w:val="24"/>
          <w:szCs w:val="24"/>
        </w:rPr>
        <w:t xml:space="preserve"> — they regulate insurance companies in your state and can help.</w:t>
      </w:r>
    </w:p>
    <w:p>
      <w:pPr>
        <w:spacing w:after="80"/>
      </w:pPr>
      <w:r>
        <w:t xml:space="preserve"/>
      </w:r>
    </w:p>
    <w:p>
      <w:pPr>
        <w:pBdr>
          <w:bottom w:val="single" w:color="1A7A8A" w:sz="4" w:space="1"/>
        </w:pBdr>
        <w:spacing w:before="160" w:after="160"/>
      </w:pPr>
      <w:r>
        <w:t xml:space="preserve"/>
      </w:r>
    </w:p>
    <w:p>
      <w:pPr>
        <w:pStyle w:val="Heading2"/>
      </w:pPr>
      <w:r>
        <w:t xml:space="preserve">Step 6: Escalate Through Additional Channels</w:t>
      </w:r>
    </w:p>
    <w:p>
      <w:pPr>
        <w:spacing w:after="160"/>
      </w:pPr>
      <w:r>
        <w:rPr>
          <w:rFonts w:ascii="Arial" w:cs="Arial" w:eastAsia="Arial" w:hAnsi="Arial"/>
          <w:color w:val="1A1A1A"/>
          <w:sz w:val="24"/>
          <w:szCs w:val="24"/>
        </w:rPr>
        <w:t xml:space="preserve">These additional channels can be used simultaneously or if the EIR is unsuccessful:</w:t>
      </w:r>
    </w:p>
    <w:p>
      <w:pPr>
        <w:spacing w:after="40"/>
      </w:pPr>
      <w:r>
        <w:t xml:space="preserve"/>
      </w:r>
    </w:p>
    <w:p>
      <w:pPr>
        <w:pStyle w:val="Heading3"/>
      </w:pPr>
      <w:r>
        <w:t xml:space="preserve">State Insurance Commissioner</w:t>
      </w:r>
    </w:p>
    <w:p>
      <w:pPr>
        <w:spacing w:after="160"/>
      </w:pPr>
      <w:r>
        <w:rPr>
          <w:rFonts w:ascii="Arial" w:cs="Arial" w:eastAsia="Arial" w:hAnsi="Arial"/>
          <w:color w:val="1A1A1A"/>
          <w:sz w:val="24"/>
          <w:szCs w:val="24"/>
        </w:rPr>
        <w:t xml:space="preserve">File a complaint with your state insurance commissioner. This is free and creates a formal record. Insurance companies take these complaints seriously.</w:t>
      </w:r>
    </w:p>
    <w:p>
      <w:pPr>
        <w:pStyle w:val="ListParagraph"/>
        <w:numPr>
          <w:ilvl w:val="0"/>
          <w:numId w:val="2"/>
        </w:numPr>
        <w:spacing w:after="80"/>
      </w:pPr>
      <w:r>
        <w:rPr>
          <w:rFonts w:ascii="Arial" w:cs="Arial" w:eastAsia="Arial" w:hAnsi="Arial"/>
          <w:color w:val="1A1A1A"/>
          <w:sz w:val="24"/>
          <w:szCs w:val="24"/>
        </w:rPr>
        <w:t xml:space="preserve">Find your state commissioner: </w:t>
      </w:r>
      <w:hyperlink w:history="1" r:id="rIdrf_qlbwb4ezu0ngieyszc">
        <w:r>
          <w:rPr>
            <w:rStyle w:val="Hyperlink"/>
            <w:rFonts w:ascii="Arial" w:cs="Arial" w:eastAsia="Arial" w:hAnsi="Arial"/>
            <w:sz w:val="24"/>
            <w:szCs w:val="24"/>
          </w:rPr>
          <w:t xml:space="preserve">www.naic.org/state_web_map.htm</w:t>
        </w:r>
      </w:hyperlink>
    </w:p>
    <w:p>
      <w:pPr>
        <w:spacing w:after="60"/>
      </w:pPr>
      <w:r>
        <w:t xml:space="preserve"/>
      </w:r>
    </w:p>
    <w:p>
      <w:pPr>
        <w:pStyle w:val="Heading3"/>
      </w:pPr>
      <w:r>
        <w:t xml:space="preserve">Your Employer's HR / Benefits Team</w:t>
      </w:r>
    </w:p>
    <w:p>
      <w:pPr>
        <w:spacing w:after="160"/>
      </w:pPr>
      <w:r>
        <w:rPr>
          <w:rFonts w:ascii="Arial" w:cs="Arial" w:eastAsia="Arial" w:hAnsi="Arial"/>
          <w:color w:val="1A1A1A"/>
          <w:sz w:val="24"/>
          <w:szCs w:val="24"/>
        </w:rPr>
        <w:t xml:space="preserve">If your insurance is employer-provided, your HR department has leverage you don't. Contact them, explain the situation, and ask them to escalate with the insurance carrier on your behalf. Large employers often have dedicated account managers at insurance companies.</w:t>
      </w:r>
    </w:p>
    <w:p>
      <w:pPr>
        <w:spacing w:after="60"/>
      </w:pPr>
      <w:r>
        <w:t xml:space="preserve"/>
      </w:r>
    </w:p>
    <w:p>
      <w:pPr>
        <w:pStyle w:val="Heading3"/>
      </w:pPr>
      <w:r>
        <w:t xml:space="preserve">The Biologic Manufacturer's Patient Support Program</w:t>
      </w:r>
    </w:p>
    <w:p>
      <w:pPr>
        <w:spacing w:after="160"/>
      </w:pPr>
      <w:r>
        <w:rPr>
          <w:rFonts w:ascii="Arial" w:cs="Arial" w:eastAsia="Arial" w:hAnsi="Arial"/>
          <w:color w:val="1A1A1A"/>
          <w:sz w:val="24"/>
          <w:szCs w:val="24"/>
        </w:rPr>
        <w:t xml:space="preserve">Most biologic manufacturers have patient assistance and advocacy teams who deal with insurance issues regularly. They have experience writing letters of medical necessity and navigating prior authorization requirements for their specific drug.</w:t>
      </w:r>
    </w:p>
    <w:p>
      <w:pPr>
        <w:pStyle w:val="ListParagraph"/>
        <w:numPr>
          <w:ilvl w:val="0"/>
          <w:numId w:val="2"/>
        </w:numPr>
        <w:spacing w:after="80"/>
      </w:pPr>
      <w:r>
        <w:rPr>
          <w:rFonts w:ascii="Arial" w:cs="Arial" w:eastAsia="Arial" w:hAnsi="Arial"/>
          <w:color w:val="1A1A1A"/>
          <w:sz w:val="24"/>
          <w:szCs w:val="24"/>
        </w:rPr>
        <w:t xml:space="preserve">Call the manufacturer's patient support line (on the medication's website)</w:t>
      </w:r>
    </w:p>
    <w:p>
      <w:pPr>
        <w:pStyle w:val="ListParagraph"/>
        <w:numPr>
          <w:ilvl w:val="0"/>
          <w:numId w:val="2"/>
        </w:numPr>
        <w:spacing w:after="80"/>
      </w:pPr>
      <w:r>
        <w:rPr>
          <w:rFonts w:ascii="Arial" w:cs="Arial" w:eastAsia="Arial" w:hAnsi="Arial"/>
          <w:color w:val="1A1A1A"/>
          <w:sz w:val="24"/>
          <w:szCs w:val="24"/>
        </w:rPr>
        <w:t xml:space="preserve">Ask for help with prior authorization support</w:t>
      </w:r>
    </w:p>
    <w:p>
      <w:pPr>
        <w:pStyle w:val="ListParagraph"/>
        <w:numPr>
          <w:ilvl w:val="0"/>
          <w:numId w:val="2"/>
        </w:numPr>
        <w:spacing w:after="80"/>
      </w:pPr>
      <w:r>
        <w:rPr>
          <w:rFonts w:ascii="Arial" w:cs="Arial" w:eastAsia="Arial" w:hAnsi="Arial"/>
          <w:color w:val="1A1A1A"/>
          <w:sz w:val="24"/>
          <w:szCs w:val="24"/>
        </w:rPr>
        <w:t xml:space="preserve">Ask about bridge supply — many manufacturers will provide free medication while the appeal is pending</w:t>
      </w:r>
    </w:p>
    <w:p>
      <w:pPr>
        <w:spacing w:after="60"/>
      </w:pPr>
      <w:r>
        <w:t xml:space="preserve"/>
      </w:r>
    </w:p>
    <w:p>
      <w:pPr>
        <w:pStyle w:val="Heading3"/>
      </w:pPr>
      <w:r>
        <w:t xml:space="preserve">Patient Advocate Foundation</w:t>
      </w:r>
    </w:p>
    <w:p>
      <w:pPr>
        <w:spacing w:after="160"/>
      </w:pPr>
      <w:hyperlink w:history="1" r:id="rIdkknjorgc_wajrhnkjzy9k">
        <w:r>
          <w:rPr>
            <w:rStyle w:val="Hyperlink"/>
            <w:rFonts w:ascii="Arial" w:cs="Arial" w:eastAsia="Arial" w:hAnsi="Arial"/>
            <w:sz w:val="24"/>
            <w:szCs w:val="24"/>
          </w:rPr>
          <w:t xml:space="preserve">www.patientadvocate.org</w:t>
        </w:r>
      </w:hyperlink>
      <w:r>
        <w:rPr>
          <w:rFonts w:ascii="Arial" w:cs="Arial" w:eastAsia="Arial" w:hAnsi="Arial"/>
          <w:color w:val="1A1A1A"/>
          <w:sz w:val="24"/>
          <w:szCs w:val="24"/>
        </w:rPr>
        <w:t xml:space="preserve">  |  1-800-532-5274</w:t>
      </w:r>
    </w:p>
    <w:p>
      <w:pPr>
        <w:spacing w:after="160"/>
      </w:pPr>
      <w:r>
        <w:rPr>
          <w:rFonts w:ascii="Arial" w:cs="Arial" w:eastAsia="Arial" w:hAnsi="Arial"/>
          <w:color w:val="1A1A1A"/>
          <w:sz w:val="24"/>
          <w:szCs w:val="24"/>
        </w:rPr>
        <w:t xml:space="preserve">Free case management services from professionals who navigate insurance issues for a living. They can help review denial letters, advise on appeals, and in some cases directly advocate on your behalf.</w:t>
      </w:r>
    </w:p>
    <w:p>
      <w:pPr>
        <w:spacing w:after="60"/>
      </w:pPr>
      <w:r>
        <w:t xml:space="preserve"/>
      </w:r>
    </w:p>
    <w:p>
      <w:pPr>
        <w:pStyle w:val="Heading3"/>
      </w:pPr>
      <w:r>
        <w:t xml:space="preserve">Your State's Children's Health Insurance Program / Medicaid</w:t>
      </w:r>
    </w:p>
    <w:p>
      <w:pPr>
        <w:spacing w:after="160"/>
      </w:pPr>
      <w:r>
        <w:rPr>
          <w:rFonts w:ascii="Arial" w:cs="Arial" w:eastAsia="Arial" w:hAnsi="Arial"/>
          <w:color w:val="1A1A1A"/>
          <w:sz w:val="24"/>
          <w:szCs w:val="24"/>
        </w:rPr>
        <w:t xml:space="preserve">If the cost or insurance battle is becoming untenable, explore whether your child might qualify for supplemental coverage through Medicaid or CHIP. These programs sometimes cover medications that private insurance won't. Eligibility is based on income, and some states have programs specifically for children with chronic conditions.</w:t>
      </w:r>
    </w:p>
    <w:p>
      <w:pPr>
        <w:spacing w:after="80"/>
      </w:pPr>
      <w:r>
        <w:t xml:space="preserve"/>
      </w:r>
    </w:p>
    <w:p>
      <w:pPr>
        <w:pBdr>
          <w:bottom w:val="single" w:color="1A7A8A" w:sz="4" w:space="1"/>
        </w:pBdr>
        <w:spacing w:before="160" w:after="160"/>
      </w:pPr>
      <w:r>
        <w:t xml:space="preserve"/>
      </w:r>
    </w:p>
    <w:p>
      <w:pPr>
        <w:pStyle w:val="Heading2"/>
      </w:pPr>
      <w:r>
        <w:t xml:space="preserve">Keeping Track: Your Documentation System</w:t>
      </w:r>
    </w:p>
    <w:p>
      <w:pPr>
        <w:spacing w:after="160"/>
      </w:pPr>
      <w:r>
        <w:rPr>
          <w:rFonts w:ascii="Arial" w:cs="Arial" w:eastAsia="Arial" w:hAnsi="Arial"/>
          <w:color w:val="1A1A1A"/>
          <w:sz w:val="24"/>
          <w:szCs w:val="24"/>
        </w:rPr>
        <w:t xml:space="preserve">From day one, keep a binder or digital folder. Insurance fights can take months, and you will need a paper trail.</w:t>
      </w:r>
    </w:p>
    <w:p>
      <w:pPr>
        <w:spacing w:after="40"/>
      </w:pPr>
      <w:r>
        <w:t xml:space="preserve"/>
      </w:r>
    </w:p>
    <w:p>
      <w:pPr>
        <w:pStyle w:val="Heading3"/>
      </w:pPr>
      <w:r>
        <w:t xml:space="preserve">What to Document</w:t>
      </w:r>
    </w:p>
    <w:p>
      <w:pPr>
        <w:pStyle w:val="ListParagraph"/>
        <w:numPr>
          <w:ilvl w:val="0"/>
          <w:numId w:val="2"/>
        </w:numPr>
        <w:spacing w:after="80"/>
      </w:pPr>
      <w:r>
        <w:rPr>
          <w:rFonts w:ascii="Arial" w:cs="Arial" w:eastAsia="Arial" w:hAnsi="Arial"/>
          <w:color w:val="1A1A1A"/>
          <w:sz w:val="24"/>
          <w:szCs w:val="24"/>
        </w:rPr>
        <w:t xml:space="preserve">Every phone call — date, time, representative name, and what was said</w:t>
      </w:r>
    </w:p>
    <w:p>
      <w:pPr>
        <w:pStyle w:val="ListParagraph"/>
        <w:numPr>
          <w:ilvl w:val="0"/>
          <w:numId w:val="2"/>
        </w:numPr>
        <w:spacing w:after="80"/>
      </w:pPr>
      <w:r>
        <w:rPr>
          <w:rFonts w:ascii="Arial" w:cs="Arial" w:eastAsia="Arial" w:hAnsi="Arial"/>
          <w:color w:val="1A1A1A"/>
          <w:sz w:val="24"/>
          <w:szCs w:val="24"/>
        </w:rPr>
        <w:t xml:space="preserve">Every denial letter — date received and deadline for appeal</w:t>
      </w:r>
    </w:p>
    <w:p>
      <w:pPr>
        <w:pStyle w:val="ListParagraph"/>
        <w:numPr>
          <w:ilvl w:val="0"/>
          <w:numId w:val="2"/>
        </w:numPr>
        <w:spacing w:after="80"/>
      </w:pPr>
      <w:r>
        <w:rPr>
          <w:rFonts w:ascii="Arial" w:cs="Arial" w:eastAsia="Arial" w:hAnsi="Arial"/>
          <w:color w:val="1A1A1A"/>
          <w:sz w:val="24"/>
          <w:szCs w:val="24"/>
        </w:rPr>
        <w:t xml:space="preserve">Every letter or document submitted — keep copies of everything</w:t>
      </w:r>
    </w:p>
    <w:p>
      <w:pPr>
        <w:pStyle w:val="ListParagraph"/>
        <w:numPr>
          <w:ilvl w:val="0"/>
          <w:numId w:val="2"/>
        </w:numPr>
        <w:spacing w:after="80"/>
      </w:pPr>
      <w:r>
        <w:rPr>
          <w:rFonts w:ascii="Arial" w:cs="Arial" w:eastAsia="Arial" w:hAnsi="Arial"/>
          <w:color w:val="1A1A1A"/>
          <w:sz w:val="24"/>
          <w:szCs w:val="24"/>
        </w:rPr>
        <w:t xml:space="preserve">Every email sent or received</w:t>
      </w:r>
    </w:p>
    <w:p>
      <w:pPr>
        <w:pStyle w:val="ListParagraph"/>
        <w:numPr>
          <w:ilvl w:val="0"/>
          <w:numId w:val="2"/>
        </w:numPr>
        <w:spacing w:after="80"/>
      </w:pPr>
      <w:r>
        <w:rPr>
          <w:rFonts w:ascii="Arial" w:cs="Arial" w:eastAsia="Arial" w:hAnsi="Arial"/>
          <w:color w:val="1A1A1A"/>
          <w:sz w:val="24"/>
          <w:szCs w:val="24"/>
        </w:rPr>
        <w:t xml:space="preserve">Every peer-to-peer review request and outcome</w:t>
      </w:r>
    </w:p>
    <w:p>
      <w:pPr>
        <w:pStyle w:val="ListParagraph"/>
        <w:numPr>
          <w:ilvl w:val="0"/>
          <w:numId w:val="2"/>
        </w:numPr>
        <w:spacing w:after="80"/>
      </w:pPr>
      <w:r>
        <w:rPr>
          <w:rFonts w:ascii="Arial" w:cs="Arial" w:eastAsia="Arial" w:hAnsi="Arial"/>
          <w:color w:val="1A1A1A"/>
          <w:sz w:val="24"/>
          <w:szCs w:val="24"/>
        </w:rPr>
        <w:t xml:space="preserve">Every prescription, infusion, and associated cost during the fight</w:t>
      </w:r>
    </w:p>
    <w:p>
      <w:pPr>
        <w:spacing w:after="40"/>
      </w:pPr>
      <w:r>
        <w:t xml:space="preserve"/>
      </w:r>
    </w:p>
    <w:p>
      <w:pPr>
        <w:pBdr>
          <w:left w:val="thick" w:color="E8A020" w:sz="12"/>
        </w:pBdr>
        <w:spacing w:after="200" w:before="200"/>
        <w:ind w:left="400"/>
      </w:pPr>
      <w:r>
        <w:rPr>
          <w:rFonts w:ascii="Arial" w:cs="Arial" w:eastAsia="Arial" w:hAnsi="Arial"/>
          <w:i/>
          <w:iCs/>
          <w:color w:val="1A1A1A"/>
          <w:sz w:val="24"/>
          <w:szCs w:val="24"/>
        </w:rPr>
        <w:t xml:space="preserve">Ask for everything in writing. When you call insurance, say 'Can you please send me a confirmation of that in writing?' A verbal promise that a claim will be covered is not a guarantee.</w:t>
      </w:r>
    </w:p>
    <w:p>
      <w:pPr>
        <w:spacing w:after="80"/>
      </w:pPr>
      <w:r>
        <w:t xml:space="preserve"/>
      </w:r>
    </w:p>
    <w:p>
      <w:pPr>
        <w:pBdr>
          <w:bottom w:val="single" w:color="1A7A8A" w:sz="4" w:space="1"/>
        </w:pBdr>
        <w:spacing w:before="160" w:after="160"/>
      </w:pPr>
      <w:r>
        <w:t xml:space="preserve"/>
      </w:r>
    </w:p>
    <w:p>
      <w:pPr>
        <w:pStyle w:val="Heading2"/>
      </w:pPr>
      <w:r>
        <w:t xml:space="preserve">While You Fight: Bridge Programs</w:t>
      </w:r>
    </w:p>
    <w:p>
      <w:pPr>
        <w:spacing w:after="160"/>
      </w:pPr>
      <w:r>
        <w:rPr>
          <w:rFonts w:ascii="Arial" w:cs="Arial" w:eastAsia="Arial" w:hAnsi="Arial"/>
          <w:color w:val="1A1A1A"/>
          <w:sz w:val="24"/>
          <w:szCs w:val="24"/>
        </w:rPr>
        <w:t xml:space="preserve">The wait during an insurance appeal can be agonizing when your child needs medication now. Ask about these options to bridge the gap:</w:t>
      </w:r>
    </w:p>
    <w:p>
      <w:pPr>
        <w:pStyle w:val="ListParagraph"/>
        <w:numPr>
          <w:ilvl w:val="0"/>
          <w:numId w:val="2"/>
        </w:numPr>
        <w:spacing w:after="80"/>
      </w:pPr>
      <w:r>
        <w:rPr>
          <w:rFonts w:ascii="Arial" w:cs="Arial" w:eastAsia="Arial" w:hAnsi="Arial"/>
          <w:color w:val="1A1A1A"/>
          <w:sz w:val="24"/>
          <w:szCs w:val="24"/>
        </w:rPr>
        <w:t xml:space="preserve">Manufacturer patient assistance programs — many will provide free medication while the appeal is pending</w:t>
      </w:r>
    </w:p>
    <w:p>
      <w:pPr>
        <w:pStyle w:val="ListParagraph"/>
        <w:numPr>
          <w:ilvl w:val="0"/>
          <w:numId w:val="2"/>
        </w:numPr>
        <w:spacing w:after="80"/>
      </w:pPr>
      <w:r>
        <w:rPr>
          <w:rFonts w:ascii="Arial" w:cs="Arial" w:eastAsia="Arial" w:hAnsi="Arial"/>
          <w:color w:val="1A1A1A"/>
          <w:sz w:val="24"/>
          <w:szCs w:val="24"/>
        </w:rPr>
        <w:t xml:space="preserve">340B programs at qualifying hospitals or clinics</w:t>
      </w:r>
    </w:p>
    <w:p>
      <w:pPr>
        <w:pStyle w:val="ListParagraph"/>
        <w:numPr>
          <w:ilvl w:val="0"/>
          <w:numId w:val="2"/>
        </w:numPr>
        <w:spacing w:after="80"/>
      </w:pPr>
      <w:r>
        <w:rPr>
          <w:rFonts w:ascii="Arial" w:cs="Arial" w:eastAsia="Arial" w:hAnsi="Arial"/>
          <w:color w:val="1A1A1A"/>
          <w:sz w:val="24"/>
          <w:szCs w:val="24"/>
        </w:rPr>
        <w:t xml:space="preserve">State pharmaceutical assistance programs</w:t>
      </w:r>
    </w:p>
    <w:p>
      <w:pPr>
        <w:pStyle w:val="ListParagraph"/>
        <w:numPr>
          <w:ilvl w:val="0"/>
          <w:numId w:val="2"/>
        </w:numPr>
        <w:spacing w:after="80"/>
      </w:pPr>
      <w:r>
        <w:rPr>
          <w:rFonts w:ascii="Arial" w:cs="Arial" w:eastAsia="Arial" w:hAnsi="Arial"/>
          <w:color w:val="1A1A1A"/>
          <w:sz w:val="24"/>
          <w:szCs w:val="24"/>
        </w:rPr>
        <w:t xml:space="preserve">Nonprofit programs like the HealthWell Foundation, Patient Access Network Foundation, or the Assistance Fund</w:t>
      </w:r>
    </w:p>
    <w:p>
      <w:pPr>
        <w:spacing w:after="80"/>
      </w:pPr>
      <w:r>
        <w:t xml:space="preserve"/>
      </w:r>
    </w:p>
    <w:p>
      <w:pPr>
        <w:pBdr>
          <w:bottom w:val="single" w:color="1A7A8A" w:sz="4" w:space="1"/>
        </w:pBdr>
        <w:spacing w:before="160" w:after="160"/>
      </w:pPr>
      <w:r>
        <w:t xml:space="preserve"/>
      </w:r>
    </w:p>
    <w:p>
      <w:pPr>
        <w:pStyle w:val="Heading2"/>
      </w:pPr>
      <w:r>
        <w:t xml:space="preserve">A Note on Step Therapy / 'Fail First' Laws</w:t>
      </w:r>
    </w:p>
    <w:p>
      <w:pPr>
        <w:spacing w:after="160"/>
      </w:pPr>
      <w:r>
        <w:rPr>
          <w:rFonts w:ascii="Arial" w:cs="Arial" w:eastAsia="Arial" w:hAnsi="Arial"/>
          <w:color w:val="1A1A1A"/>
          <w:sz w:val="24"/>
          <w:szCs w:val="24"/>
        </w:rPr>
        <w:t xml:space="preserve">Many states have passed Step Therapy Reform laws that protect patients from being forced to 'fail first' on inferior medications before getting the one their doctor prescribed. These laws typically allow doctors to request an exception to step therapy requirements.</w:t>
      </w:r>
    </w:p>
    <w:p>
      <w:pPr>
        <w:pStyle w:val="ListParagraph"/>
        <w:numPr>
          <w:ilvl w:val="0"/>
          <w:numId w:val="2"/>
        </w:numPr>
        <w:spacing w:after="80"/>
      </w:pPr>
      <w:r>
        <w:rPr>
          <w:rFonts w:ascii="Arial" w:cs="Arial" w:eastAsia="Arial" w:hAnsi="Arial"/>
          <w:color w:val="1A1A1A"/>
          <w:sz w:val="24"/>
          <w:szCs w:val="24"/>
        </w:rPr>
        <w:t xml:space="preserve">Check whether your state has step therapy protections: </w:t>
      </w:r>
      <w:hyperlink w:history="1" r:id="rIdbqmsz4dkocbz4qqgqlkdz">
        <w:r>
          <w:rPr>
            <w:rStyle w:val="Hyperlink"/>
            <w:rFonts w:ascii="Arial" w:cs="Arial" w:eastAsia="Arial" w:hAnsi="Arial"/>
            <w:sz w:val="24"/>
            <w:szCs w:val="24"/>
          </w:rPr>
          <w:t xml:space="preserve">www.legislature.state.or.us</w:t>
        </w:r>
      </w:hyperlink>
    </w:p>
    <w:p>
      <w:pPr>
        <w:spacing w:after="160"/>
      </w:pPr>
      <w:r>
        <w:rPr>
          <w:rFonts w:ascii="Arial" w:cs="Arial" w:eastAsia="Arial" w:hAnsi="Arial"/>
          <w:color w:val="1A1A1A"/>
          <w:sz w:val="24"/>
          <w:szCs w:val="24"/>
        </w:rPr>
        <w:t xml:space="preserve">Ask your rheumatologist to file a step therapy exception if your state has this protection. The criteria for exception typically include: the required medication is contraindicated, your child has already tried the required medications, or the treating physician believes the required medication would cause harm.</w:t>
      </w:r>
    </w:p>
    <w:p>
      <w:pPr>
        <w:spacing w:after="80"/>
      </w:pPr>
      <w:r>
        <w:t xml:space="preserve"/>
      </w:r>
    </w:p>
    <w:p>
      <w:pPr>
        <w:pBdr>
          <w:bottom w:val="single" w:color="1A7A8A" w:sz="4" w:space="1"/>
        </w:pBdr>
        <w:spacing w:before="160" w:after="160"/>
      </w:pPr>
      <w:r>
        <w:t xml:space="preserve"/>
      </w:r>
    </w:p>
    <w:p>
      <w:pPr>
        <w:pBdr>
          <w:left w:val="thick" w:color="1A7A8A" w:sz="12"/>
        </w:pBdr>
        <w:spacing w:after="200" w:before="200"/>
        <w:ind w:left="400"/>
      </w:pPr>
      <w:r>
        <w:rPr>
          <w:rFonts w:ascii="Arial" w:cs="Arial" w:eastAsia="Arial" w:hAnsi="Arial"/>
          <w:i/>
          <w:iCs/>
          <w:color w:val="1A1A1A"/>
          <w:sz w:val="24"/>
          <w:szCs w:val="24"/>
        </w:rPr>
        <w:t xml:space="preserve">We spent four months fighting before Corbin got his biologic approved. It was exhausting and frightening, and we wish we had found this information on month one instead of month three. You can win this fight. Document everything, be persistent, and never let a denial be the last word.</w:t>
      </w:r>
    </w:p>
    <w:p>
      <w:pPr>
        <w:spacing w:after="80"/>
      </w:pPr>
      <w:r>
        <w:t xml:space="preserve"/>
      </w:r>
    </w:p>
    <w:p>
      <w:pPr>
        <w:pStyle w:val="Heading2"/>
      </w:pPr>
      <w:r>
        <w:t xml:space="preserve">Quick Reference: Who to Call</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shd w:fill="1A7A8A" w:val="clear"/>
            <w:tcMar>
              <w:top w:type="dxa" w:w="80"/>
              <w:left w:type="dxa" w:w="120"/>
              <w:bottom w:type="dxa" w:w="80"/>
              <w:right w:type="dxa" w:w="120"/>
            </w:tcMar>
          </w:tcPr>
          <w:p>
            <w:r>
              <w:rPr>
                <w:rFonts w:ascii="Arial" w:cs="Arial" w:eastAsia="Arial" w:hAnsi="Arial"/>
                <w:b/>
                <w:bCs/>
                <w:color w:val="FFFFFF"/>
                <w:sz w:val="22"/>
                <w:szCs w:val="22"/>
              </w:rPr>
              <w:t xml:space="preserve">Who</w:t>
            </w:r>
          </w:p>
        </w:tc>
        <w:tc>
          <w:tcPr>
            <w:tcW w:type="dxa" w:w="3000"/>
            <w:shd w:fill="1A7A8A" w:val="clear"/>
            <w:tcMar>
              <w:top w:type="dxa" w:w="80"/>
              <w:left w:type="dxa" w:w="120"/>
              <w:bottom w:type="dxa" w:w="80"/>
              <w:right w:type="dxa" w:w="120"/>
            </w:tcMar>
          </w:tcPr>
          <w:p>
            <w:r>
              <w:rPr>
                <w:rFonts w:ascii="Arial" w:cs="Arial" w:eastAsia="Arial" w:hAnsi="Arial"/>
                <w:b/>
                <w:bCs/>
                <w:color w:val="FFFFFF"/>
                <w:sz w:val="22"/>
                <w:szCs w:val="22"/>
              </w:rPr>
              <w:t xml:space="preserve">When to Call</w:t>
            </w:r>
          </w:p>
        </w:tc>
        <w:tc>
          <w:tcPr>
            <w:tcW w:type="dxa" w:w="2860"/>
            <w:shd w:fill="1A7A8A" w:val="clear"/>
            <w:tcMar>
              <w:top w:type="dxa" w:w="80"/>
              <w:left w:type="dxa" w:w="120"/>
              <w:bottom w:type="dxa" w:w="80"/>
              <w:right w:type="dxa" w:w="120"/>
            </w:tcMar>
          </w:tcPr>
          <w:p>
            <w:r>
              <w:rPr>
                <w:rFonts w:ascii="Arial" w:cs="Arial" w:eastAsia="Arial" w:hAnsi="Arial"/>
                <w:b/>
                <w:bCs/>
                <w:color w:val="FFFFFF"/>
                <w:sz w:val="22"/>
                <w:szCs w:val="22"/>
              </w:rPr>
              <w:t xml:space="preserve">How to Find</w:t>
            </w:r>
          </w:p>
        </w:tc>
      </w:tr>
      <w:tr>
        <w:tc>
          <w:tcPr>
            <w:tcW w:type="dxa" w:w="3500"/>
            <w:shd w:fill="FFFFFF" w:val="clear"/>
            <w:tcMar>
              <w:top w:type="dxa" w:w="80"/>
              <w:left w:type="dxa" w:w="120"/>
              <w:bottom w:type="dxa" w:w="80"/>
              <w:right w:type="dxa" w:w="120"/>
            </w:tcMar>
          </w:tcPr>
          <w:p>
            <w:r>
              <w:rPr>
                <w:rFonts w:ascii="Arial" w:cs="Arial" w:eastAsia="Arial" w:hAnsi="Arial"/>
                <w:color w:val="1A1A1A"/>
                <w:sz w:val="22"/>
                <w:szCs w:val="22"/>
              </w:rPr>
              <w:t xml:space="preserve">Your Rheumatologist's Office</w:t>
            </w:r>
          </w:p>
        </w:tc>
        <w:tc>
          <w:tcPr>
            <w:tcW w:type="dxa" w:w="3000"/>
            <w:shd w:fill="FFFFFF" w:val="clear"/>
            <w:tcMar>
              <w:top w:type="dxa" w:w="80"/>
              <w:left w:type="dxa" w:w="120"/>
              <w:bottom w:type="dxa" w:w="80"/>
              <w:right w:type="dxa" w:w="120"/>
            </w:tcMar>
          </w:tcPr>
          <w:p>
            <w:r>
              <w:rPr>
                <w:rFonts w:ascii="Arial" w:cs="Arial" w:eastAsia="Arial" w:hAnsi="Arial"/>
                <w:color w:val="1A1A1A"/>
                <w:sz w:val="22"/>
                <w:szCs w:val="22"/>
              </w:rPr>
              <w:t xml:space="preserve">First denial; need LMN; peer-to-peer review</w:t>
            </w:r>
          </w:p>
        </w:tc>
        <w:tc>
          <w:tcPr>
            <w:tcW w:type="dxa" w:w="2860"/>
            <w:shd w:fill="FFFFFF" w:val="clear"/>
            <w:tcMar>
              <w:top w:type="dxa" w:w="80"/>
              <w:left w:type="dxa" w:w="120"/>
              <w:bottom w:type="dxa" w:w="80"/>
              <w:right w:type="dxa" w:w="120"/>
            </w:tcMar>
          </w:tcPr>
          <w:p>
            <w:r>
              <w:rPr>
                <w:rFonts w:ascii="Arial" w:cs="Arial" w:eastAsia="Arial" w:hAnsi="Arial"/>
                <w:color w:val="1A1A1A"/>
                <w:sz w:val="22"/>
                <w:szCs w:val="22"/>
              </w:rPr>
              <w:t xml:space="preserve">Your existing contact</w:t>
            </w:r>
          </w:p>
        </w:tc>
      </w:tr>
      <w:tr>
        <w:tc>
          <w:tcPr>
            <w:tcW w:type="dxa" w:w="3500"/>
            <w:shd w:fill="E8F5F7" w:val="clear"/>
            <w:tcMar>
              <w:top w:type="dxa" w:w="80"/>
              <w:left w:type="dxa" w:w="120"/>
              <w:bottom w:type="dxa" w:w="80"/>
              <w:right w:type="dxa" w:w="120"/>
            </w:tcMar>
          </w:tcPr>
          <w:p>
            <w:r>
              <w:rPr>
                <w:rFonts w:ascii="Arial" w:cs="Arial" w:eastAsia="Arial" w:hAnsi="Arial"/>
                <w:color w:val="1A1A1A"/>
                <w:sz w:val="22"/>
                <w:szCs w:val="22"/>
              </w:rPr>
              <w:t xml:space="preserve">Insurance Member Services</w:t>
            </w:r>
          </w:p>
        </w:tc>
        <w:tc>
          <w:tcPr>
            <w:tcW w:type="dxa" w:w="3000"/>
            <w:shd w:fill="E8F5F7" w:val="clear"/>
            <w:tcMar>
              <w:top w:type="dxa" w:w="80"/>
              <w:left w:type="dxa" w:w="120"/>
              <w:bottom w:type="dxa" w:w="80"/>
              <w:right w:type="dxa" w:w="120"/>
            </w:tcMar>
          </w:tcPr>
          <w:p>
            <w:r>
              <w:rPr>
                <w:rFonts w:ascii="Arial" w:cs="Arial" w:eastAsia="Arial" w:hAnsi="Arial"/>
                <w:color w:val="1A1A1A"/>
                <w:sz w:val="22"/>
                <w:szCs w:val="22"/>
              </w:rPr>
              <w:t xml:space="preserve">Understand denial; appeal instructions</w:t>
            </w:r>
          </w:p>
        </w:tc>
        <w:tc>
          <w:tcPr>
            <w:tcW w:type="dxa" w:w="2860"/>
            <w:shd w:fill="E8F5F7" w:val="clear"/>
            <w:tcMar>
              <w:top w:type="dxa" w:w="80"/>
              <w:left w:type="dxa" w:w="120"/>
              <w:bottom w:type="dxa" w:w="80"/>
              <w:right w:type="dxa" w:w="120"/>
            </w:tcMar>
          </w:tcPr>
          <w:p>
            <w:r>
              <w:rPr>
                <w:rFonts w:ascii="Arial" w:cs="Arial" w:eastAsia="Arial" w:hAnsi="Arial"/>
                <w:color w:val="1A1A1A"/>
                <w:sz w:val="22"/>
                <w:szCs w:val="22"/>
              </w:rPr>
              <w:t xml:space="preserve">Back of your insurance card</w:t>
            </w:r>
          </w:p>
        </w:tc>
      </w:tr>
      <w:tr>
        <w:tc>
          <w:tcPr>
            <w:tcW w:type="dxa" w:w="3500"/>
            <w:shd w:fill="FFFFFF" w:val="clear"/>
            <w:tcMar>
              <w:top w:type="dxa" w:w="80"/>
              <w:left w:type="dxa" w:w="120"/>
              <w:bottom w:type="dxa" w:w="80"/>
              <w:right w:type="dxa" w:w="120"/>
            </w:tcMar>
          </w:tcPr>
          <w:p>
            <w:r>
              <w:rPr>
                <w:rFonts w:ascii="Arial" w:cs="Arial" w:eastAsia="Arial" w:hAnsi="Arial"/>
                <w:color w:val="1A1A1A"/>
                <w:sz w:val="22"/>
                <w:szCs w:val="22"/>
              </w:rPr>
              <w:t xml:space="preserve">Biologic Manufacturer</w:t>
            </w:r>
          </w:p>
        </w:tc>
        <w:tc>
          <w:tcPr>
            <w:tcW w:type="dxa" w:w="3000"/>
            <w:shd w:fill="FFFFFF" w:val="clear"/>
            <w:tcMar>
              <w:top w:type="dxa" w:w="80"/>
              <w:left w:type="dxa" w:w="120"/>
              <w:bottom w:type="dxa" w:w="80"/>
              <w:right w:type="dxa" w:w="120"/>
            </w:tcMar>
          </w:tcPr>
          <w:p>
            <w:r>
              <w:rPr>
                <w:rFonts w:ascii="Arial" w:cs="Arial" w:eastAsia="Arial" w:hAnsi="Arial"/>
                <w:color w:val="1A1A1A"/>
                <w:sz w:val="22"/>
                <w:szCs w:val="22"/>
              </w:rPr>
              <w:t xml:space="preserve">Bridge supply; PA support; appeal assistance</w:t>
            </w:r>
          </w:p>
        </w:tc>
        <w:tc>
          <w:tcPr>
            <w:tcW w:type="dxa" w:w="2860"/>
            <w:shd w:fill="FFFFFF" w:val="clear"/>
            <w:tcMar>
              <w:top w:type="dxa" w:w="80"/>
              <w:left w:type="dxa" w:w="120"/>
              <w:bottom w:type="dxa" w:w="80"/>
              <w:right w:type="dxa" w:w="120"/>
            </w:tcMar>
          </w:tcPr>
          <w:p>
            <w:r>
              <w:rPr>
                <w:rFonts w:ascii="Arial" w:cs="Arial" w:eastAsia="Arial" w:hAnsi="Arial"/>
                <w:color w:val="1A1A1A"/>
                <w:sz w:val="22"/>
                <w:szCs w:val="22"/>
              </w:rPr>
              <w:t xml:space="preserve">Drug website patient support page</w:t>
            </w:r>
          </w:p>
        </w:tc>
      </w:tr>
      <w:tr>
        <w:tc>
          <w:tcPr>
            <w:tcW w:type="dxa" w:w="3500"/>
            <w:shd w:fill="E8F5F7" w:val="clear"/>
            <w:tcMar>
              <w:top w:type="dxa" w:w="80"/>
              <w:left w:type="dxa" w:w="120"/>
              <w:bottom w:type="dxa" w:w="80"/>
              <w:right w:type="dxa" w:w="120"/>
            </w:tcMar>
          </w:tcPr>
          <w:p>
            <w:r>
              <w:rPr>
                <w:rFonts w:ascii="Arial" w:cs="Arial" w:eastAsia="Arial" w:hAnsi="Arial"/>
                <w:color w:val="1A1A1A"/>
                <w:sz w:val="22"/>
                <w:szCs w:val="22"/>
              </w:rPr>
              <w:t xml:space="preserve">Patient Advocate Foundation</w:t>
            </w:r>
          </w:p>
        </w:tc>
        <w:tc>
          <w:tcPr>
            <w:tcW w:type="dxa" w:w="3000"/>
            <w:shd w:fill="E8F5F7" w:val="clear"/>
            <w:tcMar>
              <w:top w:type="dxa" w:w="80"/>
              <w:left w:type="dxa" w:w="120"/>
              <w:bottom w:type="dxa" w:w="80"/>
              <w:right w:type="dxa" w:w="120"/>
            </w:tcMar>
          </w:tcPr>
          <w:p>
            <w:r>
              <w:rPr>
                <w:rFonts w:ascii="Arial" w:cs="Arial" w:eastAsia="Arial" w:hAnsi="Arial"/>
                <w:color w:val="1A1A1A"/>
                <w:sz w:val="22"/>
                <w:szCs w:val="22"/>
              </w:rPr>
              <w:t xml:space="preserve">Complex cases; case management</w:t>
            </w:r>
          </w:p>
        </w:tc>
        <w:tc>
          <w:tcPr>
            <w:tcW w:type="dxa" w:w="2860"/>
            <w:shd w:fill="E8F5F7" w:val="clear"/>
            <w:tcMar>
              <w:top w:type="dxa" w:w="80"/>
              <w:left w:type="dxa" w:w="120"/>
              <w:bottom w:type="dxa" w:w="80"/>
              <w:right w:type="dxa" w:w="120"/>
            </w:tcMar>
          </w:tcPr>
          <w:p>
            <w:r>
              <w:rPr>
                <w:rFonts w:ascii="Arial" w:cs="Arial" w:eastAsia="Arial" w:hAnsi="Arial"/>
                <w:color w:val="1A1A1A"/>
                <w:sz w:val="22"/>
                <w:szCs w:val="22"/>
              </w:rPr>
              <w:t xml:space="preserve">patientadvocate.org</w:t>
            </w:r>
          </w:p>
        </w:tc>
      </w:tr>
      <w:tr>
        <w:tc>
          <w:tcPr>
            <w:tcW w:type="dxa" w:w="3500"/>
            <w:shd w:fill="FFFFFF" w:val="clear"/>
            <w:tcMar>
              <w:top w:type="dxa" w:w="80"/>
              <w:left w:type="dxa" w:w="120"/>
              <w:bottom w:type="dxa" w:w="80"/>
              <w:right w:type="dxa" w:w="120"/>
            </w:tcMar>
          </w:tcPr>
          <w:p>
            <w:r>
              <w:rPr>
                <w:rFonts w:ascii="Arial" w:cs="Arial" w:eastAsia="Arial" w:hAnsi="Arial"/>
                <w:color w:val="1A1A1A"/>
                <w:sz w:val="22"/>
                <w:szCs w:val="22"/>
              </w:rPr>
              <w:t xml:space="preserve">State Insurance Commissioner</w:t>
            </w:r>
          </w:p>
        </w:tc>
        <w:tc>
          <w:tcPr>
            <w:tcW w:type="dxa" w:w="3000"/>
            <w:shd w:fill="FFFFFF" w:val="clear"/>
            <w:tcMar>
              <w:top w:type="dxa" w:w="80"/>
              <w:left w:type="dxa" w:w="120"/>
              <w:bottom w:type="dxa" w:w="80"/>
              <w:right w:type="dxa" w:w="120"/>
            </w:tcMar>
          </w:tcPr>
          <w:p>
            <w:r>
              <w:rPr>
                <w:rFonts w:ascii="Arial" w:cs="Arial" w:eastAsia="Arial" w:hAnsi="Arial"/>
                <w:color w:val="1A1A1A"/>
                <w:sz w:val="22"/>
                <w:szCs w:val="22"/>
              </w:rPr>
              <w:t xml:space="preserve">File complaint after internal appeal</w:t>
            </w:r>
          </w:p>
        </w:tc>
        <w:tc>
          <w:tcPr>
            <w:tcW w:type="dxa" w:w="2860"/>
            <w:shd w:fill="FFFFFF" w:val="clear"/>
            <w:tcMar>
              <w:top w:type="dxa" w:w="80"/>
              <w:left w:type="dxa" w:w="120"/>
              <w:bottom w:type="dxa" w:w="80"/>
              <w:right w:type="dxa" w:w="120"/>
            </w:tcMar>
          </w:tcPr>
          <w:p>
            <w:r>
              <w:rPr>
                <w:rFonts w:ascii="Arial" w:cs="Arial" w:eastAsia="Arial" w:hAnsi="Arial"/>
                <w:color w:val="1A1A1A"/>
                <w:sz w:val="22"/>
                <w:szCs w:val="22"/>
              </w:rPr>
              <w:t xml:space="preserve">naic.org → your state</w:t>
            </w:r>
          </w:p>
        </w:tc>
      </w:tr>
      <w:tr>
        <w:tc>
          <w:tcPr>
            <w:tcW w:type="dxa" w:w="3500"/>
            <w:shd w:fill="E8F5F7" w:val="clear"/>
            <w:tcMar>
              <w:top w:type="dxa" w:w="80"/>
              <w:left w:type="dxa" w:w="120"/>
              <w:bottom w:type="dxa" w:w="80"/>
              <w:right w:type="dxa" w:w="120"/>
            </w:tcMar>
          </w:tcPr>
          <w:p>
            <w:r>
              <w:rPr>
                <w:rFonts w:ascii="Arial" w:cs="Arial" w:eastAsia="Arial" w:hAnsi="Arial"/>
                <w:color w:val="1A1A1A"/>
                <w:sz w:val="22"/>
                <w:szCs w:val="22"/>
              </w:rPr>
              <w:t xml:space="preserve">Employer HR / Benefits</w:t>
            </w:r>
          </w:p>
        </w:tc>
        <w:tc>
          <w:tcPr>
            <w:tcW w:type="dxa" w:w="3000"/>
            <w:shd w:fill="E8F5F7" w:val="clear"/>
            <w:tcMar>
              <w:top w:type="dxa" w:w="80"/>
              <w:left w:type="dxa" w:w="120"/>
              <w:bottom w:type="dxa" w:w="80"/>
              <w:right w:type="dxa" w:w="120"/>
            </w:tcMar>
          </w:tcPr>
          <w:p>
            <w:r>
              <w:rPr>
                <w:rFonts w:ascii="Arial" w:cs="Arial" w:eastAsia="Arial" w:hAnsi="Arial"/>
                <w:color w:val="1A1A1A"/>
                <w:sz w:val="22"/>
                <w:szCs w:val="22"/>
              </w:rPr>
              <w:t xml:space="preserve">Employer-sponsored plans; escalation</w:t>
            </w:r>
          </w:p>
        </w:tc>
        <w:tc>
          <w:tcPr>
            <w:tcW w:type="dxa" w:w="2860"/>
            <w:shd w:fill="E8F5F7" w:val="clear"/>
            <w:tcMar>
              <w:top w:type="dxa" w:w="80"/>
              <w:left w:type="dxa" w:w="120"/>
              <w:bottom w:type="dxa" w:w="80"/>
              <w:right w:type="dxa" w:w="120"/>
            </w:tcMar>
          </w:tcPr>
          <w:p>
            <w:r>
              <w:rPr>
                <w:rFonts w:ascii="Arial" w:cs="Arial" w:eastAsia="Arial" w:hAnsi="Arial"/>
                <w:color w:val="1A1A1A"/>
                <w:sz w:val="22"/>
                <w:szCs w:val="22"/>
              </w:rPr>
              <w:t xml:space="preserve">Your company HR department</w:t>
            </w:r>
          </w:p>
        </w:tc>
      </w:tr>
    </w:tbl>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7A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A0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f_qlbwb4ezu0ngieyszc" Type="http://schemas.openxmlformats.org/officeDocument/2006/relationships/hyperlink" Target="https://www.naic.org" TargetMode="External"/><Relationship Id="rIdkknjorgc_wajrhnkjzy9k" Type="http://schemas.openxmlformats.org/officeDocument/2006/relationships/hyperlink" Target="https://www.patientadvocate.org" TargetMode="External"/><Relationship Id="rIdbqmsz4dkocbz4qqgqlkdz" Type="http://schemas.openxmlformats.org/officeDocument/2006/relationships/hyperlink" Target="https://www.ncsl.org"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2026-03-04T13:45:59.901Z</dcterms:created>
  <dcterms:modified xsi:type="dcterms:W3CDTF">2026-03-04T13:45:59.901Z</dcterms:modified>
</cp:coreProperties>
</file>

<file path=docProps/custom.xml><?xml version="1.0" encoding="utf-8"?>
<Properties xmlns="http://schemas.openxmlformats.org/officeDocument/2006/custom-properties" xmlns:vt="http://schemas.openxmlformats.org/officeDocument/2006/docPropsVTypes"/>
</file>