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E5434" w14:textId="6B7E45AE" w:rsidR="00025262" w:rsidRDefault="005405D7">
      <w:r>
        <w:rPr>
          <w:noProof/>
        </w:rPr>
        <w:drawing>
          <wp:inline distT="0" distB="0" distL="0" distR="0" wp14:anchorId="3915F482" wp14:editId="6071094A">
            <wp:extent cx="5753100" cy="50736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6B46" w14:textId="20B72F46" w:rsidR="005405D7" w:rsidRDefault="005405D7">
      <w:r>
        <w:rPr>
          <w:noProof/>
        </w:rPr>
        <w:drawing>
          <wp:inline distT="0" distB="0" distL="0" distR="0" wp14:anchorId="35E39B0B" wp14:editId="14306C4B">
            <wp:extent cx="5759450" cy="37528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4F69" w14:textId="77777777" w:rsidR="005405D7" w:rsidRDefault="005405D7"/>
    <w:p w14:paraId="35DADB48" w14:textId="74381B25" w:rsidR="005405D7" w:rsidRDefault="005405D7">
      <w:r>
        <w:rPr>
          <w:noProof/>
        </w:rPr>
        <w:lastRenderedPageBreak/>
        <w:drawing>
          <wp:inline distT="0" distB="0" distL="0" distR="0" wp14:anchorId="55012B2C" wp14:editId="589F5977">
            <wp:extent cx="5753100" cy="3727450"/>
            <wp:effectExtent l="0" t="0" r="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6F7C" w14:textId="26506D1E" w:rsidR="005405D7" w:rsidRDefault="005405D7">
      <w:r>
        <w:rPr>
          <w:noProof/>
        </w:rPr>
        <w:drawing>
          <wp:inline distT="0" distB="0" distL="0" distR="0" wp14:anchorId="15AB213B" wp14:editId="72DD13E0">
            <wp:extent cx="5753100" cy="37338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8BF9" w14:textId="77777777" w:rsidR="005405D7" w:rsidRDefault="005405D7"/>
    <w:p w14:paraId="06BA1287" w14:textId="77777777" w:rsidR="005405D7" w:rsidRDefault="005405D7"/>
    <w:p w14:paraId="6C3275FD" w14:textId="77777777" w:rsidR="005405D7" w:rsidRDefault="005405D7"/>
    <w:p w14:paraId="09C6CF3C" w14:textId="77777777" w:rsidR="005405D7" w:rsidRDefault="005405D7"/>
    <w:p w14:paraId="0FCDFBBC" w14:textId="77777777" w:rsidR="005405D7" w:rsidRDefault="005405D7"/>
    <w:p w14:paraId="49603C86" w14:textId="77777777" w:rsidR="005405D7" w:rsidRDefault="005405D7"/>
    <w:p w14:paraId="48967759" w14:textId="77777777" w:rsidR="005405D7" w:rsidRDefault="005405D7"/>
    <w:p w14:paraId="56D824DC" w14:textId="72743AC3" w:rsidR="005405D7" w:rsidRDefault="005405D7">
      <w:r>
        <w:rPr>
          <w:noProof/>
        </w:rPr>
        <w:lastRenderedPageBreak/>
        <w:drawing>
          <wp:inline distT="0" distB="0" distL="0" distR="0" wp14:anchorId="7073A9A6" wp14:editId="191C6C52">
            <wp:extent cx="5759450" cy="48958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FD3B" w14:textId="1220FCBA" w:rsidR="005405D7" w:rsidRDefault="005405D7">
      <w:r>
        <w:rPr>
          <w:noProof/>
        </w:rPr>
        <w:drawing>
          <wp:inline distT="0" distB="0" distL="0" distR="0" wp14:anchorId="15CBBBA1" wp14:editId="5239E55D">
            <wp:extent cx="5759450" cy="357505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0971" w14:textId="77777777" w:rsidR="005405D7" w:rsidRDefault="005405D7"/>
    <w:p w14:paraId="0FAED9A8" w14:textId="77777777" w:rsidR="005405D7" w:rsidRDefault="005405D7"/>
    <w:p w14:paraId="68128631" w14:textId="02728B16" w:rsidR="005405D7" w:rsidRDefault="005405D7">
      <w:r>
        <w:rPr>
          <w:noProof/>
        </w:rPr>
        <w:lastRenderedPageBreak/>
        <w:drawing>
          <wp:inline distT="0" distB="0" distL="0" distR="0" wp14:anchorId="2CAAD15C" wp14:editId="715C7146">
            <wp:extent cx="5759450" cy="37020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5B4A" w14:textId="77777777" w:rsidR="005405D7" w:rsidRDefault="005405D7"/>
    <w:p w14:paraId="010F1F95" w14:textId="79541E6D" w:rsid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 xml:space="preserve">Simulationsvisualisierungen für das Projekt </w:t>
      </w:r>
      <w:r w:rsidRPr="005405D7">
        <w:rPr>
          <w:b/>
          <w:bCs/>
          <w:sz w:val="20"/>
          <w:szCs w:val="20"/>
        </w:rPr>
        <w:t>„The Deep-Breath“</w:t>
      </w:r>
      <w:r w:rsidRPr="005405D7">
        <w:rPr>
          <w:sz w:val="20"/>
          <w:szCs w:val="20"/>
        </w:rPr>
        <w:t>. Diese Datenmodelle basieren auf den physikalischen Parametern des Venturi-Auftriebs, der thermodynamischen Pufferung durch PCM und den biologischen Grenzwerten von Steinkorallen.</w:t>
      </w:r>
    </w:p>
    <w:p w14:paraId="42E9D0FB" w14:textId="6A0996FC" w:rsidR="005405D7" w:rsidRDefault="00000000" w:rsidP="005405D7">
      <w:pPr>
        <w:ind w:left="357" w:firstLine="0"/>
        <w:rPr>
          <w:sz w:val="20"/>
          <w:szCs w:val="20"/>
        </w:rPr>
      </w:pPr>
      <w:r>
        <w:pict w14:anchorId="4F401F9D">
          <v:rect id="_x0000_i1025" style="width:0;height:1.5pt" o:hralign="center" o:hrstd="t" o:hr="t" fillcolor="#a0a0a0" stroked="f"/>
        </w:pict>
      </w:r>
    </w:p>
    <w:p w14:paraId="36D645F4" w14:textId="77777777" w:rsidR="005405D7" w:rsidRDefault="005405D7" w:rsidP="005405D7">
      <w:pPr>
        <w:ind w:left="357" w:firstLine="0"/>
        <w:rPr>
          <w:b/>
          <w:bCs/>
          <w:sz w:val="22"/>
          <w:szCs w:val="22"/>
        </w:rPr>
      </w:pPr>
      <w:r w:rsidRPr="005405D7">
        <w:rPr>
          <w:rFonts w:ascii="Segoe UI Symbol" w:hAnsi="Segoe UI Symbol" w:cs="Segoe UI Symbol"/>
          <w:b/>
          <w:bCs/>
          <w:sz w:val="22"/>
          <w:szCs w:val="22"/>
        </w:rPr>
        <w:t>🎛</w:t>
      </w:r>
      <w:r w:rsidRPr="005405D7">
        <w:rPr>
          <w:b/>
          <w:bCs/>
          <w:sz w:val="22"/>
          <w:szCs w:val="22"/>
        </w:rPr>
        <w:t>️ 1. Strömungsvisualisierung (CFD-Output)</w:t>
      </w:r>
    </w:p>
    <w:p w14:paraId="6F326022" w14:textId="77777777" w:rsidR="005405D7" w:rsidRPr="005405D7" w:rsidRDefault="005405D7" w:rsidP="005405D7">
      <w:pPr>
        <w:ind w:left="357" w:firstLine="0"/>
        <w:rPr>
          <w:b/>
          <w:bCs/>
          <w:sz w:val="22"/>
          <w:szCs w:val="22"/>
        </w:rPr>
      </w:pPr>
    </w:p>
    <w:p w14:paraId="55466D8B" w14:textId="77777777" w:rsid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 xml:space="preserve">Die CFD-Simulation zeigt den massiven </w:t>
      </w:r>
      <w:proofErr w:type="spellStart"/>
      <w:r w:rsidRPr="005405D7">
        <w:rPr>
          <w:b/>
          <w:bCs/>
          <w:sz w:val="20"/>
          <w:szCs w:val="20"/>
        </w:rPr>
        <w:t>Upwelling</w:t>
      </w:r>
      <w:proofErr w:type="spellEnd"/>
      <w:r w:rsidRPr="005405D7">
        <w:rPr>
          <w:b/>
          <w:bCs/>
          <w:sz w:val="20"/>
          <w:szCs w:val="20"/>
        </w:rPr>
        <w:t>-Effekt</w:t>
      </w:r>
      <w:r w:rsidRPr="005405D7">
        <w:rPr>
          <w:sz w:val="20"/>
          <w:szCs w:val="20"/>
        </w:rPr>
        <w:t>. Durch die Verengung im Inneren der Struktur (Venturi-Zone) wird die Strömungsgeschwindigkeit erhöht, was zu einem signifikanten Druckabfall führt. Dieser Unterdruck saugt kühles Bodenwasser an und leitet es vertikal zur Korallen-</w:t>
      </w:r>
      <w:proofErr w:type="spellStart"/>
      <w:r w:rsidRPr="005405D7">
        <w:rPr>
          <w:sz w:val="20"/>
          <w:szCs w:val="20"/>
        </w:rPr>
        <w:t>Cradle</w:t>
      </w:r>
      <w:proofErr w:type="spellEnd"/>
      <w:r w:rsidRPr="005405D7">
        <w:rPr>
          <w:sz w:val="20"/>
          <w:szCs w:val="20"/>
        </w:rPr>
        <w:t>.</w:t>
      </w:r>
    </w:p>
    <w:p w14:paraId="12AF82D9" w14:textId="77777777" w:rsidR="005405D7" w:rsidRPr="005405D7" w:rsidRDefault="005405D7" w:rsidP="005405D7">
      <w:pPr>
        <w:ind w:left="357" w:firstLine="0"/>
        <w:rPr>
          <w:sz w:val="20"/>
          <w:szCs w:val="20"/>
        </w:rPr>
      </w:pPr>
    </w:p>
    <w:p w14:paraId="09E5476A" w14:textId="77777777" w:rsidR="005405D7" w:rsidRPr="005405D7" w:rsidRDefault="005405D7" w:rsidP="005405D7">
      <w:pPr>
        <w:numPr>
          <w:ilvl w:val="0"/>
          <w:numId w:val="1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Vektorfeld:</w:t>
      </w:r>
      <w:r w:rsidRPr="005405D7">
        <w:rPr>
          <w:sz w:val="20"/>
          <w:szCs w:val="20"/>
        </w:rPr>
        <w:t xml:space="preserve"> Sichtbare Beschleunigung der Vektoren im Zentrum.</w:t>
      </w:r>
    </w:p>
    <w:p w14:paraId="3BF15FC9" w14:textId="77777777" w:rsidR="005405D7" w:rsidRDefault="005405D7" w:rsidP="005405D7">
      <w:pPr>
        <w:numPr>
          <w:ilvl w:val="0"/>
          <w:numId w:val="1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Druckkarte:</w:t>
      </w:r>
      <w:r w:rsidRPr="005405D7">
        <w:rPr>
          <w:sz w:val="20"/>
          <w:szCs w:val="20"/>
        </w:rPr>
        <w:t xml:space="preserve"> Der blaue Kern im Diagramm visualisiert den Unterdruck-Saugmotor des Systems.</w:t>
      </w:r>
    </w:p>
    <w:p w14:paraId="17A554CF" w14:textId="77777777" w:rsidR="005405D7" w:rsidRDefault="005405D7" w:rsidP="005405D7">
      <w:pPr>
        <w:rPr>
          <w:sz w:val="20"/>
          <w:szCs w:val="20"/>
        </w:rPr>
      </w:pPr>
    </w:p>
    <w:p w14:paraId="424D1FB9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1B23091F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6AC09E62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780DB1E5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6ACB87F5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32AC5E3E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644E7097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782D00A6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2991E2E8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7F61EF85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7C19192E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03209B1F" w14:textId="77777777" w:rsidR="005405D7" w:rsidRDefault="005405D7" w:rsidP="005405D7">
      <w:pPr>
        <w:rPr>
          <w:rFonts w:ascii="Segoe UI Emoji" w:hAnsi="Segoe UI Emoji" w:cs="Segoe UI Emoji"/>
          <w:sz w:val="20"/>
          <w:szCs w:val="20"/>
        </w:rPr>
      </w:pPr>
    </w:p>
    <w:p w14:paraId="397D0BB3" w14:textId="69E7F7F6" w:rsidR="005405D7" w:rsidRDefault="005405D7" w:rsidP="005405D7">
      <w:pPr>
        <w:rPr>
          <w:b/>
          <w:bCs/>
          <w:sz w:val="22"/>
          <w:szCs w:val="22"/>
        </w:rPr>
      </w:pPr>
      <w:r w:rsidRPr="005405D7">
        <w:rPr>
          <w:rFonts w:ascii="Segoe UI Emoji" w:hAnsi="Segoe UI Emoji" w:cs="Segoe UI Emoji"/>
          <w:sz w:val="20"/>
          <w:szCs w:val="20"/>
        </w:rPr>
        <w:lastRenderedPageBreak/>
        <w:t>🔥</w:t>
      </w:r>
      <w:r w:rsidRPr="005405D7">
        <w:rPr>
          <w:sz w:val="20"/>
          <w:szCs w:val="20"/>
        </w:rPr>
        <w:t xml:space="preserve"> </w:t>
      </w:r>
      <w:r w:rsidRPr="005405D7">
        <w:rPr>
          <w:b/>
          <w:bCs/>
          <w:sz w:val="22"/>
          <w:szCs w:val="22"/>
        </w:rPr>
        <w:t>2. Thermodynamische Visualisierung</w:t>
      </w:r>
    </w:p>
    <w:p w14:paraId="6895CEA7" w14:textId="77777777" w:rsidR="005C125C" w:rsidRDefault="005C125C" w:rsidP="005C125C">
      <w:pPr>
        <w:ind w:left="357" w:firstLine="0"/>
        <w:rPr>
          <w:b/>
          <w:bCs/>
          <w:sz w:val="22"/>
          <w:szCs w:val="22"/>
        </w:rPr>
      </w:pPr>
    </w:p>
    <w:p w14:paraId="024CEE95" w14:textId="5C6968FF" w:rsidR="005C125C" w:rsidRPr="005C125C" w:rsidRDefault="005C125C" w:rsidP="005C125C">
      <w:pPr>
        <w:ind w:left="357" w:firstLine="0"/>
        <w:rPr>
          <w:sz w:val="20"/>
          <w:szCs w:val="20"/>
        </w:rPr>
      </w:pPr>
      <w:r w:rsidRPr="005C125C">
        <w:rPr>
          <w:sz w:val="20"/>
          <w:szCs w:val="20"/>
        </w:rPr>
        <w:t xml:space="preserve">Die Simulation des Mikroklimas zeigt die Wirksamkeit der </w:t>
      </w:r>
      <w:r w:rsidRPr="005C125C">
        <w:rPr>
          <w:b/>
          <w:bCs/>
          <w:sz w:val="20"/>
          <w:szCs w:val="20"/>
        </w:rPr>
        <w:t>PCM-gepufferten Kühlung</w:t>
      </w:r>
      <w:r w:rsidRPr="005C125C">
        <w:rPr>
          <w:sz w:val="20"/>
          <w:szCs w:val="20"/>
        </w:rPr>
        <w:t>. Während die Umgebungstemperatur des Ozeans (rote Linie) die Bleiche-Schwelle von 31° C überschreitet, bleibt das Wasser innerhalb der „The Deep-Breath“-Struktur stabil im sicheren Bereich.</w:t>
      </w:r>
    </w:p>
    <w:p w14:paraId="4154661F" w14:textId="380A7861" w:rsidR="005C125C" w:rsidRPr="005C125C" w:rsidRDefault="005C125C" w:rsidP="005C125C">
      <w:pPr>
        <w:numPr>
          <w:ilvl w:val="0"/>
          <w:numId w:val="4"/>
        </w:numPr>
        <w:rPr>
          <w:sz w:val="20"/>
          <w:szCs w:val="20"/>
        </w:rPr>
      </w:pPr>
      <w:r w:rsidRPr="005C125C">
        <w:rPr>
          <w:b/>
          <w:bCs/>
          <w:sz w:val="20"/>
          <w:szCs w:val="20"/>
        </w:rPr>
        <w:t>Temperaturkurve:</w:t>
      </w:r>
      <w:r w:rsidRPr="005C125C">
        <w:rPr>
          <w:sz w:val="20"/>
          <w:szCs w:val="20"/>
        </w:rPr>
        <w:t xml:space="preserve"> Das PCM glättet die Tagesspitzen um ca. 1,8-2,1° C.</w:t>
      </w:r>
    </w:p>
    <w:p w14:paraId="5DDE7892" w14:textId="77777777" w:rsidR="005C125C" w:rsidRPr="005C125C" w:rsidRDefault="005C125C" w:rsidP="005C125C">
      <w:pPr>
        <w:numPr>
          <w:ilvl w:val="0"/>
          <w:numId w:val="4"/>
        </w:numPr>
        <w:rPr>
          <w:sz w:val="20"/>
          <w:szCs w:val="20"/>
        </w:rPr>
      </w:pPr>
      <w:r w:rsidRPr="005C125C">
        <w:rPr>
          <w:b/>
          <w:bCs/>
          <w:sz w:val="20"/>
          <w:szCs w:val="20"/>
        </w:rPr>
        <w:t>Thermische Trägheit:</w:t>
      </w:r>
      <w:r w:rsidRPr="005C125C">
        <w:rPr>
          <w:sz w:val="20"/>
          <w:szCs w:val="20"/>
        </w:rPr>
        <w:t xml:space="preserve"> Die Phasenverschiebung (grüne Kurve) verhindert den Hitzeschock bei maximalem Sonnenstand.</w:t>
      </w:r>
    </w:p>
    <w:p w14:paraId="4EBE99A3" w14:textId="77777777" w:rsidR="005C125C" w:rsidRDefault="005C125C" w:rsidP="005405D7">
      <w:pPr>
        <w:rPr>
          <w:sz w:val="20"/>
          <w:szCs w:val="20"/>
        </w:rPr>
      </w:pPr>
    </w:p>
    <w:p w14:paraId="0067F073" w14:textId="77777777" w:rsidR="005C125C" w:rsidRPr="005405D7" w:rsidRDefault="005C125C" w:rsidP="005405D7">
      <w:pPr>
        <w:rPr>
          <w:sz w:val="20"/>
          <w:szCs w:val="20"/>
        </w:rPr>
      </w:pPr>
    </w:p>
    <w:p w14:paraId="5228A33D" w14:textId="439FFCDA" w:rsidR="005405D7" w:rsidRDefault="005C125C" w:rsidP="005405D7">
      <w:pPr>
        <w:ind w:left="357" w:firstLine="0"/>
        <w:rPr>
          <w:b/>
          <w:bCs/>
          <w:sz w:val="22"/>
          <w:szCs w:val="22"/>
        </w:rPr>
      </w:pPr>
      <w:r w:rsidRPr="005C125C">
        <w:rPr>
          <w:rFonts w:ascii="Segoe UI Symbol" w:hAnsi="Segoe UI Symbol" w:cs="Segoe UI Symbol"/>
          <w:b/>
          <w:bCs/>
          <w:sz w:val="22"/>
          <w:szCs w:val="22"/>
        </w:rPr>
        <w:t>🌪</w:t>
      </w:r>
      <w:r w:rsidRPr="005C125C">
        <w:rPr>
          <w:b/>
          <w:bCs/>
          <w:sz w:val="22"/>
          <w:szCs w:val="22"/>
        </w:rPr>
        <w:t>️ 3. Turbulenz- &amp; Grenzschichtvisualisierung</w:t>
      </w:r>
    </w:p>
    <w:p w14:paraId="03C8D777" w14:textId="29DA9A0B" w:rsidR="005C125C" w:rsidRPr="005C125C" w:rsidRDefault="005C125C" w:rsidP="005405D7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5E3666A" wp14:editId="3C372030">
            <wp:extent cx="5759450" cy="7239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4FC5" w14:textId="77777777" w:rsidR="005C125C" w:rsidRDefault="005C125C" w:rsidP="005405D7">
      <w:pPr>
        <w:ind w:left="357" w:firstLine="0"/>
        <w:rPr>
          <w:sz w:val="20"/>
          <w:szCs w:val="20"/>
        </w:rPr>
      </w:pPr>
    </w:p>
    <w:p w14:paraId="4523EEC5" w14:textId="69781493" w:rsidR="005405D7" w:rsidRDefault="005405D7" w:rsidP="005405D7">
      <w:pPr>
        <w:ind w:left="357" w:firstLine="0"/>
        <w:rPr>
          <w:b/>
          <w:bCs/>
          <w:sz w:val="22"/>
          <w:szCs w:val="22"/>
        </w:rPr>
      </w:pPr>
      <w:r w:rsidRPr="005405D7">
        <w:rPr>
          <w:rFonts w:ascii="Segoe UI Emoji" w:hAnsi="Segoe UI Emoji" w:cs="Segoe UI Emoji"/>
          <w:b/>
          <w:bCs/>
          <w:sz w:val="22"/>
          <w:szCs w:val="22"/>
        </w:rPr>
        <w:t>🌞</w:t>
      </w:r>
      <w:r w:rsidRPr="005405D7">
        <w:rPr>
          <w:b/>
          <w:bCs/>
          <w:sz w:val="22"/>
          <w:szCs w:val="22"/>
        </w:rPr>
        <w:t xml:space="preserve"> 4. Optische Simulation (Licht &amp; Schatten)</w:t>
      </w:r>
    </w:p>
    <w:p w14:paraId="18179CF7" w14:textId="77777777" w:rsidR="005405D7" w:rsidRPr="005405D7" w:rsidRDefault="005405D7" w:rsidP="005405D7">
      <w:pPr>
        <w:ind w:left="357" w:firstLine="0"/>
        <w:rPr>
          <w:b/>
          <w:bCs/>
          <w:sz w:val="22"/>
          <w:szCs w:val="22"/>
        </w:rPr>
      </w:pPr>
    </w:p>
    <w:p w14:paraId="14E6186E" w14:textId="77777777" w:rsidR="005405D7" w:rsidRP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 xml:space="preserve">Die photonische Oberflächenstruktur wirkt als </w:t>
      </w:r>
      <w:r w:rsidRPr="005405D7">
        <w:rPr>
          <w:b/>
          <w:bCs/>
          <w:sz w:val="20"/>
          <w:szCs w:val="20"/>
        </w:rPr>
        <w:t>selektiver Filter</w:t>
      </w:r>
      <w:r w:rsidRPr="005405D7">
        <w:rPr>
          <w:sz w:val="20"/>
          <w:szCs w:val="20"/>
        </w:rPr>
        <w:t>.</w:t>
      </w:r>
    </w:p>
    <w:p w14:paraId="5A43EB42" w14:textId="77777777" w:rsidR="005405D7" w:rsidRPr="005405D7" w:rsidRDefault="005405D7" w:rsidP="005405D7">
      <w:pPr>
        <w:numPr>
          <w:ilvl w:val="0"/>
          <w:numId w:val="2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UV-Blockade:</w:t>
      </w:r>
      <w:r w:rsidRPr="005405D7">
        <w:rPr>
          <w:sz w:val="20"/>
          <w:szCs w:val="20"/>
        </w:rPr>
        <w:t xml:space="preserve"> 85 % der schädlichen UV-A/B-Strahlung werden durch die Mikrolamellen reflektiert oder gestreut.</w:t>
      </w:r>
    </w:p>
    <w:p w14:paraId="7AA51EC3" w14:textId="77777777" w:rsidR="005405D7" w:rsidRDefault="005405D7" w:rsidP="005405D7">
      <w:pPr>
        <w:numPr>
          <w:ilvl w:val="0"/>
          <w:numId w:val="2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PAR-Erhalt:</w:t>
      </w:r>
      <w:r w:rsidRPr="005405D7">
        <w:rPr>
          <w:sz w:val="20"/>
          <w:szCs w:val="20"/>
        </w:rPr>
        <w:t xml:space="preserve"> 90 % des </w:t>
      </w:r>
      <w:proofErr w:type="spellStart"/>
      <w:r w:rsidRPr="005405D7">
        <w:rPr>
          <w:sz w:val="20"/>
          <w:szCs w:val="20"/>
        </w:rPr>
        <w:t>photosynthetisch</w:t>
      </w:r>
      <w:proofErr w:type="spellEnd"/>
      <w:r w:rsidRPr="005405D7">
        <w:rPr>
          <w:sz w:val="20"/>
          <w:szCs w:val="20"/>
        </w:rPr>
        <w:t xml:space="preserve"> aktiven Lichts (400–700 </w:t>
      </w:r>
      <w:proofErr w:type="spellStart"/>
      <w:r w:rsidRPr="005405D7">
        <w:rPr>
          <w:sz w:val="20"/>
          <w:szCs w:val="20"/>
        </w:rPr>
        <w:t>nm</w:t>
      </w:r>
      <w:proofErr w:type="spellEnd"/>
      <w:r w:rsidRPr="005405D7">
        <w:rPr>
          <w:sz w:val="20"/>
          <w:szCs w:val="20"/>
        </w:rPr>
        <w:t>) erreichen die Zooxanthellen über die Seitenflanken, was das Wachstum trotz Kühlung sichert.</w:t>
      </w:r>
    </w:p>
    <w:p w14:paraId="25BA8621" w14:textId="77777777" w:rsidR="005405D7" w:rsidRDefault="005405D7" w:rsidP="005405D7">
      <w:pPr>
        <w:rPr>
          <w:sz w:val="20"/>
          <w:szCs w:val="20"/>
        </w:rPr>
      </w:pPr>
    </w:p>
    <w:p w14:paraId="3E5B1894" w14:textId="77777777" w:rsidR="005405D7" w:rsidRDefault="005405D7" w:rsidP="005405D7">
      <w:pPr>
        <w:rPr>
          <w:sz w:val="20"/>
          <w:szCs w:val="20"/>
        </w:rPr>
      </w:pPr>
    </w:p>
    <w:p w14:paraId="09416A06" w14:textId="77777777" w:rsidR="005405D7" w:rsidRDefault="005405D7" w:rsidP="005405D7">
      <w:pPr>
        <w:rPr>
          <w:sz w:val="20"/>
          <w:szCs w:val="20"/>
        </w:rPr>
      </w:pPr>
    </w:p>
    <w:p w14:paraId="249F1BD2" w14:textId="06FB1598" w:rsidR="005405D7" w:rsidRDefault="005405D7" w:rsidP="005405D7">
      <w:pPr>
        <w:rPr>
          <w:b/>
          <w:bCs/>
          <w:sz w:val="22"/>
          <w:szCs w:val="22"/>
        </w:rPr>
      </w:pPr>
      <w:r w:rsidRPr="005405D7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5405D7">
        <w:rPr>
          <w:b/>
          <w:bCs/>
          <w:sz w:val="22"/>
          <w:szCs w:val="22"/>
        </w:rPr>
        <w:t xml:space="preserve"> 5. Materialphysik-Visualisierung</w:t>
      </w:r>
    </w:p>
    <w:p w14:paraId="1DD50DF5" w14:textId="77777777" w:rsidR="005405D7" w:rsidRPr="005405D7" w:rsidRDefault="005405D7" w:rsidP="005405D7">
      <w:pPr>
        <w:rPr>
          <w:b/>
          <w:bCs/>
          <w:sz w:val="22"/>
          <w:szCs w:val="22"/>
        </w:rPr>
      </w:pPr>
    </w:p>
    <w:p w14:paraId="4514C9ED" w14:textId="77777777" w:rsid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 xml:space="preserve">Das Geopolymer-Modell zeigt die mechanische Stabilität unter Strömungslast. Die Spannungsfelder konzentrieren sich auf die verstärkte Basis, während die </w:t>
      </w:r>
      <w:proofErr w:type="spellStart"/>
      <w:r w:rsidRPr="005405D7">
        <w:rPr>
          <w:sz w:val="20"/>
          <w:szCs w:val="20"/>
        </w:rPr>
        <w:t>Cradle</w:t>
      </w:r>
      <w:proofErr w:type="spellEnd"/>
      <w:r w:rsidRPr="005405D7">
        <w:rPr>
          <w:sz w:val="20"/>
          <w:szCs w:val="20"/>
        </w:rPr>
        <w:t>-Zone spannungsfrei bleibt, um die empfindlichen Skelettstrukturen der Jungkorallen nicht zu belasten.</w:t>
      </w:r>
    </w:p>
    <w:p w14:paraId="44D29543" w14:textId="77777777" w:rsidR="005405D7" w:rsidRDefault="005405D7" w:rsidP="005405D7">
      <w:pPr>
        <w:ind w:left="357" w:firstLine="0"/>
        <w:rPr>
          <w:sz w:val="20"/>
          <w:szCs w:val="20"/>
        </w:rPr>
      </w:pPr>
    </w:p>
    <w:p w14:paraId="0358559D" w14:textId="77777777" w:rsidR="005405D7" w:rsidRDefault="005405D7" w:rsidP="005405D7">
      <w:pPr>
        <w:ind w:left="357" w:firstLine="0"/>
        <w:rPr>
          <w:sz w:val="20"/>
          <w:szCs w:val="20"/>
        </w:rPr>
      </w:pPr>
    </w:p>
    <w:p w14:paraId="2850DE8F" w14:textId="77777777" w:rsidR="005405D7" w:rsidRDefault="005405D7" w:rsidP="005405D7">
      <w:pPr>
        <w:ind w:left="357" w:firstLine="0"/>
        <w:rPr>
          <w:b/>
          <w:bCs/>
          <w:sz w:val="22"/>
          <w:szCs w:val="22"/>
        </w:rPr>
      </w:pPr>
      <w:r w:rsidRPr="005405D7">
        <w:rPr>
          <w:rFonts w:ascii="Segoe UI Emoji" w:hAnsi="Segoe UI Emoji" w:cs="Segoe UI Emoji"/>
          <w:b/>
          <w:bCs/>
          <w:sz w:val="22"/>
          <w:szCs w:val="22"/>
        </w:rPr>
        <w:t>🌿</w:t>
      </w:r>
      <w:r w:rsidRPr="005405D7">
        <w:rPr>
          <w:b/>
          <w:bCs/>
          <w:sz w:val="22"/>
          <w:szCs w:val="22"/>
        </w:rPr>
        <w:t xml:space="preserve"> 6. Ökologische Wirkung – Mikroklima</w:t>
      </w:r>
    </w:p>
    <w:p w14:paraId="48E37C58" w14:textId="77777777" w:rsidR="005405D7" w:rsidRPr="005405D7" w:rsidRDefault="005405D7" w:rsidP="005405D7">
      <w:pPr>
        <w:ind w:left="357" w:firstLine="0"/>
        <w:rPr>
          <w:b/>
          <w:bCs/>
          <w:sz w:val="22"/>
          <w:szCs w:val="22"/>
        </w:rPr>
      </w:pPr>
    </w:p>
    <w:p w14:paraId="4176DA28" w14:textId="77777777" w:rsidR="005405D7" w:rsidRP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>Die biologische Auswertung zeigt zwei Schlüsselfaktoren für den Erfolg:</w:t>
      </w:r>
    </w:p>
    <w:p w14:paraId="079C11F1" w14:textId="77777777" w:rsidR="005405D7" w:rsidRPr="005405D7" w:rsidRDefault="005405D7" w:rsidP="005405D7">
      <w:pPr>
        <w:numPr>
          <w:ilvl w:val="0"/>
          <w:numId w:val="3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TSI (</w:t>
      </w:r>
      <w:proofErr w:type="spellStart"/>
      <w:r w:rsidRPr="005405D7">
        <w:rPr>
          <w:b/>
          <w:bCs/>
          <w:sz w:val="20"/>
          <w:szCs w:val="20"/>
        </w:rPr>
        <w:t>Temperature</w:t>
      </w:r>
      <w:proofErr w:type="spellEnd"/>
      <w:r w:rsidRPr="005405D7">
        <w:rPr>
          <w:b/>
          <w:bCs/>
          <w:sz w:val="20"/>
          <w:szCs w:val="20"/>
        </w:rPr>
        <w:t xml:space="preserve"> Stress Index):</w:t>
      </w:r>
      <w:r w:rsidRPr="005405D7">
        <w:rPr>
          <w:sz w:val="20"/>
          <w:szCs w:val="20"/>
        </w:rPr>
        <w:t xml:space="preserve"> Eine Reduktion des kumulativen Stresses um über 70 % im Vergleich zu ungeschützten Standorten.</w:t>
      </w:r>
    </w:p>
    <w:p w14:paraId="09690320" w14:textId="77777777" w:rsidR="005405D7" w:rsidRDefault="005405D7" w:rsidP="005405D7">
      <w:pPr>
        <w:numPr>
          <w:ilvl w:val="0"/>
          <w:numId w:val="3"/>
        </w:numPr>
        <w:rPr>
          <w:sz w:val="20"/>
          <w:szCs w:val="20"/>
        </w:rPr>
      </w:pPr>
      <w:r w:rsidRPr="005405D7">
        <w:rPr>
          <w:b/>
          <w:bCs/>
          <w:sz w:val="20"/>
          <w:szCs w:val="20"/>
        </w:rPr>
        <w:t>Larvenansiedlung:</w:t>
      </w:r>
      <w:r w:rsidRPr="005405D7">
        <w:rPr>
          <w:sz w:val="20"/>
          <w:szCs w:val="20"/>
        </w:rPr>
        <w:t xml:space="preserve"> Die strömungsoptimierten Taschen in der „</w:t>
      </w:r>
      <w:proofErr w:type="spellStart"/>
      <w:r w:rsidRPr="005405D7">
        <w:rPr>
          <w:sz w:val="20"/>
          <w:szCs w:val="20"/>
        </w:rPr>
        <w:t>Cradle</w:t>
      </w:r>
      <w:proofErr w:type="spellEnd"/>
      <w:r w:rsidRPr="005405D7">
        <w:rPr>
          <w:sz w:val="20"/>
          <w:szCs w:val="20"/>
        </w:rPr>
        <w:t xml:space="preserve">“ erhöhen die Ansiedlungswahrscheinlichkeit auf </w:t>
      </w:r>
      <w:r w:rsidRPr="005405D7">
        <w:rPr>
          <w:b/>
          <w:bCs/>
          <w:sz w:val="20"/>
          <w:szCs w:val="20"/>
        </w:rPr>
        <w:t>65 %</w:t>
      </w:r>
      <w:r w:rsidRPr="005405D7">
        <w:rPr>
          <w:sz w:val="20"/>
          <w:szCs w:val="20"/>
        </w:rPr>
        <w:t xml:space="preserve"> (gegenüber ca. 2 % im offenen Ozean).</w:t>
      </w:r>
    </w:p>
    <w:p w14:paraId="04D71894" w14:textId="77777777" w:rsidR="005405D7" w:rsidRDefault="005405D7" w:rsidP="005405D7">
      <w:pPr>
        <w:rPr>
          <w:sz w:val="20"/>
          <w:szCs w:val="20"/>
        </w:rPr>
      </w:pPr>
    </w:p>
    <w:p w14:paraId="25B631B7" w14:textId="77777777" w:rsidR="005405D7" w:rsidRDefault="005405D7" w:rsidP="005405D7">
      <w:pPr>
        <w:rPr>
          <w:sz w:val="20"/>
          <w:szCs w:val="20"/>
        </w:rPr>
      </w:pPr>
    </w:p>
    <w:p w14:paraId="1A497B45" w14:textId="77777777" w:rsidR="005405D7" w:rsidRDefault="005405D7" w:rsidP="005405D7">
      <w:pPr>
        <w:rPr>
          <w:b/>
          <w:bCs/>
          <w:sz w:val="20"/>
          <w:szCs w:val="20"/>
        </w:rPr>
      </w:pPr>
      <w:r w:rsidRPr="005405D7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5405D7">
        <w:rPr>
          <w:b/>
          <w:bCs/>
          <w:sz w:val="20"/>
          <w:szCs w:val="20"/>
        </w:rPr>
        <w:t xml:space="preserve"> 7. Gesamtintegration</w:t>
      </w:r>
    </w:p>
    <w:p w14:paraId="6779B8CE" w14:textId="77777777" w:rsidR="005405D7" w:rsidRPr="005405D7" w:rsidRDefault="005405D7" w:rsidP="005405D7">
      <w:pPr>
        <w:rPr>
          <w:b/>
          <w:bCs/>
          <w:sz w:val="20"/>
          <w:szCs w:val="20"/>
        </w:rPr>
      </w:pPr>
    </w:p>
    <w:p w14:paraId="3B62AEBD" w14:textId="43B3A774" w:rsidR="005405D7" w:rsidRDefault="005405D7" w:rsidP="005405D7">
      <w:pPr>
        <w:ind w:left="357" w:firstLine="0"/>
        <w:rPr>
          <w:sz w:val="20"/>
          <w:szCs w:val="20"/>
        </w:rPr>
      </w:pPr>
      <w:r w:rsidRPr="005405D7">
        <w:rPr>
          <w:sz w:val="20"/>
          <w:szCs w:val="20"/>
        </w:rPr>
        <w:t xml:space="preserve">Die kombinierten Daten bestätigen: „The Deep-Breath“ erzeugt eine autarke </w:t>
      </w:r>
      <w:r w:rsidRPr="005405D7">
        <w:rPr>
          <w:b/>
          <w:bCs/>
          <w:sz w:val="20"/>
          <w:szCs w:val="20"/>
        </w:rPr>
        <w:t>„Survival Bubble“</w:t>
      </w:r>
      <w:r w:rsidRPr="005405D7">
        <w:rPr>
          <w:sz w:val="20"/>
          <w:szCs w:val="20"/>
        </w:rPr>
        <w:t>. Selbst bei einer globalen Erwärmung, die herkömmliche Riffe kollabieren lässt, bietet dieses System das notwendige thermische und chemische Zeitfenster für die Regeneration.</w:t>
      </w:r>
    </w:p>
    <w:p w14:paraId="65819535" w14:textId="77777777" w:rsidR="008B00F2" w:rsidRDefault="008B00F2" w:rsidP="005405D7">
      <w:pPr>
        <w:ind w:left="357" w:firstLine="0"/>
        <w:rPr>
          <w:sz w:val="20"/>
          <w:szCs w:val="20"/>
        </w:rPr>
      </w:pPr>
    </w:p>
    <w:p w14:paraId="135665AD" w14:textId="745B6A7D" w:rsidR="008B00F2" w:rsidRDefault="008B00F2" w:rsidP="005405D7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9548BB2" wp14:editId="2BF86C31">
            <wp:extent cx="5759450" cy="575945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573C" w14:textId="382A3BB1" w:rsidR="008B00F2" w:rsidRPr="005405D7" w:rsidRDefault="008B00F2" w:rsidP="005405D7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FF3E6CC" wp14:editId="6EFB4245">
            <wp:extent cx="5759450" cy="575945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0F2" w:rsidRPr="005405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692D"/>
    <w:multiLevelType w:val="multilevel"/>
    <w:tmpl w:val="834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574D1"/>
    <w:multiLevelType w:val="multilevel"/>
    <w:tmpl w:val="7766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3D02A0"/>
    <w:multiLevelType w:val="multilevel"/>
    <w:tmpl w:val="D41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57BCD"/>
    <w:multiLevelType w:val="multilevel"/>
    <w:tmpl w:val="67D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11963">
    <w:abstractNumId w:val="0"/>
  </w:num>
  <w:num w:numId="2" w16cid:durableId="1958758539">
    <w:abstractNumId w:val="2"/>
  </w:num>
  <w:num w:numId="3" w16cid:durableId="1272860295">
    <w:abstractNumId w:val="1"/>
  </w:num>
  <w:num w:numId="4" w16cid:durableId="825365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9A"/>
    <w:rsid w:val="00025262"/>
    <w:rsid w:val="001B2A77"/>
    <w:rsid w:val="00257FFB"/>
    <w:rsid w:val="003A1E4F"/>
    <w:rsid w:val="00474305"/>
    <w:rsid w:val="00516ED9"/>
    <w:rsid w:val="005405D7"/>
    <w:rsid w:val="00552657"/>
    <w:rsid w:val="005C125C"/>
    <w:rsid w:val="005E6EE2"/>
    <w:rsid w:val="00702879"/>
    <w:rsid w:val="007807DD"/>
    <w:rsid w:val="008B00F2"/>
    <w:rsid w:val="00B84253"/>
    <w:rsid w:val="00BD65D8"/>
    <w:rsid w:val="00C0409A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41055"/>
  <w15:chartTrackingRefBased/>
  <w15:docId w15:val="{5A7B6B5C-EB64-48DC-838E-72E819AB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40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40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40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40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40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40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40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40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40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40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409A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4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40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40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40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40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4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368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2026-02-15T13:01:00Z</dcterms:created>
  <dcterms:modified xsi:type="dcterms:W3CDTF">2026-02-15T14:18:00Z</dcterms:modified>
</cp:coreProperties>
</file>