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Dispute Integrity Gate / FECL</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CARVE: Cost-aware, Risk-controlled Financial Evidence Verification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STATUS</w:t>
              <w:br/>
              <w:t>Implemented synthetic research prototype</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OWNER</w:t>
              <w:br/>
              <w:t>Dispute Integrity Gate team</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LAST UPDATED</w:t>
              <w:br/>
              <w:t>September 2, 2026</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Dispute Integrity Gate team</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Razorpay AI Buildathon judges; fintech risk and ML reviewers</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docs/00-SOURCE-OF-TRUTH.md; docs/05-PRD.md; docs/06-SRS.md; CARVE research paper</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Read-only refund-not-processed financial evidence consistency verification</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CARVE is a defense-only verifier for refund/credit-not-processed disputes. It turns untrusted communication into exact grounded claims, reconciles those claims against authoritative payment/refund state, compiles supported financial invariants, and returns PASS, REVIEW, or a provenance-grounded BLOCK certificate.</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synthetic research system supports interactive evidence import, deliberate failure cases, active acquisition of missing authoritative evidence, replayable artifacts, and human repair. It does not submit disputes, move money, predict dispute wins, claim production prevalence, or let learned models override deterministic truth.</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Ground every learned claim to an exact source span</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Predict dispute wins or legal validity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authoritative financial invariants outside models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Automate accept, contest, refund, or payment actions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Measure false-PASS exposure and safe abstention</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Claim production performance from synthetic data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Make evidence acquisition and repair auditable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Support every dispute reason, language, document, or network</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Refund disputes can contain plausible but mutually inconsistent emails, refund exports, amounts, references, currencies, and timestamps. Generic summaries obscure causality; manual checking is slow; and missing evidence can be mistaken for absence. The narrow loss is merchant exposure caused by submitting internally inconsistent evidence.</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boundary is a read-only merchant-side pre-submission gate. Evidence ingestion and semantic extraction are untrusted. Immutable structured state and compiled invariants own financial truth. Unsupported, OOD, malformed, incomplete, or unavailable inputs fail closed to REVIEW.</w:t>
      </w:r>
      <w:r>
        <w:rPr>
          <w:rFonts w:ascii="Helvetica Neue" w:cs="Helvetica Neue" w:eastAsia="Helvetica Neue" w:hAnsi="Helvetica Neue"/>
          <w:sz w:val="13"/>
          <w:szCs w:val="13"/>
          <w:vertAlign w:val="superscript"/>
        </w:rPr>
      </w:r>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CARVE authority boundary and evidence-to-decision flow.</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Evidence ingestion/provenance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Validate bounded input, identifiers, digests, and source metadata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Ephemeral request plus append-only local audit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Malformed or unsupported input returns REVIEW/rejection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Semantic relation extractor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Nominate typed claims with exact source quotes and spans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Frozen model artifact plus versioned schema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Outage, ungrounded output, or OOD returns REVIEW</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Deterministic verifier/proof compiler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Reconcile amounts, references, currency, state, and time; emit certificate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Authoritative snapshot plus constraint trace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Incomplete state returns REVIEW; proven conflict returns BLOCK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Residual risk/selective controller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Compare frozen research candidates and abstain under unsupported risk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Model/calibration artifacts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Cannot override hard truth; invalid certificate returns REVIEW</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Evidence acquisition/audit UI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Request minimum supported missing evidence; show repair and decision diff</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Local sample bundles and artifact hashes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No network or money write; acquisition failure remains REVIEW</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1. A synthetic case bundle or local JSON/TXT input enters the evidence boundary with provenance metadata.</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2. Schema, money precision, source type, digest, scope, and exact-span grounding are validated.</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3. The reason profile, authoritative payment/refund snapshot, frozen model artifacts, and risk policy are loaded by version and digest.</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4. The semantic layer nominates typed relations; deterministic reconciliation and the proof compiler decide whether supported constraints are SAT, UNSAT, or INCOMPLETE.</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5. The run digest, grounded spans, constraint trace, decision, acquisition request, and certificate are appended to local audit output before analyst handoff.</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6. If evidence is incomplete, CARVE requests the minimum-cost supported evidence item. Timeouts, outages, OOD inputs, or invalid artifacts terminate in REVIEW.</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7. The UI renders the exact evidence, decision authority, before/after repair diff, and zero-network-write boundary; generated metrics remain isolated under /evaluation and /research.</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raw_reason_code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Preserved verbatim; bounded to the supported local reason profile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customer_communication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Untrusted semantic source; exact quotes and offsets required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payment_amount_inr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decimal 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Parsed deterministically into integer minor units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refund_ledger_complete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boolean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Controls whether absence can be treated as authoritative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refund_status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Local refund lifecycle state; never inferred by a model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refund_amount_inr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decimal string/null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Conditional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Required when a refund record exists; at most 2 decimals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simulation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Bounded failure injection for local model-outage testing</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Every decision-relevant semantic claim must be schema-valid and resolve to an exact source span before deterministic verification.</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Runs use content digests and stable case/evidence identifiers; local replays are idempotent and perform no external financial action.</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Dataset, split, model, threshold, calibration, code, request, evidence, proof, and result digests are captured for audit and replay.</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Learned scores are advisory residual-risk evidence only; authoritative payment/refund state and failed financial invariants remain the source of truth.</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Versioned contracts are maintained in backend/app/carve.py, backend/app/sandbox_api.py, and data/financial-evidence-integrity/v4.5/.</w:t>
      </w:r>
      <w:r>
        <w:rPr>
          <w:rtl w:val="0"/>
        </w:rPr>
      </w:r>
    </w:p>
    <w:p w14:paraId="0000008E">
      <w:pPr>
        <w:spacing w:after="110" w:line="300" w:lineRule="auto"/>
        <w:rPr>
          <w:rFonts w:ascii="Helvetica Neue" w:cs="Helvetica Neue" w:eastAsia="Helvetica Neue" w:hAnsi="Helvetica Neue"/>
        </w:rPr>
      </w:pPr>
      <w:r>
        <w:t>Any schema or supported-relation change requires an explicit benchmark version bump and a new freeze protocol.</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Evidence digests protect identity relative to recorded content, not source authenticity. Family-grouped splits keep causal pairs together. The frozen TEST receipt prevents reruns after threshold selection. Duplicate local runs produce stable request digests; partial proof state is REVIEW, never an inferred PASS.</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Duplicate local request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Stable request digest; repeatable result; no side effect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sandbox is ephemeral and read-only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Missing authoritative refund export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REVIEW plus REQUEST_REFUND_EXPORT cost 1</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Missing state cannot prove agreement or contradiction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 outage, OOD, or malformed semantics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REVIEW or input rejection; never PASS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Degraded semantics cannot silently clear the gate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Artifact or policy changes during execution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the frozen version/digest captured at run start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Mid-run authority changes would break replayability</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Webhook ingestion uses raw-body HMAC and event identifiers; the live research instrument accepts only bounded local synthetic inputs.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Evidence text is treated as untrusted and remains local in the demo; logs must exclude secrets and avoid claiming full de-identification.</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Models receive no payment credentials, database credentials, write tools, or unrestricted network access.</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Replay, debugging, and acquisition default to read-only behavior; malformed artifacts, digest failures, and provider outages route to REVIEW.</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Production retention, deletion, residency, tenant isolation, and consent policy remain deployment prerequisites and are not claimed by the synthetic prototype.</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False-PASS count and rupee exposure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0 on frozen synthetic TEST; production target NOT YET MEASURED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Risk/ML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End-to-end 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Artifact-backed p50/p95 reported; production SLO NOT YET MEASURED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ML platform</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 before production</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REVIEW, outage, and OOD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Slice and trend monitoring; production thresholds NOT YET MEASURED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Risk operations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 before shadow launch</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Dataset/model/policy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Digest mismatch fails closed; drift thresholds need governed real data</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 risk</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Replay and certificate integrity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Every frozen release reruns integrity tests; TEST receipt remains one-shot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Engineering</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synthetic demo only. Real-data validation, security review, provenance integration, browser/accessibility QA, rollback rehearsal, and owner approval are required before read-only shadow deployment.</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Rules-only verifier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Perfect frozen financial reconciliation and simplest authority boundary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Retained as selected decision baseline, but cannot generalize semantic relation extraction alone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End-to-end LLM decision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Flexible language handling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Ungrounded outputs, calibration limits, cost, and unacceptable authority leakage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Model-stacked ensemble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Potential aggregate predictive lift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justified lift over simpler deterministic truth and increased failure surface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Autonomous dispute agent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Could reduce operator steps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Outside defense-only scope and unsafe for consequential financial actions</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governed real-dispute corpus can support external validation?</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authoritative read surfaces can production acquisition use?</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prevalence and rupee cost matrix should set risk thresholds?</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Who owns model risk, incidents, drift, and override policy?</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Retain deterministic proof as the decision authority and learned relations only in their measured narrow role. Next: governed real-data validation, browser/accessibility QA, and a safety-approved read-only shadow deployment.</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Frozen synthetic CARVE and live debugger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Integrity, one-shot receipt, sample replay, and no-write gates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Governed real-data validation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Blind holdout, annotation agreement, intervals, and cost review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Read-only shadow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Provenance, monitoring, rollback, accessibility, and incident gates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Limited analyst pilot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Stable safety metrics, human-factors evidence, and model-risk approval</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Dispute Integrity Gate | CARVE System Design</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CARVE System Design</dc:title>
  <cp:lastModifiedBy>python-docx</cp:lastModifiedBy>
  <cp:revision>1</cp:revision>
  <dcterms:modified xsi:type="dcterms:W3CDTF">2026-09-01T18:38:22Z</dcterms:modified>
  <dc:subject>Defense-only financial evidence consistency verification</dc:subject>
  <dc:creator>Dispute Integrity Gate team</dc:creator>
</cp:coreProperties>
</file>