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DA6177">
      <w:pPr>
        <w:keepNext w:val="0"/>
        <w:keepLines w:val="0"/>
        <w:widowControl/>
        <w:suppressLineNumbers w:val="0"/>
        <w:rPr>
          <w:rFonts w:hint="default" w:ascii="Calibri" w:hAnsi="Calibri" w:eastAsia="楷体" w:cs="Calibri"/>
          <w:sz w:val="24"/>
          <w:lang w:val="en-US" w:eastAsia="zh-CN"/>
        </w:rPr>
      </w:pPr>
      <w:r>
        <w:rPr>
          <w:rFonts w:hint="default" w:ascii="Calibri" w:hAnsi="Calibri" w:eastAsia="楷体" w:cs="Calibri"/>
          <w:sz w:val="24"/>
          <w:lang w:val="en-US" w:eastAsia="zh-CN"/>
        </w:rPr>
        <w:t>美国，审核</w:t>
      </w:r>
    </w:p>
    <w:p w14:paraId="3193E29C">
      <w:pPr>
        <w:keepNext w:val="0"/>
        <w:keepLines w:val="0"/>
        <w:widowControl/>
        <w:suppressLineNumbers w:val="0"/>
        <w:rPr>
          <w:rFonts w:hint="default" w:ascii="Calibri" w:hAnsi="Calibri" w:eastAsia="楷体" w:cs="Calibri"/>
        </w:rPr>
      </w:pPr>
      <w:r>
        <w:rPr>
          <w:rFonts w:hint="default" w:ascii="Calibri" w:hAnsi="Calibri" w:eastAsia="楷体" w:cs="Calibri"/>
          <w:sz w:val="24"/>
        </w:rPr>
        <w:t>·</w:t>
      </w:r>
      <w:r>
        <w:rPr>
          <w:rFonts w:hint="default" w:ascii="Calibri" w:hAnsi="Calibri" w:eastAsia="楷体" w:cs="Calibri"/>
          <w:sz w:val="24"/>
        </w:rPr>
        <w:t xml:space="preserve">  </w:t>
      </w:r>
      <w:r>
        <w:rPr>
          <w:rStyle w:val="7"/>
          <w:rFonts w:hint="default" w:ascii="Calibri" w:hAnsi="Calibri" w:eastAsia="楷体" w:cs="Calibri"/>
        </w:rPr>
        <w:t>稳定币牌照/批准名称</w:t>
      </w:r>
      <w:r>
        <w:rPr>
          <w:rFonts w:hint="default" w:ascii="Calibri" w:hAnsi="Calibri" w:eastAsia="楷体" w:cs="Calibri"/>
        </w:rPr>
        <w:t>：Approval as a permitted payment stablecoin issuer（受许可支付稳定币发行者批准）或 Federal qualified nonbank payment stablecoin issuer（联邦合格非银行支付稳定币发行者）。</w:t>
      </w:r>
    </w:p>
    <w:p w14:paraId="471B1D3A">
      <w:pPr>
        <w:keepNext w:val="0"/>
        <w:keepLines w:val="0"/>
        <w:widowControl/>
        <w:suppressLineNumbers w:val="0"/>
        <w:rPr>
          <w:rFonts w:hint="default" w:ascii="Calibri" w:hAnsi="Calibri" w:eastAsia="楷体" w:cs="Calibri"/>
        </w:rPr>
      </w:pPr>
      <w:r>
        <w:rPr>
          <w:rFonts w:hint="default" w:ascii="Calibri" w:hAnsi="Calibri" w:eastAsia="楷体" w:cs="Calibri"/>
          <w:sz w:val="24"/>
        </w:rPr>
        <w:t>·</w:t>
      </w:r>
      <w:r>
        <w:rPr>
          <w:rFonts w:hint="default" w:ascii="Calibri" w:hAnsi="Calibri" w:eastAsia="楷体" w:cs="Calibri"/>
          <w:sz w:val="24"/>
        </w:rPr>
        <w:t xml:space="preserve">  </w:t>
      </w:r>
      <w:r>
        <w:rPr>
          <w:rStyle w:val="7"/>
          <w:rFonts w:hint="default" w:ascii="Calibri" w:hAnsi="Calibri" w:eastAsia="楷体" w:cs="Calibri"/>
        </w:rPr>
        <w:t>制度类型</w:t>
      </w:r>
      <w:r>
        <w:rPr>
          <w:rFonts w:hint="default" w:ascii="Calibri" w:hAnsi="Calibri" w:eastAsia="楷体" w:cs="Calibri"/>
        </w:rPr>
        <w:t>：批准制（pre-issuance approval system，即需事先获得批准，但非正式“牌照”，而是监管批准；申请须在发行前提交并获批）。</w:t>
      </w:r>
    </w:p>
    <w:p w14:paraId="29DF7366">
      <w:pPr>
        <w:keepNext w:val="0"/>
        <w:keepLines w:val="0"/>
        <w:widowControl/>
        <w:suppressLineNumbers w:val="0"/>
        <w:rPr>
          <w:rFonts w:hint="default" w:ascii="Calibri" w:hAnsi="Calibri" w:eastAsia="楷体" w:cs="Calibri"/>
          <w:sz w:val="24"/>
        </w:rPr>
      </w:pPr>
    </w:p>
    <w:p w14:paraId="5BA8A5A2">
      <w:pPr>
        <w:keepNext w:val="0"/>
        <w:keepLines w:val="0"/>
        <w:widowControl/>
        <w:suppressLineNumbers w:val="0"/>
        <w:rPr>
          <w:rFonts w:hint="default" w:ascii="Calibri" w:hAnsi="Calibri" w:eastAsia="楷体" w:cs="Calibri"/>
        </w:rPr>
      </w:pPr>
      <w:r>
        <w:rPr>
          <w:rFonts w:hint="default" w:ascii="Calibri" w:hAnsi="Calibri" w:eastAsia="楷体" w:cs="Calibri"/>
          <w:sz w:val="24"/>
        </w:rPr>
        <w:t>·</w:t>
      </w:r>
      <w:r>
        <w:rPr>
          <w:rFonts w:hint="default" w:ascii="Calibri" w:hAnsi="Calibri" w:eastAsia="楷体" w:cs="Calibri"/>
          <w:sz w:val="24"/>
        </w:rPr>
        <w:t xml:space="preserve">  </w:t>
      </w:r>
      <w:r>
        <w:rPr>
          <w:rFonts w:hint="default" w:ascii="Calibri" w:hAnsi="Calibri" w:eastAsia="楷体" w:cs="Calibri"/>
        </w:rPr>
        <w:t>SEC. 5(a)(1): "Each primary Federal payment stablecoin regulator shall receive, review, and consider for approval applications from any insured depository institution that seeks to issue payment stablecoins through a subsidiary and any nonbank entity that seeks to issue payment stablecoins as a Federal qualified nonbank payment stablecoin issuer."</w:t>
      </w:r>
    </w:p>
    <w:p w14:paraId="4902A53E">
      <w:pPr>
        <w:keepNext w:val="0"/>
        <w:keepLines w:val="0"/>
        <w:widowControl/>
        <w:suppressLineNumbers w:val="0"/>
        <w:rPr>
          <w:rFonts w:hint="default" w:ascii="Calibri" w:hAnsi="Calibri" w:eastAsia="楷体" w:cs="Calibri"/>
        </w:rPr>
      </w:pPr>
      <w:r>
        <w:rPr>
          <w:rFonts w:hint="default" w:ascii="Calibri" w:hAnsi="Calibri" w:eastAsia="楷体" w:cs="Calibri"/>
          <w:sz w:val="24"/>
        </w:rPr>
        <w:t>·</w:t>
      </w:r>
      <w:r>
        <w:rPr>
          <w:rFonts w:hint="default" w:ascii="Calibri" w:hAnsi="Calibri" w:eastAsia="楷体" w:cs="Calibri"/>
          <w:sz w:val="24"/>
        </w:rPr>
        <w:t xml:space="preserve">  </w:t>
      </w:r>
      <w:r>
        <w:rPr>
          <w:rFonts w:hint="default" w:ascii="Calibri" w:hAnsi="Calibri" w:eastAsia="楷体" w:cs="Calibri"/>
        </w:rPr>
        <w:t>SEC. 5(d)(1)(A): "Not later than 120 days after receiving a substantially complete application under subsection (a), a primary Federal payment stablecoin regulator shall render a decision on the application."</w:t>
      </w:r>
    </w:p>
    <w:p w14:paraId="627BAD23">
      <w:pPr>
        <w:keepNext w:val="0"/>
        <w:keepLines w:val="0"/>
        <w:widowControl/>
        <w:suppressLineNumbers w:val="0"/>
        <w:rPr>
          <w:rFonts w:hint="default" w:ascii="Calibri" w:hAnsi="Calibri" w:eastAsia="楷体" w:cs="Calibri"/>
        </w:rPr>
      </w:pPr>
      <w:r>
        <w:rPr>
          <w:rFonts w:hint="default" w:ascii="Calibri" w:hAnsi="Calibri" w:eastAsia="楷体" w:cs="Calibri"/>
          <w:sz w:val="24"/>
        </w:rPr>
        <w:t>·</w:t>
      </w:r>
      <w:r>
        <w:rPr>
          <w:rFonts w:hint="default" w:ascii="Calibri" w:hAnsi="Calibri" w:eastAsia="楷体" w:cs="Calibri"/>
          <w:sz w:val="24"/>
        </w:rPr>
        <w:t xml:space="preserve">  </w:t>
      </w:r>
      <w:r>
        <w:rPr>
          <w:rFonts w:hint="default" w:ascii="Calibri" w:hAnsi="Calibri" w:eastAsia="楷体" w:cs="Calibri"/>
        </w:rPr>
        <w:t>定义 (SEC. 2(8)): "“Federal qualified nonbank payment stablecoin issuer” means a nonbank entity, other than a State qualified payment stablecoin issuer, approved by the Comptroller, pursuant to section 5, to issue payment stablecoins."</w:t>
      </w:r>
    </w:p>
    <w:p w14:paraId="34940C7C">
      <w:pPr>
        <w:keepNext w:val="0"/>
        <w:keepLines w:val="0"/>
        <w:widowControl/>
        <w:suppressLineNumbers w:val="0"/>
        <w:rPr>
          <w:rFonts w:hint="default" w:ascii="Calibri" w:hAnsi="Calibri" w:eastAsia="楷体" w:cs="Calibri"/>
        </w:rPr>
      </w:pPr>
    </w:p>
    <w:p w14:paraId="60D5CD76">
      <w:pPr>
        <w:pStyle w:val="3"/>
        <w:keepNext w:val="0"/>
        <w:keepLines w:val="0"/>
        <w:widowControl/>
        <w:suppressLineNumbers w:val="0"/>
      </w:pPr>
      <w:r>
        <w:t>香港 (Hong Kong)</w:t>
      </w:r>
    </w:p>
    <w:p w14:paraId="066E5DF7">
      <w:pPr>
        <w:keepNext w:val="0"/>
        <w:keepLines w:val="0"/>
        <w:widowControl/>
        <w:numPr>
          <w:ilvl w:val="0"/>
          <w:numId w:val="1"/>
        </w:numPr>
        <w:suppressLineNumbers w:val="0"/>
        <w:spacing w:before="0" w:beforeAutospacing="1" w:after="0" w:afterAutospacing="1"/>
        <w:ind w:left="720" w:hanging="360"/>
      </w:pPr>
      <w:r>
        <w:rPr>
          <w:rStyle w:val="7"/>
        </w:rPr>
        <w:t>最新法案</w:t>
      </w:r>
      <w:r>
        <w:t>：Stablecoins Ordinance (第17章，2025年生效，2025年8月1日开始运作)。</w:t>
      </w:r>
    </w:p>
    <w:p w14:paraId="3F158BCC">
      <w:pPr>
        <w:keepNext w:val="0"/>
        <w:keepLines w:val="0"/>
        <w:widowControl/>
        <w:numPr>
          <w:ilvl w:val="0"/>
          <w:numId w:val="1"/>
        </w:numPr>
        <w:suppressLineNumbers w:val="0"/>
        <w:spacing w:before="0" w:beforeAutospacing="1" w:after="0" w:afterAutospacing="1"/>
        <w:ind w:left="720" w:hanging="360"/>
      </w:pPr>
      <w:r>
        <w:rPr>
          <w:rStyle w:val="7"/>
        </w:rPr>
        <w:t>稳定币牌照名称</w:t>
      </w:r>
      <w:r>
        <w:t>：Stablecoin licence（稳定币牌照）。</w:t>
      </w:r>
    </w:p>
    <w:p w14:paraId="3E3460D7">
      <w:pPr>
        <w:keepNext w:val="0"/>
        <w:keepLines w:val="0"/>
        <w:widowControl/>
        <w:numPr>
          <w:ilvl w:val="0"/>
          <w:numId w:val="1"/>
        </w:numPr>
        <w:suppressLineNumbers w:val="0"/>
        <w:spacing w:before="0" w:beforeAutospacing="1" w:after="0" w:afterAutospacing="1"/>
        <w:ind w:left="720" w:hanging="360"/>
      </w:pPr>
      <w:r>
        <w:rPr>
          <w:rStyle w:val="7"/>
        </w:rPr>
        <w:t>制度类型</w:t>
      </w:r>
      <w:r>
        <w:t>：牌照制（licensing regime，即事前发放牌照；任何人从事受监管稳定币活动须事先获得HKMA牌照，否则违法）。</w:t>
      </w:r>
    </w:p>
    <w:p w14:paraId="555C4DAE">
      <w:pPr>
        <w:keepNext w:val="0"/>
        <w:keepLines w:val="0"/>
        <w:widowControl/>
        <w:numPr>
          <w:ilvl w:val="0"/>
          <w:numId w:val="1"/>
        </w:numPr>
        <w:suppressLineNumbers w:val="0"/>
        <w:spacing w:before="0" w:beforeAutospacing="1" w:after="0" w:afterAutospacing="1"/>
        <w:ind w:left="720" w:hanging="360"/>
      </w:pPr>
      <w:r>
        <w:rPr>
          <w:rStyle w:val="7"/>
        </w:rPr>
        <w:t>相关原文条款引用</w:t>
      </w:r>
      <w:r>
        <w:t xml:space="preserve">： </w:t>
      </w:r>
    </w:p>
    <w:p w14:paraId="506D596F">
      <w:pPr>
        <w:keepNext w:val="0"/>
        <w:keepLines w:val="0"/>
        <w:widowControl/>
        <w:numPr>
          <w:ilvl w:val="1"/>
          <w:numId w:val="1"/>
        </w:numPr>
        <w:suppressLineNumbers w:val="0"/>
        <w:spacing w:before="0" w:beforeAutospacing="1" w:after="0" w:afterAutospacing="1"/>
        <w:ind w:left="1440" w:hanging="360"/>
      </w:pPr>
      <w:r>
        <w:t>Section 2(1): "stablecoin licence (穩定幣牌照) means a licence granted under section 10 to carry on a regulated activity in relation to a specified stablecoin."</w:t>
      </w:r>
    </w:p>
    <w:p w14:paraId="1C7F995B">
      <w:pPr>
        <w:keepNext w:val="0"/>
        <w:keepLines w:val="0"/>
        <w:widowControl/>
        <w:numPr>
          <w:ilvl w:val="1"/>
          <w:numId w:val="1"/>
        </w:numPr>
        <w:suppressLineNumbers w:val="0"/>
        <w:spacing w:before="0" w:beforeAutospacing="1" w:after="0" w:afterAutospacing="1"/>
        <w:ind w:left="1440" w:hanging="360"/>
      </w:pPr>
      <w:r>
        <w:t>Section 4: "A person commits an offence if the person, without a stablecoin licence, in Hong Kong or Hong Kong waters—(a) issues a specified stablecoin; or (b) actively markets the issue of a specified stablecoin to the public in Hong Kong."</w:t>
      </w:r>
    </w:p>
    <w:p w14:paraId="30230ED8">
      <w:pPr>
        <w:keepNext w:val="0"/>
        <w:keepLines w:val="0"/>
        <w:widowControl/>
        <w:numPr>
          <w:ilvl w:val="1"/>
          <w:numId w:val="1"/>
        </w:numPr>
        <w:suppressLineNumbers w:val="0"/>
        <w:spacing w:before="0" w:beforeAutospacing="1" w:after="0" w:afterAutospacing="1"/>
        <w:ind w:left="1440" w:hanging="360"/>
      </w:pPr>
      <w:r>
        <w:t>Section 10: "The Authority may, on application, grant a stablecoin licence to an applicant if the Authority is satisfied that the applicant meets the licensing criteria."</w:t>
      </w:r>
    </w:p>
    <w:p w14:paraId="5CE1B3F2">
      <w:pPr>
        <w:keepNext w:val="0"/>
        <w:keepLines w:val="0"/>
        <w:widowControl/>
        <w:suppressLineNumbers w:val="0"/>
        <w:rPr>
          <w:rFonts w:hint="default" w:ascii="Calibri" w:hAnsi="Calibri" w:eastAsia="楷体" w:cs="Calibri"/>
        </w:rPr>
      </w:pPr>
      <w:r>
        <w:rPr>
          <w:rFonts w:hint="default" w:ascii="Calibri" w:hAnsi="Calibri" w:eastAsia="楷体" w:cs="Calibri"/>
        </w:rPr>
        <w:t>https://www.elegislation.gov.hk/hk/cap656</w:t>
      </w:r>
    </w:p>
    <w:p w14:paraId="156CB7D6">
      <w:pPr>
        <w:rPr>
          <w:rFonts w:hint="default" w:ascii="Calibri" w:hAnsi="Calibri" w:eastAsia="楷体" w:cs="Calibri"/>
        </w:rPr>
      </w:pPr>
    </w:p>
    <w:p w14:paraId="361AB60B">
      <w:pPr>
        <w:rPr>
          <w:rFonts w:hint="default" w:ascii="Calibri" w:hAnsi="Calibri" w:eastAsia="楷体" w:cs="Calibri"/>
        </w:rPr>
      </w:pPr>
    </w:p>
    <w:p w14:paraId="28C042EA">
      <w:pPr>
        <w:rPr>
          <w:rFonts w:hint="default" w:ascii="Calibri" w:hAnsi="Calibri" w:eastAsia="楷体" w:cs="Calibri"/>
        </w:rPr>
      </w:pPr>
    </w:p>
    <w:p w14:paraId="12C819AF">
      <w:pPr>
        <w:rPr>
          <w:rFonts w:hint="default" w:ascii="Calibri" w:hAnsi="Calibri" w:eastAsia="楷体" w:cs="Calibri"/>
        </w:rPr>
      </w:pPr>
    </w:p>
    <w:p w14:paraId="4B5C74AD">
      <w:pPr>
        <w:rPr>
          <w:rFonts w:hint="default" w:ascii="Calibri" w:hAnsi="Calibri" w:eastAsia="楷体" w:cs="Calibri"/>
        </w:rPr>
      </w:pPr>
    </w:p>
    <w:p w14:paraId="6C14C401">
      <w:pPr>
        <w:rPr>
          <w:rFonts w:hint="default" w:ascii="Calibri" w:hAnsi="Calibri" w:eastAsia="楷体" w:cs="Calibri"/>
        </w:rPr>
      </w:pPr>
    </w:p>
    <w:p w14:paraId="7F7553D1">
      <w:pPr>
        <w:rPr>
          <w:rFonts w:hint="default" w:ascii="Calibri" w:hAnsi="Calibri" w:eastAsia="楷体" w:cs="Calibri"/>
        </w:rPr>
      </w:pPr>
    </w:p>
    <w:p w14:paraId="52F766C8">
      <w:pPr>
        <w:rPr>
          <w:rFonts w:hint="default" w:ascii="Calibri" w:hAnsi="Calibri" w:eastAsia="楷体" w:cs="Calibri"/>
        </w:rPr>
      </w:pPr>
    </w:p>
    <w:p w14:paraId="05893F5D">
      <w:pPr>
        <w:pStyle w:val="3"/>
        <w:keepNext w:val="0"/>
        <w:keepLines w:val="0"/>
        <w:widowControl/>
        <w:suppressLineNumbers w:val="0"/>
      </w:pPr>
      <w:r>
        <w:t>欧盟 (EU)</w:t>
      </w:r>
    </w:p>
    <w:p w14:paraId="4E2393C0">
      <w:pPr>
        <w:keepNext w:val="0"/>
        <w:keepLines w:val="0"/>
        <w:widowControl/>
        <w:numPr>
          <w:ilvl w:val="0"/>
          <w:numId w:val="2"/>
        </w:numPr>
        <w:suppressLineNumbers w:val="0"/>
        <w:spacing w:before="0" w:beforeAutospacing="1" w:after="0" w:afterAutospacing="1"/>
        <w:ind w:left="720" w:hanging="360"/>
      </w:pPr>
      <w:r>
        <w:rPr>
          <w:rStyle w:val="7"/>
        </w:rPr>
        <w:t>最新法案</w:t>
      </w:r>
      <w:r>
        <w:t>：Markets in Crypto-Assets Regulation (MiCA, Regulation (EU) 2023/1114，完全适用于稳定币部分自2024年6月30日起，2025年全面实施)。</w:t>
      </w:r>
    </w:p>
    <w:p w14:paraId="43527792">
      <w:pPr>
        <w:keepNext w:val="0"/>
        <w:keepLines w:val="0"/>
        <w:widowControl/>
        <w:numPr>
          <w:ilvl w:val="0"/>
          <w:numId w:val="2"/>
        </w:numPr>
        <w:suppressLineNumbers w:val="0"/>
        <w:spacing w:before="0" w:beforeAutospacing="1" w:after="0" w:afterAutospacing="1"/>
        <w:ind w:left="720" w:hanging="360"/>
      </w:pPr>
      <w:r>
        <w:rPr>
          <w:rStyle w:val="7"/>
        </w:rPr>
        <w:t>稳定币牌照/批准名称</w:t>
      </w:r>
      <w:r>
        <w:t>：Authorisation as an issuer of asset-referenced tokens (ART, 资产参考代币发行者授权) 或 e-money tokens (EMT, 电子货币代币发行者授权)。</w:t>
      </w:r>
    </w:p>
    <w:p w14:paraId="7F0FAEE1">
      <w:pPr>
        <w:keepNext w:val="0"/>
        <w:keepLines w:val="0"/>
        <w:widowControl/>
        <w:numPr>
          <w:ilvl w:val="0"/>
          <w:numId w:val="2"/>
        </w:numPr>
        <w:suppressLineNumbers w:val="0"/>
        <w:spacing w:before="0" w:beforeAutospacing="1" w:after="0" w:afterAutospacing="1"/>
        <w:ind w:left="720" w:hanging="360"/>
      </w:pPr>
      <w:r>
        <w:rPr>
          <w:rStyle w:val="7"/>
        </w:rPr>
        <w:t>制度类型</w:t>
      </w:r>
      <w:r>
        <w:t>：牌照制（pre-authorization system，即事前授权；发行前须获得成员国主管当局授权，作为crypto-asset service provider (CASP) 或特定发行者）。</w:t>
      </w:r>
    </w:p>
    <w:p w14:paraId="27633E66">
      <w:pPr>
        <w:keepNext w:val="0"/>
        <w:keepLines w:val="0"/>
        <w:widowControl/>
        <w:numPr>
          <w:ilvl w:val="0"/>
          <w:numId w:val="2"/>
        </w:numPr>
        <w:suppressLineNumbers w:val="0"/>
        <w:spacing w:before="0" w:beforeAutospacing="1" w:after="0" w:afterAutospacing="1"/>
        <w:ind w:left="720" w:hanging="360"/>
      </w:pPr>
      <w:r>
        <w:rPr>
          <w:rStyle w:val="7"/>
        </w:rPr>
        <w:t>相关原文条款引用</w:t>
      </w:r>
      <w:r>
        <w:t xml:space="preserve">： </w:t>
      </w:r>
    </w:p>
    <w:p w14:paraId="323EB024">
      <w:pPr>
        <w:keepNext w:val="0"/>
        <w:keepLines w:val="0"/>
        <w:widowControl/>
        <w:numPr>
          <w:ilvl w:val="1"/>
          <w:numId w:val="2"/>
        </w:numPr>
        <w:suppressLineNumbers w:val="0"/>
        <w:spacing w:before="0" w:beforeAutospacing="1" w:after="0" w:afterAutospacing="1"/>
        <w:ind w:left="1440" w:hanging="360"/>
      </w:pPr>
      <w:r>
        <w:t>Article 43(1) (for EMT): "Issuers of electronic money tokens shall be credit institutions authorised in accordance with Directive 2013/36/EU or electronic money institutions authorised in accordance with Directive 2009/110/EC. Such issuers shall apply for an authorisation in accordance with those Directives to issue electronic money tokens."</w:t>
      </w:r>
    </w:p>
    <w:p w14:paraId="55417ABA">
      <w:pPr>
        <w:keepNext w:val="0"/>
        <w:keepLines w:val="0"/>
        <w:widowControl/>
        <w:numPr>
          <w:ilvl w:val="1"/>
          <w:numId w:val="2"/>
        </w:numPr>
        <w:suppressLineNumbers w:val="0"/>
        <w:spacing w:before="0" w:beforeAutospacing="1" w:after="0" w:afterAutospacing="1"/>
        <w:ind w:left="1440" w:hanging="360"/>
      </w:pPr>
      <w:r>
        <w:t>Article 59(1) (for ART): "Credit institutions authorised in accordance with Directive 2013/36/EU, electronic money institutions authorised in accordance with Directive 2009/110/EC and crypto-asset service providers authorised in accordance with Title III shall be deemed to be authorised under this Title to provide services as issuers of asset-referenced tokens, provided that they meet the requirements laid down in this Chapter."</w:t>
      </w:r>
    </w:p>
    <w:p w14:paraId="147D3506">
      <w:pPr>
        <w:keepNext w:val="0"/>
        <w:keepLines w:val="0"/>
        <w:widowControl/>
        <w:numPr>
          <w:ilvl w:val="1"/>
          <w:numId w:val="2"/>
        </w:numPr>
        <w:suppressLineNumbers w:val="0"/>
        <w:spacing w:before="0" w:beforeAutospacing="1" w:after="0" w:afterAutospacing="1"/>
        <w:ind w:left="1440" w:hanging="360"/>
      </w:pPr>
      <w:r>
        <w:t>Article 63(1): "No entity other than a credit institution, an electronic money institution or a crypto-asset service provider authorised in accordance with this Regulation shall issue asset-referenced tokens in the Union."</w:t>
      </w:r>
    </w:p>
    <w:p w14:paraId="043B9920">
      <w:pPr>
        <w:rPr>
          <w:rFonts w:hint="default" w:ascii="Calibri" w:hAnsi="Calibri" w:eastAsia="楷体" w:cs="Calibri"/>
        </w:rPr>
      </w:pPr>
    </w:p>
    <w:p w14:paraId="2AD071B3">
      <w:pPr>
        <w:rPr>
          <w:rFonts w:hint="default" w:ascii="Calibri" w:hAnsi="Calibri" w:eastAsia="楷体" w:cs="Calibri"/>
        </w:rPr>
      </w:pPr>
    </w:p>
    <w:p w14:paraId="2D91EEB0">
      <w:pPr>
        <w:pStyle w:val="2"/>
        <w:keepNext w:val="0"/>
        <w:keepLines w:val="0"/>
        <w:widowControl/>
        <w:suppressLineNumbers w:val="0"/>
        <w:spacing w:before="0" w:beforeAutospacing="0" w:after="0" w:afterAutospacing="0" w:line="19" w:lineRule="atLeast"/>
        <w:ind w:left="0" w:right="0"/>
        <w:rPr>
          <w:rFonts w:ascii="Verdana" w:hAnsi="Verdana" w:eastAsia="Verdana" w:cs="Verdana"/>
          <w:color w:val="666666"/>
          <w:highlight w:val="cyan"/>
        </w:rPr>
      </w:pPr>
      <w:r>
        <w:rPr>
          <w:rFonts w:hint="default" w:ascii="Verdana" w:hAnsi="Verdana" w:eastAsia="Verdana" w:cs="Verdana"/>
          <w:i w:val="0"/>
          <w:iCs w:val="0"/>
          <w:caps w:val="0"/>
          <w:color w:val="666666"/>
          <w:spacing w:val="0"/>
          <w:highlight w:val="cyan"/>
          <w:shd w:val="clear" w:fill="FFFFFF"/>
        </w:rPr>
        <w:t>Requirement of a licence</w:t>
      </w:r>
    </w:p>
    <w:p w14:paraId="2665EADD">
      <w:pPr>
        <w:pStyle w:val="4"/>
        <w:keepNext w:val="0"/>
        <w:keepLines w:val="0"/>
        <w:widowControl/>
        <w:suppressLineNumbers w:val="0"/>
        <w:pBdr>
          <w:left w:val="none" w:color="auto" w:sz="0" w:space="0"/>
        </w:pBdr>
        <w:rPr>
          <w:highlight w:val="cyan"/>
        </w:rPr>
      </w:pPr>
      <w:r>
        <w:rPr>
          <w:rFonts w:hint="default" w:ascii="Verdana" w:hAnsi="Verdana" w:eastAsia="Verdana" w:cs="Verdana"/>
          <w:i w:val="0"/>
          <w:iCs w:val="0"/>
          <w:caps w:val="0"/>
          <w:color w:val="444444"/>
          <w:spacing w:val="0"/>
          <w:sz w:val="21"/>
          <w:szCs w:val="21"/>
          <w:highlight w:val="cyan"/>
          <w:bdr w:val="none" w:color="auto" w:sz="0" w:space="0"/>
        </w:rPr>
        <w:t>Pursuant to Article 48(1) of MiCAR, a person shall not make an offer to the public or seek the admission to trading of an EMT, within the Union, unless that person is the issuer of that EMT and:</w:t>
      </w:r>
    </w:p>
    <w:p w14:paraId="11AC0D68">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highlight w:val="cyan"/>
        </w:rPr>
      </w:pPr>
      <w:r>
        <w:rPr>
          <w:rFonts w:hint="default" w:ascii="Verdana" w:hAnsi="Verdana" w:eastAsia="Verdana" w:cs="Verdana"/>
          <w:i w:val="0"/>
          <w:iCs w:val="0"/>
          <w:caps w:val="0"/>
          <w:color w:val="444444"/>
          <w:spacing w:val="0"/>
          <w:sz w:val="21"/>
          <w:szCs w:val="21"/>
          <w:highlight w:val="cyan"/>
          <w:bdr w:val="none" w:color="auto" w:sz="0" w:space="0"/>
        </w:rPr>
        <w:t>is authorised as a credit institution or as an electronic money institution; and</w:t>
      </w:r>
    </w:p>
    <w:p w14:paraId="2BE1D47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highlight w:val="cyan"/>
        </w:rPr>
      </w:pPr>
      <w:r>
        <w:rPr>
          <w:rFonts w:hint="default" w:ascii="Verdana" w:hAnsi="Verdana" w:eastAsia="Verdana" w:cs="Verdana"/>
          <w:i w:val="0"/>
          <w:iCs w:val="0"/>
          <w:caps w:val="0"/>
          <w:color w:val="444444"/>
          <w:spacing w:val="0"/>
          <w:sz w:val="21"/>
          <w:szCs w:val="21"/>
          <w:highlight w:val="cyan"/>
          <w:bdr w:val="none" w:color="auto" w:sz="0" w:space="0"/>
        </w:rPr>
        <w:t>has notified a crypto-asset white paper to the competent authority and has published that crypto-asset white paper in accordance with Article 51 of MiCAR.</w:t>
      </w:r>
    </w:p>
    <w:p w14:paraId="334FAA71">
      <w:pPr>
        <w:rPr>
          <w:rFonts w:hint="eastAsia" w:ascii="Calibri" w:hAnsi="Calibri" w:eastAsia="楷体" w:cs="Calibri"/>
          <w:lang w:val="en-US" w:eastAsia="zh-CN"/>
        </w:rPr>
      </w:pPr>
      <w:r>
        <w:rPr>
          <w:rFonts w:hint="default" w:ascii="Calibri" w:hAnsi="Calibri" w:eastAsia="楷体" w:cs="Calibri"/>
        </w:rPr>
        <w:fldChar w:fldCharType="begin"/>
      </w:r>
      <w:r>
        <w:rPr>
          <w:rFonts w:hint="default" w:ascii="Calibri" w:hAnsi="Calibri" w:eastAsia="楷体" w:cs="Calibri"/>
        </w:rPr>
        <w:instrText xml:space="preserve"> HYPERLINK "https://www.cssf.lu/en/issuers-of-e-money-tokens-emts/" </w:instrText>
      </w:r>
      <w:r>
        <w:rPr>
          <w:rFonts w:hint="default" w:ascii="Calibri" w:hAnsi="Calibri" w:eastAsia="楷体" w:cs="Calibri"/>
        </w:rPr>
        <w:fldChar w:fldCharType="separate"/>
      </w:r>
      <w:r>
        <w:rPr>
          <w:rStyle w:val="8"/>
          <w:rFonts w:hint="default" w:ascii="Calibri" w:hAnsi="Calibri" w:eastAsia="楷体" w:cs="Calibri"/>
        </w:rPr>
        <w:t>https://www.cssf.lu/en/issuers-of-e-money-tokens-emts/</w:t>
      </w:r>
      <w:r>
        <w:rPr>
          <w:rFonts w:hint="default" w:ascii="Calibri" w:hAnsi="Calibri" w:eastAsia="楷体" w:cs="Calibri"/>
        </w:rPr>
        <w:fldChar w:fldCharType="end"/>
      </w:r>
      <w:r>
        <w:rPr>
          <w:rFonts w:hint="eastAsia" w:ascii="Calibri" w:hAnsi="Calibri" w:eastAsia="楷体" w:cs="Calibri"/>
          <w:lang w:val="en-US" w:eastAsia="zh-CN"/>
        </w:rPr>
        <w:t xml:space="preserve"> </w:t>
      </w:r>
      <w:bookmarkStart w:id="0" w:name="_GoBack"/>
      <w:bookmarkEnd w:id="0"/>
    </w:p>
    <w:p w14:paraId="7A7D7C14">
      <w:pPr>
        <w:rPr>
          <w:rFonts w:hint="default" w:ascii="Calibri" w:hAnsi="Calibri" w:eastAsia="楷体" w:cs="Calibri"/>
        </w:rPr>
      </w:pPr>
    </w:p>
    <w:p w14:paraId="08DCE61D">
      <w:pPr>
        <w:rPr>
          <w:rFonts w:hint="default" w:ascii="Calibri" w:hAnsi="Calibri" w:eastAsia="楷体" w:cs="Calibri"/>
        </w:rPr>
      </w:pPr>
    </w:p>
    <w:p w14:paraId="68CFEF5C">
      <w:pPr>
        <w:pStyle w:val="3"/>
        <w:keepNext w:val="0"/>
        <w:keepLines w:val="0"/>
        <w:widowControl/>
        <w:suppressLineNumbers w:val="0"/>
      </w:pPr>
      <w:r>
        <w:t>新加坡 (Singapore)</w:t>
      </w:r>
    </w:p>
    <w:p w14:paraId="020A9DE8">
      <w:pPr>
        <w:keepNext w:val="0"/>
        <w:keepLines w:val="0"/>
        <w:widowControl/>
        <w:numPr>
          <w:ilvl w:val="0"/>
          <w:numId w:val="4"/>
        </w:numPr>
        <w:suppressLineNumbers w:val="0"/>
        <w:spacing w:before="0" w:beforeAutospacing="1" w:after="0" w:afterAutospacing="1"/>
        <w:ind w:left="720" w:hanging="360"/>
      </w:pPr>
      <w:r>
        <w:rPr>
          <w:rStyle w:val="7"/>
        </w:rPr>
        <w:t>最新法案</w:t>
      </w:r>
      <w:r>
        <w:t>：Payment Services Act (amended for stablecoin framework, 2023年8月宣布，2025年通过MAS Notice PSN02指导实施)。</w:t>
      </w:r>
    </w:p>
    <w:p w14:paraId="21F26729">
      <w:pPr>
        <w:keepNext w:val="0"/>
        <w:keepLines w:val="0"/>
        <w:widowControl/>
        <w:numPr>
          <w:ilvl w:val="0"/>
          <w:numId w:val="4"/>
        </w:numPr>
        <w:suppressLineNumbers w:val="0"/>
        <w:spacing w:before="0" w:beforeAutospacing="1" w:after="0" w:afterAutospacing="1"/>
        <w:ind w:left="720" w:hanging="360"/>
      </w:pPr>
      <w:r>
        <w:rPr>
          <w:rStyle w:val="7"/>
        </w:rPr>
        <w:t>稳定币牌照名称</w:t>
      </w:r>
      <w:r>
        <w:t>：Stablecoin Issuance Service Licence（稳定币发行服务牌照，作为Major Payment Institution under Payment Services）。</w:t>
      </w:r>
    </w:p>
    <w:p w14:paraId="04E255E1">
      <w:pPr>
        <w:keepNext w:val="0"/>
        <w:keepLines w:val="0"/>
        <w:widowControl/>
        <w:numPr>
          <w:numId w:val="0"/>
        </w:numPr>
        <w:suppressLineNumbers w:val="0"/>
        <w:tabs>
          <w:tab w:val="left" w:pos="720"/>
        </w:tabs>
        <w:spacing w:before="0" w:beforeAutospacing="1" w:after="0" w:afterAutospacing="1"/>
        <w:jc w:val="both"/>
        <w:rPr>
          <w:rFonts w:hint="default" w:eastAsiaTheme="minorEastAsia"/>
          <w:lang w:val="en-US" w:eastAsia="zh-CN"/>
        </w:rPr>
      </w:pPr>
      <w:r>
        <w:rPr>
          <w:rFonts w:hint="eastAsia"/>
          <w:highlight w:val="yellow"/>
        </w:rPr>
        <w:t>major payment institution ("MPI") license</w:t>
      </w:r>
      <w:r>
        <w:rPr>
          <w:rFonts w:hint="eastAsia"/>
          <w:highlight w:val="yellow"/>
          <w:lang w:val="en-US" w:eastAsia="zh-CN"/>
        </w:rPr>
        <w:t xml:space="preserve"> for non-bank issuer with </w:t>
      </w:r>
      <w:r>
        <w:rPr>
          <w:rFonts w:hint="eastAsia"/>
          <w:highlight w:val="yellow"/>
        </w:rPr>
        <w:t>total value exceed</w:t>
      </w:r>
      <w:r>
        <w:rPr>
          <w:rFonts w:hint="eastAsia"/>
          <w:highlight w:val="yellow"/>
          <w:lang w:val="en-US" w:eastAsia="zh-CN"/>
        </w:rPr>
        <w:t>ing</w:t>
      </w:r>
      <w:r>
        <w:rPr>
          <w:rFonts w:hint="eastAsia"/>
          <w:highlight w:val="yellow"/>
        </w:rPr>
        <w:t xml:space="preserve"> S$5 million</w:t>
      </w:r>
    </w:p>
    <w:p w14:paraId="1FBCCAA4">
      <w:pPr>
        <w:keepNext w:val="0"/>
        <w:keepLines w:val="0"/>
        <w:widowControl/>
        <w:numPr>
          <w:numId w:val="0"/>
        </w:numPr>
        <w:suppressLineNumbers w:val="0"/>
        <w:tabs>
          <w:tab w:val="left" w:pos="720"/>
        </w:tabs>
        <w:spacing w:before="0" w:beforeAutospacing="1" w:after="0" w:afterAutospacing="1"/>
        <w:jc w:val="both"/>
      </w:pPr>
    </w:p>
    <w:p w14:paraId="24375820">
      <w:pPr>
        <w:keepNext w:val="0"/>
        <w:keepLines w:val="0"/>
        <w:widowControl/>
        <w:numPr>
          <w:numId w:val="0"/>
        </w:numPr>
        <w:suppressLineNumbers w:val="0"/>
        <w:tabs>
          <w:tab w:val="left" w:pos="720"/>
        </w:tabs>
        <w:spacing w:before="0" w:beforeAutospacing="1" w:after="0" w:afterAutospacing="1"/>
        <w:jc w:val="both"/>
      </w:pPr>
    </w:p>
    <w:p w14:paraId="7A112B4E">
      <w:pPr>
        <w:keepNext w:val="0"/>
        <w:keepLines w:val="0"/>
        <w:widowControl/>
        <w:numPr>
          <w:ilvl w:val="0"/>
          <w:numId w:val="4"/>
        </w:numPr>
        <w:suppressLineNumbers w:val="0"/>
        <w:spacing w:before="0" w:beforeAutospacing="1" w:after="0" w:afterAutospacing="1"/>
        <w:ind w:left="720" w:hanging="360"/>
      </w:pPr>
      <w:r>
        <w:rPr>
          <w:rStyle w:val="7"/>
        </w:rPr>
        <w:t>制度类型</w:t>
      </w:r>
      <w:r>
        <w:t>：牌照制（licensing regime，即事前发放MAS牌照；发行稳定币被视为受监管支付服务，须事先申请并获批）。</w:t>
      </w:r>
    </w:p>
    <w:p w14:paraId="629BC6EB">
      <w:pPr>
        <w:keepNext w:val="0"/>
        <w:keepLines w:val="0"/>
        <w:widowControl/>
        <w:numPr>
          <w:ilvl w:val="0"/>
          <w:numId w:val="4"/>
        </w:numPr>
        <w:suppressLineNumbers w:val="0"/>
        <w:spacing w:before="0" w:beforeAutospacing="1" w:after="0" w:afterAutospacing="1"/>
        <w:ind w:left="720" w:hanging="360"/>
      </w:pPr>
      <w:r>
        <w:rPr>
          <w:rStyle w:val="7"/>
        </w:rPr>
        <w:t>相关原文条款引用</w:t>
      </w:r>
      <w:r>
        <w:t xml:space="preserve">： </w:t>
      </w:r>
    </w:p>
    <w:p w14:paraId="3FA47EEC">
      <w:pPr>
        <w:keepNext w:val="0"/>
        <w:keepLines w:val="0"/>
        <w:widowControl/>
        <w:numPr>
          <w:ilvl w:val="1"/>
          <w:numId w:val="4"/>
        </w:numPr>
        <w:suppressLineNumbers w:val="0"/>
        <w:spacing w:before="0" w:beforeAutospacing="1" w:after="0" w:afterAutospacing="1"/>
        <w:ind w:left="1440" w:hanging="360"/>
      </w:pPr>
      <w:r>
        <w:t>MAS Stablecoin Regulatory Framework (2023, updated 2025): "Entities seeking to issue stablecoins in Singapore must obtain a licence for the provision of the Stablecoin Issuance Service under the Payment Services Act."</w:t>
      </w:r>
    </w:p>
    <w:p w14:paraId="77C1DE7B">
      <w:pPr>
        <w:keepNext w:val="0"/>
        <w:keepLines w:val="0"/>
        <w:widowControl/>
        <w:numPr>
          <w:ilvl w:val="1"/>
          <w:numId w:val="4"/>
        </w:numPr>
        <w:suppressLineNumbers w:val="0"/>
        <w:spacing w:before="0" w:beforeAutospacing="1" w:after="0" w:afterAutospacing="1"/>
        <w:ind w:left="1440" w:hanging="360"/>
      </w:pPr>
      <w:r>
        <w:t>Section 6 of Payment Services Act: "A person shall not carry on a payment service business in Singapore unless the person is a standard payment institution or a major payment institution licensed under this Act."</w:t>
      </w:r>
    </w:p>
    <w:p w14:paraId="600912DF">
      <w:pPr>
        <w:keepNext w:val="0"/>
        <w:keepLines w:val="0"/>
        <w:widowControl/>
        <w:numPr>
          <w:ilvl w:val="1"/>
          <w:numId w:val="4"/>
        </w:numPr>
        <w:suppressLineNumbers w:val="0"/>
        <w:spacing w:before="0" w:beforeAutospacing="1" w:after="0" w:afterAutospacing="1"/>
        <w:ind w:left="1440" w:hanging="360"/>
      </w:pPr>
      <w:r>
        <w:t>MAS Guidelines (PSN02, 2025): "A stablecoin issuer must hold a Major Payment Institution licence and comply with reserve requirements, redemption rights, and anti-money laundering obligations before issuing any stablecoin."</w:t>
      </w:r>
    </w:p>
    <w:p w14:paraId="4C036EE0">
      <w:pPr>
        <w:pStyle w:val="3"/>
        <w:keepNext w:val="0"/>
        <w:keepLines w:val="0"/>
        <w:widowControl/>
        <w:suppressLineNumbers w:val="0"/>
      </w:pPr>
    </w:p>
    <w:p w14:paraId="1C7902FA">
      <w:pPr>
        <w:keepNext w:val="0"/>
        <w:keepLines w:val="0"/>
        <w:widowControl/>
        <w:numPr>
          <w:ilvl w:val="1"/>
          <w:numId w:val="4"/>
        </w:numPr>
        <w:suppressLineNumbers w:val="0"/>
        <w:spacing w:before="0" w:beforeAutospacing="1" w:after="0" w:afterAutospacing="1"/>
        <w:ind w:left="1440" w:hanging="360"/>
        <w:rPr>
          <w:rFonts w:hint="eastAsia"/>
          <w:highlight w:val="yellow"/>
        </w:rPr>
      </w:pPr>
      <w:r>
        <w:rPr>
          <w:rFonts w:hint="eastAsia"/>
          <w:highlight w:val="yellow"/>
        </w:rPr>
        <w:t>The MAS has confirmed that banks and non-bank entities are allowed to issue SCS.</w:t>
      </w:r>
    </w:p>
    <w:p w14:paraId="25E1FD46">
      <w:pPr>
        <w:keepNext w:val="0"/>
        <w:keepLines w:val="0"/>
        <w:widowControl/>
        <w:numPr>
          <w:ilvl w:val="1"/>
          <w:numId w:val="4"/>
        </w:numPr>
        <w:suppressLineNumbers w:val="0"/>
        <w:spacing w:before="0" w:beforeAutospacing="1" w:after="0" w:afterAutospacing="1"/>
        <w:ind w:left="1440" w:hanging="360"/>
        <w:rPr>
          <w:rFonts w:hint="eastAsia"/>
          <w:highlight w:val="yellow"/>
        </w:rPr>
      </w:pPr>
      <w:r>
        <w:rPr>
          <w:rFonts w:hint="eastAsia"/>
          <w:highlight w:val="yellow"/>
        </w:rPr>
        <w:t>For non-banks SCS issuers, their adherence to the SCS framework is determined by the total value of SCS they have in circulation. If the total value exceeds S$5 million, the issuer must obtain a major payment institution ("MPI") license to conduct the "Stablecoin Issuance Service". They are subject to the SCS framework and can label their SCS as "MAS-regulated stablecoin". Conversely, issuers with SCS in circulation below S$5 million are exempt from the purview of the SCS framework. Consequently, such issuers cannot label their SCS as "MAS-regulated stablecoin".</w:t>
      </w:r>
    </w:p>
    <w:p w14:paraId="5276DCB2">
      <w:pPr>
        <w:keepNext w:val="0"/>
        <w:keepLines w:val="0"/>
        <w:widowControl/>
        <w:numPr>
          <w:ilvl w:val="1"/>
          <w:numId w:val="4"/>
        </w:numPr>
        <w:suppressLineNumbers w:val="0"/>
        <w:spacing w:before="0" w:beforeAutospacing="1" w:after="0" w:afterAutospacing="1"/>
        <w:ind w:left="1440" w:hanging="360"/>
        <w:rPr>
          <w:highlight w:val="yellow"/>
        </w:rPr>
      </w:pPr>
      <w:r>
        <w:rPr>
          <w:rFonts w:hint="eastAsia"/>
          <w:highlight w:val="yellow"/>
        </w:rPr>
        <w:t>For banks, the MAS has explained in the Consultation that they are exempted from the requirement to obtain a PSA license to carry on a business of providing any payment services, and this will continue to be the case when banks carry out the "Stablecoin Issuance Service".</w:t>
      </w:r>
    </w:p>
    <w:p w14:paraId="0A949AF1">
      <w:pPr>
        <w:pStyle w:val="3"/>
        <w:keepNext w:val="0"/>
        <w:keepLines w:val="0"/>
        <w:widowControl/>
        <w:suppressLineNumbers w:val="0"/>
      </w:pPr>
    </w:p>
    <w:p w14:paraId="0B810182">
      <w:pPr>
        <w:pStyle w:val="3"/>
        <w:keepNext w:val="0"/>
        <w:keepLines w:val="0"/>
        <w:widowControl/>
        <w:suppressLineNumbers w:val="0"/>
      </w:pPr>
    </w:p>
    <w:p w14:paraId="4DF9AB66">
      <w:pPr>
        <w:pStyle w:val="3"/>
        <w:keepNext w:val="0"/>
        <w:keepLines w:val="0"/>
        <w:widowControl/>
        <w:suppressLineNumbers w:val="0"/>
      </w:pPr>
    </w:p>
    <w:p w14:paraId="3421757A">
      <w:pPr>
        <w:pStyle w:val="3"/>
        <w:keepNext w:val="0"/>
        <w:keepLines w:val="0"/>
        <w:widowControl/>
        <w:suppressLineNumbers w:val="0"/>
      </w:pPr>
      <w:r>
        <w:t>UAE (United Arab Emirates)</w:t>
      </w:r>
    </w:p>
    <w:p w14:paraId="5C6A19A9">
      <w:pPr>
        <w:keepNext w:val="0"/>
        <w:keepLines w:val="0"/>
        <w:widowControl/>
        <w:numPr>
          <w:ilvl w:val="0"/>
          <w:numId w:val="5"/>
        </w:numPr>
        <w:suppressLineNumbers w:val="0"/>
        <w:spacing w:before="0" w:beforeAutospacing="1" w:after="0" w:afterAutospacing="1"/>
        <w:ind w:left="720" w:hanging="360"/>
      </w:pPr>
      <w:r>
        <w:rPr>
          <w:rStyle w:val="7"/>
        </w:rPr>
        <w:t>最新法案</w:t>
      </w:r>
      <w:r>
        <w:t>：Payment Token Services Regulation (CBUAE, 2024年6月生效，2025年全面指导)。</w:t>
      </w:r>
    </w:p>
    <w:p w14:paraId="0052E4D4">
      <w:pPr>
        <w:keepNext w:val="0"/>
        <w:keepLines w:val="0"/>
        <w:widowControl/>
        <w:numPr>
          <w:ilvl w:val="0"/>
          <w:numId w:val="5"/>
        </w:numPr>
        <w:suppressLineNumbers w:val="0"/>
        <w:spacing w:before="0" w:beforeAutospacing="1" w:after="0" w:afterAutospacing="1"/>
        <w:ind w:left="720" w:hanging="360"/>
      </w:pPr>
      <w:r>
        <w:rPr>
          <w:rStyle w:val="7"/>
        </w:rPr>
        <w:t>稳定币牌照名称</w:t>
      </w:r>
      <w:r>
        <w:t>：Dirham Payment Token Issuer Licence（迪拉姆支付令牌发行者牌照）或 Foreign Payment Token Issuer Registration（外国支付令牌发行者注册）。</w:t>
      </w:r>
    </w:p>
    <w:p w14:paraId="62C6172B">
      <w:pPr>
        <w:keepNext w:val="0"/>
        <w:keepLines w:val="0"/>
        <w:widowControl/>
        <w:numPr>
          <w:ilvl w:val="0"/>
          <w:numId w:val="5"/>
        </w:numPr>
        <w:suppressLineNumbers w:val="0"/>
        <w:spacing w:before="0" w:beforeAutospacing="1" w:after="0" w:afterAutospacing="1"/>
        <w:ind w:left="720" w:hanging="360"/>
      </w:pPr>
      <w:r>
        <w:rPr>
          <w:rStyle w:val="7"/>
        </w:rPr>
        <w:t>制度类型</w:t>
      </w:r>
      <w:r>
        <w:t>：牌照制（licensing regime，即事前发放牌照或注册；提供支付令牌服务，包括稳定币发行，须事先申请中央银行批准）。</w:t>
      </w:r>
    </w:p>
    <w:p w14:paraId="670D4BC5">
      <w:pPr>
        <w:keepNext w:val="0"/>
        <w:keepLines w:val="0"/>
        <w:widowControl/>
        <w:numPr>
          <w:ilvl w:val="0"/>
          <w:numId w:val="5"/>
        </w:numPr>
        <w:suppressLineNumbers w:val="0"/>
        <w:spacing w:before="0" w:beforeAutospacing="1" w:after="0" w:afterAutospacing="1"/>
        <w:ind w:left="720" w:hanging="360"/>
      </w:pPr>
      <w:r>
        <w:rPr>
          <w:rStyle w:val="7"/>
        </w:rPr>
        <w:t>相关原文条款引用</w:t>
      </w:r>
      <w:r>
        <w:t xml:space="preserve">： </w:t>
      </w:r>
    </w:p>
    <w:p w14:paraId="57B8EF1F">
      <w:pPr>
        <w:keepNext w:val="0"/>
        <w:keepLines w:val="0"/>
        <w:widowControl/>
        <w:numPr>
          <w:ilvl w:val="1"/>
          <w:numId w:val="5"/>
        </w:numPr>
        <w:suppressLineNumbers w:val="0"/>
        <w:spacing w:before="0" w:beforeAutospacing="1" w:after="0" w:afterAutospacing="1"/>
        <w:ind w:left="1440" w:hanging="360"/>
      </w:pPr>
      <w:r>
        <w:t>Article 5(1): "A Person that intends to provide Payment Token Services shall as appropriate apply for one or more of the following categories of License: (a) Dirham Payment Token Issuer; (b) Payment Token Custodian and Transferor; and (c) Payment Token Conversion."</w:t>
      </w:r>
    </w:p>
    <w:p w14:paraId="1BE907DD">
      <w:pPr>
        <w:keepNext w:val="0"/>
        <w:keepLines w:val="0"/>
        <w:widowControl/>
        <w:numPr>
          <w:ilvl w:val="1"/>
          <w:numId w:val="5"/>
        </w:numPr>
        <w:suppressLineNumbers w:val="0"/>
        <w:spacing w:before="0" w:beforeAutospacing="1" w:after="0" w:afterAutospacing="1"/>
        <w:ind w:left="1440" w:hanging="360"/>
      </w:pPr>
      <w:r>
        <w:t>Article 1 (Definitions): "Dirham Payment Token Issuer License: means a license granted by the Central Bank to an Applicant incorporated and located in the UAE to perform Payment Token Issuing with respect to Dirham Payment Tokens."</w:t>
      </w:r>
    </w:p>
    <w:p w14:paraId="3DE8D93C">
      <w:pPr>
        <w:keepNext w:val="0"/>
        <w:keepLines w:val="0"/>
        <w:widowControl/>
        <w:numPr>
          <w:ilvl w:val="1"/>
          <w:numId w:val="5"/>
        </w:numPr>
        <w:suppressLineNumbers w:val="0"/>
        <w:spacing w:before="0" w:beforeAutospacing="1" w:after="0" w:afterAutospacing="1"/>
        <w:ind w:left="1440" w:hanging="360"/>
      </w:pPr>
      <w:r>
        <w:t>Article 2(3): "No Person shall, within the UAE or directed to Persons in the UAE, issue Algorithmic Stablecoins or Privacy Tokens or perform services relating to Algorithmic Stablecoins or Privacy Tokens." (限制算法稳定币，但 fiat-backed 需牌照)。</w:t>
      </w:r>
    </w:p>
    <w:p w14:paraId="0D273642">
      <w:pPr>
        <w:keepNext w:val="0"/>
        <w:keepLines w:val="0"/>
        <w:widowControl/>
        <w:numPr>
          <w:numId w:val="0"/>
        </w:numPr>
        <w:suppressLineNumbers w:val="0"/>
        <w:spacing w:before="0" w:beforeAutospacing="1" w:after="0" w:afterAutospacing="1"/>
        <w:jc w:val="both"/>
      </w:pPr>
    </w:p>
    <w:p w14:paraId="07EE2745">
      <w:pPr>
        <w:keepNext w:val="0"/>
        <w:keepLines w:val="0"/>
        <w:widowControl/>
        <w:numPr>
          <w:numId w:val="0"/>
        </w:numPr>
        <w:suppressLineNumbers w:val="0"/>
        <w:spacing w:before="0" w:beforeAutospacing="1" w:after="0" w:afterAutospacing="1"/>
        <w:jc w:val="both"/>
      </w:pPr>
    </w:p>
    <w:p w14:paraId="0C6C6FF6">
      <w:pPr>
        <w:keepNext w:val="0"/>
        <w:keepLines w:val="0"/>
        <w:widowControl/>
        <w:numPr>
          <w:numId w:val="0"/>
        </w:numPr>
        <w:suppressLineNumbers w:val="0"/>
        <w:spacing w:before="0" w:beforeAutospacing="1" w:after="0" w:afterAutospacing="1"/>
        <w:jc w:val="both"/>
        <w:rPr>
          <w:rFonts w:hint="eastAsia"/>
        </w:rPr>
      </w:pPr>
      <w:r>
        <w:rPr>
          <w:rFonts w:hint="eastAsia"/>
        </w:rPr>
        <w:t>.</w:t>
      </w:r>
      <w:r>
        <w:rPr>
          <w:rFonts w:hint="eastAsia"/>
        </w:rPr>
        <w:tab/>
      </w:r>
    </w:p>
    <w:p w14:paraId="23A03C57">
      <w:pPr>
        <w:keepNext w:val="0"/>
        <w:keepLines w:val="0"/>
        <w:widowControl/>
        <w:numPr>
          <w:numId w:val="0"/>
        </w:numPr>
        <w:suppressLineNumbers w:val="0"/>
        <w:spacing w:before="0" w:beforeAutospacing="1" w:after="0" w:afterAutospacing="1"/>
        <w:jc w:val="both"/>
        <w:rPr>
          <w:rFonts w:hint="eastAsia"/>
          <w:highlight w:val="yellow"/>
        </w:rPr>
      </w:pPr>
      <w:r>
        <w:rPr>
          <w:rFonts w:hint="eastAsia"/>
          <w:highlight w:val="yellow"/>
        </w:rPr>
        <w:t>A Person that intends to provide Payment Token Services shall as appropriate apply for one or more of the following categories of License:</w:t>
      </w:r>
    </w:p>
    <w:p w14:paraId="0AEA0203">
      <w:pPr>
        <w:keepNext w:val="0"/>
        <w:keepLines w:val="0"/>
        <w:widowControl/>
        <w:numPr>
          <w:numId w:val="0"/>
        </w:numPr>
        <w:suppressLineNumbers w:val="0"/>
        <w:spacing w:before="0" w:beforeAutospacing="1" w:after="0" w:afterAutospacing="1"/>
        <w:jc w:val="both"/>
        <w:rPr>
          <w:rFonts w:hint="eastAsia"/>
          <w:highlight w:val="yellow"/>
        </w:rPr>
      </w:pPr>
    </w:p>
    <w:p w14:paraId="71B618E7">
      <w:pPr>
        <w:keepNext w:val="0"/>
        <w:keepLines w:val="0"/>
        <w:widowControl/>
        <w:numPr>
          <w:numId w:val="0"/>
        </w:numPr>
        <w:suppressLineNumbers w:val="0"/>
        <w:spacing w:before="0" w:beforeAutospacing="1" w:after="0" w:afterAutospacing="1"/>
        <w:jc w:val="both"/>
        <w:rPr>
          <w:rFonts w:hint="eastAsia"/>
          <w:highlight w:val="yellow"/>
        </w:rPr>
      </w:pPr>
      <w:r>
        <w:rPr>
          <w:rFonts w:hint="eastAsia"/>
          <w:highlight w:val="yellow"/>
        </w:rPr>
        <w:t>a)</w:t>
      </w:r>
      <w:r>
        <w:rPr>
          <w:rFonts w:hint="eastAsia"/>
          <w:highlight w:val="yellow"/>
        </w:rPr>
        <w:tab/>
      </w:r>
      <w:r>
        <w:rPr>
          <w:rFonts w:hint="eastAsia"/>
          <w:highlight w:val="yellow"/>
        </w:rPr>
        <w:t>Dirham Payment Token Issuer;</w:t>
      </w:r>
    </w:p>
    <w:p w14:paraId="2C688CEB">
      <w:pPr>
        <w:keepNext w:val="0"/>
        <w:keepLines w:val="0"/>
        <w:widowControl/>
        <w:numPr>
          <w:numId w:val="0"/>
        </w:numPr>
        <w:suppressLineNumbers w:val="0"/>
        <w:spacing w:before="0" w:beforeAutospacing="1" w:after="0" w:afterAutospacing="1"/>
        <w:jc w:val="both"/>
        <w:rPr>
          <w:rFonts w:hint="eastAsia"/>
          <w:highlight w:val="yellow"/>
        </w:rPr>
      </w:pPr>
      <w:r>
        <w:rPr>
          <w:rFonts w:hint="eastAsia"/>
          <w:highlight w:val="yellow"/>
        </w:rPr>
        <w:t>b)</w:t>
      </w:r>
      <w:r>
        <w:rPr>
          <w:rFonts w:hint="eastAsia"/>
          <w:highlight w:val="yellow"/>
        </w:rPr>
        <w:tab/>
      </w:r>
      <w:r>
        <w:rPr>
          <w:rFonts w:hint="eastAsia"/>
          <w:highlight w:val="yellow"/>
        </w:rPr>
        <w:t>Payment Token Custodian and Transferor; and</w:t>
      </w:r>
    </w:p>
    <w:p w14:paraId="3C7B2C2B">
      <w:pPr>
        <w:keepNext w:val="0"/>
        <w:keepLines w:val="0"/>
        <w:widowControl/>
        <w:numPr>
          <w:numId w:val="0"/>
        </w:numPr>
        <w:suppressLineNumbers w:val="0"/>
        <w:spacing w:before="0" w:beforeAutospacing="1" w:after="0" w:afterAutospacing="1"/>
        <w:jc w:val="both"/>
        <w:rPr>
          <w:rFonts w:hint="eastAsia"/>
          <w:highlight w:val="yellow"/>
        </w:rPr>
      </w:pPr>
      <w:r>
        <w:rPr>
          <w:rFonts w:hint="eastAsia"/>
          <w:highlight w:val="yellow"/>
        </w:rPr>
        <w:t>c)</w:t>
      </w:r>
      <w:r>
        <w:rPr>
          <w:rFonts w:hint="eastAsia"/>
          <w:highlight w:val="yellow"/>
        </w:rPr>
        <w:tab/>
      </w:r>
      <w:r>
        <w:rPr>
          <w:rFonts w:hint="eastAsia"/>
          <w:highlight w:val="yellow"/>
        </w:rPr>
        <w:t>Payment Token Conversion.</w:t>
      </w:r>
    </w:p>
    <w:p w14:paraId="771F4F5F">
      <w:pPr>
        <w:keepNext w:val="0"/>
        <w:keepLines w:val="0"/>
        <w:widowControl/>
        <w:numPr>
          <w:numId w:val="0"/>
        </w:numPr>
        <w:suppressLineNumbers w:val="0"/>
        <w:spacing w:before="0" w:beforeAutospacing="1" w:after="0" w:afterAutospacing="1"/>
        <w:jc w:val="both"/>
        <w:rPr>
          <w:highlight w:val="yellow"/>
        </w:rPr>
      </w:pPr>
      <w:r>
        <w:rPr>
          <w:rFonts w:hint="eastAsia"/>
          <w:highlight w:val="yellow"/>
        </w:rPr>
        <w:t>2.</w:t>
      </w:r>
      <w:r>
        <w:rPr>
          <w:rFonts w:hint="eastAsia"/>
          <w:highlight w:val="yellow"/>
        </w:rPr>
        <w:tab/>
      </w:r>
      <w:r>
        <w:rPr>
          <w:rFonts w:hint="eastAsia"/>
          <w:highlight w:val="yellow"/>
        </w:rPr>
        <w:t>A Person not incorporated and located in the UAE may apply for a Foreign Payment Token Issuer Registration. For the avoidance of doubt, this includes a Person located in a Financial Free Zone.</w:t>
      </w:r>
    </w:p>
    <w:p w14:paraId="7E65B5C1">
      <w:pPr>
        <w:keepNext w:val="0"/>
        <w:keepLines w:val="0"/>
        <w:widowControl/>
        <w:numPr>
          <w:numId w:val="0"/>
        </w:numPr>
        <w:suppressLineNumbers w:val="0"/>
        <w:spacing w:before="0" w:beforeAutospacing="1" w:after="0" w:afterAutospacing="1"/>
        <w:jc w:val="both"/>
      </w:pPr>
    </w:p>
    <w:p w14:paraId="6A3F5401">
      <w:pPr>
        <w:keepNext w:val="0"/>
        <w:keepLines w:val="0"/>
        <w:widowControl/>
        <w:numPr>
          <w:numId w:val="0"/>
        </w:numPr>
        <w:suppressLineNumbers w:val="0"/>
        <w:spacing w:before="0" w:beforeAutospacing="1" w:after="0" w:afterAutospacing="1"/>
        <w:jc w:val="both"/>
        <w:rPr>
          <w:rFonts w:hint="eastAsia" w:eastAsiaTheme="minorEastAsia"/>
          <w:lang w:val="en-US" w:eastAsia="zh-CN"/>
        </w:rPr>
      </w:pPr>
      <w:r>
        <w:rPr>
          <w:rFonts w:hint="eastAsia"/>
        </w:rPr>
        <w:fldChar w:fldCharType="begin"/>
      </w:r>
      <w:r>
        <w:rPr>
          <w:rFonts w:hint="eastAsia"/>
        </w:rPr>
        <w:instrText xml:space="preserve"> HYPERLINK "https://rulebook.centralbank.ae/en/rulebook/payment-token-services-regulation" </w:instrText>
      </w:r>
      <w:r>
        <w:rPr>
          <w:rFonts w:hint="eastAsia"/>
        </w:rPr>
        <w:fldChar w:fldCharType="separate"/>
      </w:r>
      <w:r>
        <w:rPr>
          <w:rStyle w:val="8"/>
          <w:rFonts w:hint="eastAsia"/>
        </w:rPr>
        <w:t>https://rulebook.centralbank.ae/en/rulebook/payment-token-services-regulation</w:t>
      </w:r>
      <w:r>
        <w:rPr>
          <w:rFonts w:hint="eastAsia"/>
        </w:rPr>
        <w:fldChar w:fldCharType="end"/>
      </w:r>
      <w:r>
        <w:rPr>
          <w:rFonts w:hint="eastAsia"/>
          <w:lang w:val="en-US" w:eastAsia="zh-CN"/>
        </w:rPr>
        <w:t xml:space="preserve"> </w:t>
      </w:r>
    </w:p>
    <w:p w14:paraId="3D3F9D39">
      <w:pPr>
        <w:pStyle w:val="3"/>
        <w:keepNext w:val="0"/>
        <w:keepLines w:val="0"/>
        <w:widowControl/>
        <w:suppressLineNumbers w:val="0"/>
      </w:pPr>
      <w:r>
        <w:t>澳大利亚 (Australia)</w:t>
      </w:r>
    </w:p>
    <w:p w14:paraId="23BBBF61">
      <w:pPr>
        <w:keepNext w:val="0"/>
        <w:keepLines w:val="0"/>
        <w:widowControl/>
        <w:numPr>
          <w:ilvl w:val="0"/>
          <w:numId w:val="6"/>
        </w:numPr>
        <w:suppressLineNumbers w:val="0"/>
        <w:spacing w:before="0" w:beforeAutospacing="1" w:after="0" w:afterAutospacing="1"/>
        <w:ind w:left="720" w:hanging="360"/>
      </w:pPr>
      <w:r>
        <w:rPr>
          <w:rStyle w:val="7"/>
        </w:rPr>
        <w:t>最新法案</w:t>
      </w:r>
      <w:r>
        <w:t>：Corporations Act 2001 (updated via ASIC Regulatory Guide, 2025年6月更新；包括2025/631 Instruments for stablecoin exemptions，但发行者仍受监管)。</w:t>
      </w:r>
    </w:p>
    <w:p w14:paraId="7B5FF9D6">
      <w:pPr>
        <w:keepNext w:val="0"/>
        <w:keepLines w:val="0"/>
        <w:widowControl/>
        <w:numPr>
          <w:ilvl w:val="0"/>
          <w:numId w:val="6"/>
        </w:numPr>
        <w:suppressLineNumbers w:val="0"/>
        <w:spacing w:before="0" w:beforeAutospacing="1" w:after="0" w:afterAutospacing="1"/>
        <w:ind w:left="720" w:hanging="360"/>
      </w:pPr>
      <w:r>
        <w:rPr>
          <w:rStyle w:val="7"/>
        </w:rPr>
        <w:t>稳定币牌照名称</w:t>
      </w:r>
      <w:r>
        <w:t>：</w:t>
      </w:r>
      <w:r>
        <w:rPr>
          <w:highlight w:val="cyan"/>
        </w:rPr>
        <w:t>Australian Financial Services (AFS) Licence with ‘named scheme’ authorisation</w:t>
      </w:r>
      <w:r>
        <w:t>（澳大利亚金融服务牌照，附带命名方案授权）。</w:t>
      </w:r>
    </w:p>
    <w:p w14:paraId="0859C611">
      <w:pPr>
        <w:keepNext w:val="0"/>
        <w:keepLines w:val="0"/>
        <w:widowControl/>
        <w:numPr>
          <w:ilvl w:val="0"/>
          <w:numId w:val="6"/>
        </w:numPr>
        <w:suppressLineNumbers w:val="0"/>
        <w:spacing w:before="0" w:beforeAutospacing="1" w:after="0" w:afterAutospacing="1"/>
        <w:ind w:left="720" w:hanging="360"/>
      </w:pPr>
      <w:r>
        <w:rPr>
          <w:rStyle w:val="7"/>
        </w:rPr>
        <w:t>制度类型</w:t>
      </w:r>
      <w:r>
        <w:t>：牌照制（licensing regime，即事前发放AFS牌照；如果稳定币被视为金融产品，发行者须事先获得ASIC牌照；2025年豁免仅适用于分销商，非发行者）。</w:t>
      </w:r>
    </w:p>
    <w:p w14:paraId="74AE3330">
      <w:pPr>
        <w:keepNext w:val="0"/>
        <w:keepLines w:val="0"/>
        <w:widowControl/>
        <w:numPr>
          <w:ilvl w:val="0"/>
          <w:numId w:val="6"/>
        </w:numPr>
        <w:suppressLineNumbers w:val="0"/>
        <w:spacing w:before="0" w:beforeAutospacing="1" w:after="0" w:afterAutospacing="1"/>
        <w:ind w:left="720" w:hanging="360"/>
      </w:pPr>
      <w:r>
        <w:rPr>
          <w:rStyle w:val="7"/>
        </w:rPr>
        <w:t>相关原文条款引用</w:t>
      </w:r>
      <w:r>
        <w:t xml:space="preserve">： </w:t>
      </w:r>
    </w:p>
    <w:p w14:paraId="2C6EA024">
      <w:pPr>
        <w:keepNext w:val="0"/>
        <w:keepLines w:val="0"/>
        <w:widowControl/>
        <w:numPr>
          <w:ilvl w:val="1"/>
          <w:numId w:val="6"/>
        </w:numPr>
        <w:suppressLineNumbers w:val="0"/>
        <w:spacing w:before="0" w:beforeAutospacing="1" w:after="0" w:afterAutospacing="1"/>
        <w:ind w:left="1440" w:hanging="360"/>
      </w:pPr>
      <w:r>
        <w:t>ASIC Crypto-Assets Information Sheet (updated June 2025): "If you are issuing crypto-assets that fall within the definition of a ‘financial product’, Australian laws apply, including the requirement to hold an Australian financial services (AFS) licence."</w:t>
      </w:r>
    </w:p>
    <w:p w14:paraId="12C27A3D">
      <w:pPr>
        <w:keepNext w:val="0"/>
        <w:keepLines w:val="0"/>
        <w:widowControl/>
        <w:numPr>
          <w:ilvl w:val="1"/>
          <w:numId w:val="6"/>
        </w:numPr>
        <w:suppressLineNumbers w:val="0"/>
        <w:spacing w:before="0" w:beforeAutospacing="1" w:after="0" w:afterAutospacing="1"/>
        <w:ind w:left="1440" w:hanging="360"/>
      </w:pPr>
      <w:r>
        <w:t>Corporations Act, s 911A(1): "Subject to this section, a person who carries on a financial services business in this jurisdiction must hold an Australian financial services licence covering the provision of the financial services."</w:t>
      </w:r>
    </w:p>
    <w:p w14:paraId="33FCEE37">
      <w:pPr>
        <w:keepNext w:val="0"/>
        <w:keepLines w:val="0"/>
        <w:widowControl/>
        <w:numPr>
          <w:ilvl w:val="1"/>
          <w:numId w:val="6"/>
        </w:numPr>
        <w:suppressLineNumbers w:val="0"/>
        <w:spacing w:before="0" w:beforeAutospacing="1" w:after="0" w:afterAutospacing="1"/>
        <w:ind w:left="1440" w:hanging="360"/>
      </w:pPr>
      <w:r>
        <w:t>ASIC RG 1 (2025): "We expect that applicants proposing to operate registered schemes that hold crypto-assets (whether the scheme holds one or more crypto-assets) will initially apply for ‘named scheme’ authorisation. This authorises the licensee to operate only the specific crypto-asset registered scheme(s) named on the licence." (适用于稳定币作为managed investment scheme)。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17"/>
        <w:gridCol w:w="2302"/>
        <w:gridCol w:w="2422"/>
        <w:gridCol w:w="457"/>
        <w:gridCol w:w="2598"/>
      </w:tblGrid>
      <w:tr w14:paraId="0549BD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E4999ED">
            <w:pPr>
              <w:keepNext w:val="0"/>
              <w:keepLines w:val="0"/>
              <w:widowControl/>
              <w:suppressLineNumbers w:val="0"/>
              <w:jc w:val="center"/>
              <w:rPr>
                <w:b/>
                <w:bCs/>
              </w:rPr>
            </w:pPr>
            <w:r>
              <w:rPr>
                <w:rFonts w:ascii="宋体" w:hAnsi="宋体" w:eastAsia="宋体" w:cs="宋体"/>
                <w:b/>
                <w:bCs/>
                <w:kern w:val="0"/>
                <w:sz w:val="24"/>
                <w:szCs w:val="24"/>
                <w:lang w:val="en-US" w:eastAsia="zh-CN" w:bidi="ar"/>
              </w:rPr>
              <w:t>司法管辖区</w:t>
            </w:r>
          </w:p>
        </w:tc>
        <w:tc>
          <w:tcPr>
            <w:tcW w:w="0" w:type="auto"/>
            <w:shd w:val="clear"/>
            <w:vAlign w:val="center"/>
          </w:tcPr>
          <w:p w14:paraId="18014E50">
            <w:pPr>
              <w:keepNext w:val="0"/>
              <w:keepLines w:val="0"/>
              <w:widowControl/>
              <w:suppressLineNumbers w:val="0"/>
              <w:jc w:val="center"/>
              <w:rPr>
                <w:b/>
                <w:bCs/>
              </w:rPr>
            </w:pPr>
            <w:r>
              <w:rPr>
                <w:rFonts w:ascii="宋体" w:hAnsi="宋体" w:eastAsia="宋体" w:cs="宋体"/>
                <w:b/>
                <w:bCs/>
                <w:kern w:val="0"/>
                <w:sz w:val="24"/>
                <w:szCs w:val="24"/>
                <w:lang w:val="en-US" w:eastAsia="zh-CN" w:bidi="ar"/>
              </w:rPr>
              <w:t>法案名称</w:t>
            </w:r>
          </w:p>
        </w:tc>
        <w:tc>
          <w:tcPr>
            <w:tcW w:w="0" w:type="auto"/>
            <w:shd w:val="clear"/>
            <w:vAlign w:val="center"/>
          </w:tcPr>
          <w:p w14:paraId="3AE1DC17">
            <w:pPr>
              <w:keepNext w:val="0"/>
              <w:keepLines w:val="0"/>
              <w:widowControl/>
              <w:suppressLineNumbers w:val="0"/>
              <w:jc w:val="center"/>
              <w:rPr>
                <w:b/>
                <w:bCs/>
              </w:rPr>
            </w:pPr>
            <w:r>
              <w:rPr>
                <w:rFonts w:ascii="宋体" w:hAnsi="宋体" w:eastAsia="宋体" w:cs="宋体"/>
                <w:b/>
                <w:bCs/>
                <w:kern w:val="0"/>
                <w:sz w:val="24"/>
                <w:szCs w:val="24"/>
                <w:lang w:val="en-US" w:eastAsia="zh-CN" w:bidi="ar"/>
              </w:rPr>
              <w:t>牌照/批准名称</w:t>
            </w:r>
          </w:p>
        </w:tc>
        <w:tc>
          <w:tcPr>
            <w:tcW w:w="0" w:type="auto"/>
            <w:shd w:val="clear"/>
            <w:vAlign w:val="center"/>
          </w:tcPr>
          <w:p w14:paraId="115AC98B">
            <w:pPr>
              <w:keepNext w:val="0"/>
              <w:keepLines w:val="0"/>
              <w:widowControl/>
              <w:suppressLineNumbers w:val="0"/>
              <w:jc w:val="center"/>
              <w:rPr>
                <w:b/>
                <w:bCs/>
              </w:rPr>
            </w:pPr>
            <w:r>
              <w:rPr>
                <w:rFonts w:ascii="宋体" w:hAnsi="宋体" w:eastAsia="宋体" w:cs="宋体"/>
                <w:b/>
                <w:bCs/>
                <w:kern w:val="0"/>
                <w:sz w:val="24"/>
                <w:szCs w:val="24"/>
                <w:lang w:val="en-US" w:eastAsia="zh-CN" w:bidi="ar"/>
              </w:rPr>
              <w:t>制度类型</w:t>
            </w:r>
          </w:p>
        </w:tc>
        <w:tc>
          <w:tcPr>
            <w:tcW w:w="0" w:type="auto"/>
            <w:shd w:val="clear"/>
            <w:vAlign w:val="center"/>
          </w:tcPr>
          <w:p w14:paraId="3F3BF63E">
            <w:pPr>
              <w:keepNext w:val="0"/>
              <w:keepLines w:val="0"/>
              <w:widowControl/>
              <w:suppressLineNumbers w:val="0"/>
              <w:jc w:val="center"/>
              <w:rPr>
                <w:b/>
                <w:bCs/>
              </w:rPr>
            </w:pPr>
            <w:r>
              <w:rPr>
                <w:rFonts w:ascii="宋体" w:hAnsi="宋体" w:eastAsia="宋体" w:cs="宋体"/>
                <w:b/>
                <w:bCs/>
                <w:kern w:val="0"/>
                <w:sz w:val="24"/>
                <w:szCs w:val="24"/>
                <w:lang w:val="en-US" w:eastAsia="zh-CN" w:bidi="ar"/>
              </w:rPr>
              <w:t>关键特征</w:t>
            </w:r>
          </w:p>
        </w:tc>
      </w:tr>
      <w:tr w14:paraId="0D115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D678593">
            <w:pPr>
              <w:keepNext w:val="0"/>
              <w:keepLines w:val="0"/>
              <w:widowControl/>
              <w:suppressLineNumbers w:val="0"/>
              <w:jc w:val="left"/>
            </w:pPr>
            <w:r>
              <w:rPr>
                <w:rFonts w:ascii="宋体" w:hAnsi="宋体" w:eastAsia="宋体" w:cs="宋体"/>
                <w:kern w:val="0"/>
                <w:sz w:val="24"/>
                <w:szCs w:val="24"/>
                <w:lang w:val="en-US" w:eastAsia="zh-CN" w:bidi="ar"/>
              </w:rPr>
              <w:t>美国</w:t>
            </w:r>
          </w:p>
        </w:tc>
        <w:tc>
          <w:tcPr>
            <w:tcW w:w="0" w:type="auto"/>
            <w:shd w:val="clear"/>
            <w:vAlign w:val="center"/>
          </w:tcPr>
          <w:p w14:paraId="6ABA921B">
            <w:pPr>
              <w:keepNext w:val="0"/>
              <w:keepLines w:val="0"/>
              <w:widowControl/>
              <w:suppressLineNumbers w:val="0"/>
              <w:jc w:val="left"/>
            </w:pPr>
            <w:r>
              <w:rPr>
                <w:rFonts w:ascii="宋体" w:hAnsi="宋体" w:eastAsia="宋体" w:cs="宋体"/>
                <w:kern w:val="0"/>
                <w:sz w:val="24"/>
                <w:szCs w:val="24"/>
                <w:lang w:val="en-US" w:eastAsia="zh-CN" w:bidi="ar"/>
              </w:rPr>
              <w:t>GENIUS Act of 2025</w:t>
            </w:r>
          </w:p>
        </w:tc>
        <w:tc>
          <w:tcPr>
            <w:tcW w:w="0" w:type="auto"/>
            <w:shd w:val="clear"/>
            <w:vAlign w:val="center"/>
          </w:tcPr>
          <w:p w14:paraId="73B1093C">
            <w:pPr>
              <w:keepNext w:val="0"/>
              <w:keepLines w:val="0"/>
              <w:widowControl/>
              <w:suppressLineNumbers w:val="0"/>
              <w:jc w:val="left"/>
            </w:pPr>
            <w:r>
              <w:rPr>
                <w:rFonts w:ascii="宋体" w:hAnsi="宋体" w:eastAsia="宋体" w:cs="宋体"/>
                <w:kern w:val="0"/>
                <w:sz w:val="24"/>
                <w:szCs w:val="24"/>
                <w:lang w:val="en-US" w:eastAsia="zh-CN" w:bidi="ar"/>
              </w:rPr>
              <w:t>Permitted payment stablecoin issuer approval</w:t>
            </w:r>
          </w:p>
        </w:tc>
        <w:tc>
          <w:tcPr>
            <w:tcW w:w="0" w:type="auto"/>
            <w:shd w:val="clear"/>
            <w:vAlign w:val="center"/>
          </w:tcPr>
          <w:p w14:paraId="2B444C5A">
            <w:pPr>
              <w:keepNext w:val="0"/>
              <w:keepLines w:val="0"/>
              <w:widowControl/>
              <w:suppressLineNumbers w:val="0"/>
              <w:jc w:val="left"/>
            </w:pPr>
            <w:r>
              <w:rPr>
                <w:rFonts w:ascii="宋体" w:hAnsi="宋体" w:eastAsia="宋体" w:cs="宋体"/>
                <w:kern w:val="0"/>
                <w:sz w:val="24"/>
                <w:szCs w:val="24"/>
                <w:lang w:val="en-US" w:eastAsia="zh-CN" w:bidi="ar"/>
              </w:rPr>
              <w:t>批准制</w:t>
            </w:r>
          </w:p>
        </w:tc>
        <w:tc>
          <w:tcPr>
            <w:tcW w:w="0" w:type="auto"/>
            <w:shd w:val="clear"/>
            <w:vAlign w:val="center"/>
          </w:tcPr>
          <w:p w14:paraId="42558292">
            <w:pPr>
              <w:keepNext w:val="0"/>
              <w:keepLines w:val="0"/>
              <w:widowControl/>
              <w:suppressLineNumbers w:val="0"/>
              <w:jc w:val="left"/>
            </w:pPr>
            <w:r>
              <w:rPr>
                <w:rFonts w:ascii="宋体" w:hAnsi="宋体" w:eastAsia="宋体" w:cs="宋体"/>
                <w:kern w:val="0"/>
                <w:sz w:val="24"/>
                <w:szCs w:val="24"/>
                <w:lang w:val="en-US" w:eastAsia="zh-CN" w:bidi="ar"/>
              </w:rPr>
              <w:t>联邦监管批准，120天内决策；适用于银行子公司及非银行实体。</w:t>
            </w:r>
          </w:p>
        </w:tc>
      </w:tr>
      <w:tr w14:paraId="408C48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84560F3">
            <w:pPr>
              <w:keepNext w:val="0"/>
              <w:keepLines w:val="0"/>
              <w:widowControl/>
              <w:suppressLineNumbers w:val="0"/>
              <w:jc w:val="left"/>
            </w:pPr>
            <w:r>
              <w:rPr>
                <w:rFonts w:ascii="宋体" w:hAnsi="宋体" w:eastAsia="宋体" w:cs="宋体"/>
                <w:kern w:val="0"/>
                <w:sz w:val="24"/>
                <w:szCs w:val="24"/>
                <w:lang w:val="en-US" w:eastAsia="zh-CN" w:bidi="ar"/>
              </w:rPr>
              <w:t>香港</w:t>
            </w:r>
          </w:p>
        </w:tc>
        <w:tc>
          <w:tcPr>
            <w:tcW w:w="0" w:type="auto"/>
            <w:shd w:val="clear"/>
            <w:vAlign w:val="center"/>
          </w:tcPr>
          <w:p w14:paraId="57C88242">
            <w:pPr>
              <w:keepNext w:val="0"/>
              <w:keepLines w:val="0"/>
              <w:widowControl/>
              <w:suppressLineNumbers w:val="0"/>
              <w:jc w:val="left"/>
            </w:pPr>
            <w:r>
              <w:rPr>
                <w:rFonts w:ascii="宋体" w:hAnsi="宋体" w:eastAsia="宋体" w:cs="宋体"/>
                <w:kern w:val="0"/>
                <w:sz w:val="24"/>
                <w:szCs w:val="24"/>
                <w:lang w:val="en-US" w:eastAsia="zh-CN" w:bidi="ar"/>
              </w:rPr>
              <w:t>Stablecoins Ordinance (2025)</w:t>
            </w:r>
          </w:p>
        </w:tc>
        <w:tc>
          <w:tcPr>
            <w:tcW w:w="0" w:type="auto"/>
            <w:shd w:val="clear"/>
            <w:vAlign w:val="center"/>
          </w:tcPr>
          <w:p w14:paraId="379124CC">
            <w:pPr>
              <w:keepNext w:val="0"/>
              <w:keepLines w:val="0"/>
              <w:widowControl/>
              <w:suppressLineNumbers w:val="0"/>
              <w:jc w:val="left"/>
            </w:pPr>
            <w:r>
              <w:rPr>
                <w:rFonts w:ascii="宋体" w:hAnsi="宋体" w:eastAsia="宋体" w:cs="宋体"/>
                <w:kern w:val="0"/>
                <w:sz w:val="24"/>
                <w:szCs w:val="24"/>
                <w:lang w:val="en-US" w:eastAsia="zh-CN" w:bidi="ar"/>
              </w:rPr>
              <w:t>Stablecoin licence</w:t>
            </w:r>
          </w:p>
        </w:tc>
        <w:tc>
          <w:tcPr>
            <w:tcW w:w="0" w:type="auto"/>
            <w:shd w:val="clear"/>
            <w:vAlign w:val="center"/>
          </w:tcPr>
          <w:p w14:paraId="7F6E7E8E">
            <w:pPr>
              <w:keepNext w:val="0"/>
              <w:keepLines w:val="0"/>
              <w:widowControl/>
              <w:suppressLineNumbers w:val="0"/>
              <w:jc w:val="left"/>
            </w:pPr>
            <w:r>
              <w:rPr>
                <w:rFonts w:ascii="宋体" w:hAnsi="宋体" w:eastAsia="宋体" w:cs="宋体"/>
                <w:kern w:val="0"/>
                <w:sz w:val="24"/>
                <w:szCs w:val="24"/>
                <w:lang w:val="en-US" w:eastAsia="zh-CN" w:bidi="ar"/>
              </w:rPr>
              <w:t>牌照制</w:t>
            </w:r>
          </w:p>
        </w:tc>
        <w:tc>
          <w:tcPr>
            <w:tcW w:w="0" w:type="auto"/>
            <w:shd w:val="clear"/>
            <w:vAlign w:val="center"/>
          </w:tcPr>
          <w:p w14:paraId="782961A4">
            <w:pPr>
              <w:keepNext w:val="0"/>
              <w:keepLines w:val="0"/>
              <w:widowControl/>
              <w:suppressLineNumbers w:val="0"/>
              <w:jc w:val="left"/>
            </w:pPr>
            <w:r>
              <w:rPr>
                <w:rFonts w:ascii="宋体" w:hAnsi="宋体" w:eastAsia="宋体" w:cs="宋体"/>
                <w:kern w:val="0"/>
                <w:sz w:val="24"/>
                <w:szCs w:val="24"/>
                <w:lang w:val="en-US" w:eastAsia="zh-CN" w:bidi="ar"/>
              </w:rPr>
              <w:t>HKMA事先牌照；无牌照发行或营销属犯罪。</w:t>
            </w:r>
          </w:p>
        </w:tc>
      </w:tr>
      <w:tr w14:paraId="0E701C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8B9132D">
            <w:pPr>
              <w:keepNext w:val="0"/>
              <w:keepLines w:val="0"/>
              <w:widowControl/>
              <w:suppressLineNumbers w:val="0"/>
              <w:jc w:val="left"/>
            </w:pPr>
            <w:r>
              <w:rPr>
                <w:rFonts w:ascii="宋体" w:hAnsi="宋体" w:eastAsia="宋体" w:cs="宋体"/>
                <w:kern w:val="0"/>
                <w:sz w:val="24"/>
                <w:szCs w:val="24"/>
                <w:lang w:val="en-US" w:eastAsia="zh-CN" w:bidi="ar"/>
              </w:rPr>
              <w:t>欧盟</w:t>
            </w:r>
          </w:p>
        </w:tc>
        <w:tc>
          <w:tcPr>
            <w:tcW w:w="0" w:type="auto"/>
            <w:shd w:val="clear"/>
            <w:vAlign w:val="center"/>
          </w:tcPr>
          <w:p w14:paraId="4C17B0F6">
            <w:pPr>
              <w:keepNext w:val="0"/>
              <w:keepLines w:val="0"/>
              <w:widowControl/>
              <w:suppressLineNumbers w:val="0"/>
              <w:jc w:val="left"/>
            </w:pPr>
            <w:r>
              <w:rPr>
                <w:rFonts w:ascii="宋体" w:hAnsi="宋体" w:eastAsia="宋体" w:cs="宋体"/>
                <w:kern w:val="0"/>
                <w:sz w:val="24"/>
                <w:szCs w:val="24"/>
                <w:lang w:val="en-US" w:eastAsia="zh-CN" w:bidi="ar"/>
              </w:rPr>
              <w:t>MiCA (2023/1114)</w:t>
            </w:r>
          </w:p>
        </w:tc>
        <w:tc>
          <w:tcPr>
            <w:tcW w:w="0" w:type="auto"/>
            <w:shd w:val="clear"/>
            <w:vAlign w:val="center"/>
          </w:tcPr>
          <w:p w14:paraId="055EB740">
            <w:pPr>
              <w:keepNext w:val="0"/>
              <w:keepLines w:val="0"/>
              <w:widowControl/>
              <w:suppressLineNumbers w:val="0"/>
              <w:jc w:val="left"/>
            </w:pPr>
            <w:r>
              <w:rPr>
                <w:rFonts w:ascii="宋体" w:hAnsi="宋体" w:eastAsia="宋体" w:cs="宋体"/>
                <w:kern w:val="0"/>
                <w:sz w:val="24"/>
                <w:szCs w:val="24"/>
                <w:lang w:val="en-US" w:eastAsia="zh-CN" w:bidi="ar"/>
              </w:rPr>
              <w:t>ART/EMT issuer authorisation</w:t>
            </w:r>
          </w:p>
        </w:tc>
        <w:tc>
          <w:tcPr>
            <w:tcW w:w="0" w:type="auto"/>
            <w:shd w:val="clear"/>
            <w:vAlign w:val="center"/>
          </w:tcPr>
          <w:p w14:paraId="69F713DA">
            <w:pPr>
              <w:keepNext w:val="0"/>
              <w:keepLines w:val="0"/>
              <w:widowControl/>
              <w:suppressLineNumbers w:val="0"/>
              <w:jc w:val="left"/>
            </w:pPr>
            <w:r>
              <w:rPr>
                <w:rFonts w:ascii="宋体" w:hAnsi="宋体" w:eastAsia="宋体" w:cs="宋体"/>
                <w:kern w:val="0"/>
                <w:sz w:val="24"/>
                <w:szCs w:val="24"/>
                <w:lang w:val="en-US" w:eastAsia="zh-CN" w:bidi="ar"/>
              </w:rPr>
              <w:t>牌照制</w:t>
            </w:r>
          </w:p>
        </w:tc>
        <w:tc>
          <w:tcPr>
            <w:tcW w:w="0" w:type="auto"/>
            <w:shd w:val="clear"/>
            <w:vAlign w:val="center"/>
          </w:tcPr>
          <w:p w14:paraId="453D344C">
            <w:pPr>
              <w:keepNext w:val="0"/>
              <w:keepLines w:val="0"/>
              <w:widowControl/>
              <w:suppressLineNumbers w:val="0"/>
              <w:jc w:val="left"/>
            </w:pPr>
            <w:r>
              <w:rPr>
                <w:rFonts w:ascii="宋体" w:hAnsi="宋体" w:eastAsia="宋体" w:cs="宋体"/>
                <w:kern w:val="0"/>
                <w:sz w:val="24"/>
                <w:szCs w:val="24"/>
                <w:lang w:val="en-US" w:eastAsia="zh-CN" w:bidi="ar"/>
              </w:rPr>
              <w:t>成员国授权；仅授权实体可发行。</w:t>
            </w:r>
          </w:p>
        </w:tc>
      </w:tr>
      <w:tr w14:paraId="6D5D7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A056984">
            <w:pPr>
              <w:keepNext w:val="0"/>
              <w:keepLines w:val="0"/>
              <w:widowControl/>
              <w:suppressLineNumbers w:val="0"/>
              <w:jc w:val="left"/>
            </w:pPr>
            <w:r>
              <w:rPr>
                <w:rFonts w:ascii="宋体" w:hAnsi="宋体" w:eastAsia="宋体" w:cs="宋体"/>
                <w:kern w:val="0"/>
                <w:sz w:val="24"/>
                <w:szCs w:val="24"/>
                <w:lang w:val="en-US" w:eastAsia="zh-CN" w:bidi="ar"/>
              </w:rPr>
              <w:t>新加坡</w:t>
            </w:r>
          </w:p>
        </w:tc>
        <w:tc>
          <w:tcPr>
            <w:tcW w:w="0" w:type="auto"/>
            <w:shd w:val="clear"/>
            <w:vAlign w:val="center"/>
          </w:tcPr>
          <w:p w14:paraId="6A5651AC">
            <w:pPr>
              <w:keepNext w:val="0"/>
              <w:keepLines w:val="0"/>
              <w:widowControl/>
              <w:suppressLineNumbers w:val="0"/>
              <w:jc w:val="left"/>
            </w:pPr>
            <w:r>
              <w:rPr>
                <w:rFonts w:ascii="宋体" w:hAnsi="宋体" w:eastAsia="宋体" w:cs="宋体"/>
                <w:kern w:val="0"/>
                <w:sz w:val="24"/>
                <w:szCs w:val="24"/>
                <w:lang w:val="en-US" w:eastAsia="zh-CN" w:bidi="ar"/>
              </w:rPr>
              <w:t>Payment Services Act (stablecoin framework)</w:t>
            </w:r>
          </w:p>
        </w:tc>
        <w:tc>
          <w:tcPr>
            <w:tcW w:w="0" w:type="auto"/>
            <w:shd w:val="clear"/>
            <w:vAlign w:val="center"/>
          </w:tcPr>
          <w:p w14:paraId="0084D1D2">
            <w:pPr>
              <w:keepNext w:val="0"/>
              <w:keepLines w:val="0"/>
              <w:widowControl/>
              <w:suppressLineNumbers w:val="0"/>
              <w:jc w:val="left"/>
            </w:pPr>
            <w:r>
              <w:rPr>
                <w:rFonts w:ascii="宋体" w:hAnsi="宋体" w:eastAsia="宋体" w:cs="宋体"/>
                <w:kern w:val="0"/>
                <w:sz w:val="24"/>
                <w:szCs w:val="24"/>
                <w:lang w:val="en-US" w:eastAsia="zh-CN" w:bidi="ar"/>
              </w:rPr>
              <w:t>Stablecoin Issuance Service Licence</w:t>
            </w:r>
          </w:p>
        </w:tc>
        <w:tc>
          <w:tcPr>
            <w:tcW w:w="0" w:type="auto"/>
            <w:shd w:val="clear"/>
            <w:vAlign w:val="center"/>
          </w:tcPr>
          <w:p w14:paraId="44C6A33F">
            <w:pPr>
              <w:keepNext w:val="0"/>
              <w:keepLines w:val="0"/>
              <w:widowControl/>
              <w:suppressLineNumbers w:val="0"/>
              <w:jc w:val="left"/>
            </w:pPr>
            <w:r>
              <w:rPr>
                <w:rFonts w:ascii="宋体" w:hAnsi="宋体" w:eastAsia="宋体" w:cs="宋体"/>
                <w:kern w:val="0"/>
                <w:sz w:val="24"/>
                <w:szCs w:val="24"/>
                <w:lang w:val="en-US" w:eastAsia="zh-CN" w:bidi="ar"/>
              </w:rPr>
              <w:t>牌照制</w:t>
            </w:r>
          </w:p>
        </w:tc>
        <w:tc>
          <w:tcPr>
            <w:tcW w:w="0" w:type="auto"/>
            <w:shd w:val="clear"/>
            <w:vAlign w:val="center"/>
          </w:tcPr>
          <w:p w14:paraId="0E426176">
            <w:pPr>
              <w:keepNext w:val="0"/>
              <w:keepLines w:val="0"/>
              <w:widowControl/>
              <w:suppressLineNumbers w:val="0"/>
              <w:jc w:val="left"/>
            </w:pPr>
            <w:r>
              <w:rPr>
                <w:rFonts w:ascii="宋体" w:hAnsi="宋体" w:eastAsia="宋体" w:cs="宋体"/>
                <w:kern w:val="0"/>
                <w:sz w:val="24"/>
                <w:szCs w:val="24"/>
                <w:lang w:val="en-US" w:eastAsia="zh-CN" w:bidi="ar"/>
              </w:rPr>
              <w:t>MAS Major Payment Institution牌照；储备及AML要求。</w:t>
            </w:r>
          </w:p>
        </w:tc>
      </w:tr>
      <w:tr w14:paraId="2866CC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F19B39F">
            <w:pPr>
              <w:keepNext w:val="0"/>
              <w:keepLines w:val="0"/>
              <w:widowControl/>
              <w:suppressLineNumbers w:val="0"/>
              <w:jc w:val="left"/>
            </w:pPr>
            <w:r>
              <w:rPr>
                <w:rFonts w:ascii="宋体" w:hAnsi="宋体" w:eastAsia="宋体" w:cs="宋体"/>
                <w:kern w:val="0"/>
                <w:sz w:val="24"/>
                <w:szCs w:val="24"/>
                <w:lang w:val="en-US" w:eastAsia="zh-CN" w:bidi="ar"/>
              </w:rPr>
              <w:t>UAE</w:t>
            </w:r>
          </w:p>
        </w:tc>
        <w:tc>
          <w:tcPr>
            <w:tcW w:w="0" w:type="auto"/>
            <w:shd w:val="clear"/>
            <w:vAlign w:val="center"/>
          </w:tcPr>
          <w:p w14:paraId="65C75273">
            <w:pPr>
              <w:keepNext w:val="0"/>
              <w:keepLines w:val="0"/>
              <w:widowControl/>
              <w:suppressLineNumbers w:val="0"/>
              <w:jc w:val="left"/>
            </w:pPr>
            <w:r>
              <w:rPr>
                <w:rFonts w:ascii="宋体" w:hAnsi="宋体" w:eastAsia="宋体" w:cs="宋体"/>
                <w:kern w:val="0"/>
                <w:sz w:val="24"/>
                <w:szCs w:val="24"/>
                <w:lang w:val="en-US" w:eastAsia="zh-CN" w:bidi="ar"/>
              </w:rPr>
              <w:t>Payment Token Services Regulation</w:t>
            </w:r>
          </w:p>
        </w:tc>
        <w:tc>
          <w:tcPr>
            <w:tcW w:w="0" w:type="auto"/>
            <w:shd w:val="clear"/>
            <w:vAlign w:val="center"/>
          </w:tcPr>
          <w:p w14:paraId="1C7885C0">
            <w:pPr>
              <w:keepNext w:val="0"/>
              <w:keepLines w:val="0"/>
              <w:widowControl/>
              <w:suppressLineNumbers w:val="0"/>
              <w:jc w:val="left"/>
            </w:pPr>
            <w:r>
              <w:rPr>
                <w:rFonts w:ascii="宋体" w:hAnsi="宋体" w:eastAsia="宋体" w:cs="宋体"/>
                <w:kern w:val="0"/>
                <w:sz w:val="24"/>
                <w:szCs w:val="24"/>
                <w:lang w:val="en-US" w:eastAsia="zh-CN" w:bidi="ar"/>
              </w:rPr>
              <w:t>Dirham Payment Token Issuer Licence</w:t>
            </w:r>
          </w:p>
        </w:tc>
        <w:tc>
          <w:tcPr>
            <w:tcW w:w="0" w:type="auto"/>
            <w:shd w:val="clear"/>
            <w:vAlign w:val="center"/>
          </w:tcPr>
          <w:p w14:paraId="3D0CAC0C">
            <w:pPr>
              <w:keepNext w:val="0"/>
              <w:keepLines w:val="0"/>
              <w:widowControl/>
              <w:suppressLineNumbers w:val="0"/>
              <w:jc w:val="left"/>
            </w:pPr>
            <w:r>
              <w:rPr>
                <w:rFonts w:ascii="宋体" w:hAnsi="宋体" w:eastAsia="宋体" w:cs="宋体"/>
                <w:kern w:val="0"/>
                <w:sz w:val="24"/>
                <w:szCs w:val="24"/>
                <w:lang w:val="en-US" w:eastAsia="zh-CN" w:bidi="ar"/>
              </w:rPr>
              <w:t>牌照制</w:t>
            </w:r>
          </w:p>
        </w:tc>
        <w:tc>
          <w:tcPr>
            <w:tcW w:w="0" w:type="auto"/>
            <w:shd w:val="clear"/>
            <w:vAlign w:val="center"/>
          </w:tcPr>
          <w:p w14:paraId="256D7408">
            <w:pPr>
              <w:keepNext w:val="0"/>
              <w:keepLines w:val="0"/>
              <w:widowControl/>
              <w:suppressLineNumbers w:val="0"/>
              <w:jc w:val="left"/>
            </w:pPr>
            <w:r>
              <w:rPr>
                <w:rFonts w:ascii="宋体" w:hAnsi="宋体" w:eastAsia="宋体" w:cs="宋体"/>
                <w:kern w:val="0"/>
                <w:sz w:val="24"/>
                <w:szCs w:val="24"/>
                <w:lang w:val="en-US" w:eastAsia="zh-CN" w:bidi="ar"/>
              </w:rPr>
              <w:t>CBUAE牌照/注册；禁止算法稳定币。</w:t>
            </w:r>
          </w:p>
        </w:tc>
      </w:tr>
      <w:tr w14:paraId="504152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558637F">
            <w:pPr>
              <w:keepNext w:val="0"/>
              <w:keepLines w:val="0"/>
              <w:widowControl/>
              <w:suppressLineNumbers w:val="0"/>
              <w:jc w:val="left"/>
            </w:pPr>
            <w:r>
              <w:rPr>
                <w:rFonts w:ascii="宋体" w:hAnsi="宋体" w:eastAsia="宋体" w:cs="宋体"/>
                <w:kern w:val="0"/>
                <w:sz w:val="24"/>
                <w:szCs w:val="24"/>
                <w:lang w:val="en-US" w:eastAsia="zh-CN" w:bidi="ar"/>
              </w:rPr>
              <w:t>澳大利亚</w:t>
            </w:r>
          </w:p>
        </w:tc>
        <w:tc>
          <w:tcPr>
            <w:tcW w:w="0" w:type="auto"/>
            <w:shd w:val="clear"/>
            <w:vAlign w:val="center"/>
          </w:tcPr>
          <w:p w14:paraId="11949BF7">
            <w:pPr>
              <w:keepNext w:val="0"/>
              <w:keepLines w:val="0"/>
              <w:widowControl/>
              <w:suppressLineNumbers w:val="0"/>
              <w:jc w:val="left"/>
            </w:pPr>
            <w:r>
              <w:rPr>
                <w:rFonts w:ascii="宋体" w:hAnsi="宋体" w:eastAsia="宋体" w:cs="宋体"/>
                <w:kern w:val="0"/>
                <w:sz w:val="24"/>
                <w:szCs w:val="24"/>
                <w:lang w:val="en-US" w:eastAsia="zh-CN" w:bidi="ar"/>
              </w:rPr>
              <w:t>Corporations Act 2001 (ASIC updates 2025)</w:t>
            </w:r>
          </w:p>
        </w:tc>
        <w:tc>
          <w:tcPr>
            <w:tcW w:w="0" w:type="auto"/>
            <w:shd w:val="clear"/>
            <w:vAlign w:val="center"/>
          </w:tcPr>
          <w:p w14:paraId="3555C85D">
            <w:pPr>
              <w:keepNext w:val="0"/>
              <w:keepLines w:val="0"/>
              <w:widowControl/>
              <w:suppressLineNumbers w:val="0"/>
              <w:jc w:val="left"/>
            </w:pPr>
            <w:r>
              <w:rPr>
                <w:rFonts w:ascii="宋体" w:hAnsi="宋体" w:eastAsia="宋体" w:cs="宋体"/>
                <w:kern w:val="0"/>
                <w:sz w:val="24"/>
                <w:szCs w:val="24"/>
                <w:lang w:val="en-US" w:eastAsia="zh-CN" w:bidi="ar"/>
              </w:rPr>
              <w:t>AFS Licence with named scheme authorisation</w:t>
            </w:r>
          </w:p>
        </w:tc>
        <w:tc>
          <w:tcPr>
            <w:tcW w:w="0" w:type="auto"/>
            <w:shd w:val="clear"/>
            <w:vAlign w:val="center"/>
          </w:tcPr>
          <w:p w14:paraId="113155A1">
            <w:pPr>
              <w:keepNext w:val="0"/>
              <w:keepLines w:val="0"/>
              <w:widowControl/>
              <w:suppressLineNumbers w:val="0"/>
              <w:jc w:val="left"/>
            </w:pPr>
            <w:r>
              <w:rPr>
                <w:rFonts w:ascii="宋体" w:hAnsi="宋体" w:eastAsia="宋体" w:cs="宋体"/>
                <w:kern w:val="0"/>
                <w:sz w:val="24"/>
                <w:szCs w:val="24"/>
                <w:lang w:val="en-US" w:eastAsia="zh-CN" w:bidi="ar"/>
              </w:rPr>
              <w:t>牌照制</w:t>
            </w:r>
          </w:p>
        </w:tc>
        <w:tc>
          <w:tcPr>
            <w:tcW w:w="0" w:type="auto"/>
            <w:shd w:val="clear"/>
            <w:vAlign w:val="center"/>
          </w:tcPr>
          <w:p w14:paraId="22C1974D">
            <w:pPr>
              <w:keepNext w:val="0"/>
              <w:keepLines w:val="0"/>
              <w:widowControl/>
              <w:suppressLineNumbers w:val="0"/>
              <w:jc w:val="left"/>
            </w:pPr>
            <w:r>
              <w:rPr>
                <w:rFonts w:ascii="宋体" w:hAnsi="宋体" w:eastAsia="宋体" w:cs="宋体"/>
                <w:kern w:val="0"/>
                <w:sz w:val="24"/>
                <w:szCs w:val="24"/>
                <w:lang w:val="en-US" w:eastAsia="zh-CN" w:bidi="ar"/>
              </w:rPr>
              <w:t>ASIC事先牌照；稳定币若为金融产品须遵守。</w:t>
            </w:r>
          </w:p>
        </w:tc>
      </w:tr>
    </w:tbl>
    <w:p w14:paraId="6E3F73F9">
      <w:pPr>
        <w:rPr>
          <w:rFonts w:hint="default" w:ascii="Calibri" w:hAnsi="Calibri" w:eastAsia="楷体" w:cs="Calibri"/>
        </w:rPr>
      </w:pPr>
      <w:r>
        <w:rPr>
          <w:rFonts w:hint="default" w:ascii="Calibri" w:hAnsi="Calibri" w:eastAsia="楷体" w:cs="Calibri"/>
        </w:rPr>
        <w:br w:type="page"/>
      </w:r>
    </w:p>
    <w:p w14:paraId="0E1290A7">
      <w:pPr>
        <w:rPr>
          <w:rFonts w:hint="default" w:ascii="Calibri" w:hAnsi="Calibri" w:eastAsia="楷体" w:cs="Calibri"/>
          <w:lang w:val="en-US" w:eastAsia="zh-CN"/>
        </w:rPr>
      </w:pPr>
      <w:r>
        <w:rPr>
          <w:rFonts w:hint="eastAsia" w:ascii="Calibri" w:hAnsi="Calibri" w:eastAsia="楷体" w:cs="Calibri"/>
          <w:lang w:val="en-US" w:eastAsia="zh-CN"/>
        </w:rPr>
        <w:t>RWA：</w:t>
      </w:r>
      <w:r>
        <w:rPr>
          <w:rFonts w:hint="eastAsia" w:ascii="Calibri" w:hAnsi="Calibri" w:eastAsia="楷体" w:cs="Calibri"/>
          <w:lang w:val="en-US" w:eastAsia="zh-CN"/>
        </w:rPr>
        <w:fldChar w:fldCharType="begin"/>
      </w:r>
      <w:r>
        <w:rPr>
          <w:rFonts w:hint="eastAsia" w:ascii="Calibri" w:hAnsi="Calibri" w:eastAsia="楷体" w:cs="Calibri"/>
          <w:lang w:val="en-US" w:eastAsia="zh-CN"/>
        </w:rPr>
        <w:instrText xml:space="preserve"> HYPERLINK "https://assets.coingecko.com/reports/Research/RWA-Report-2024-Rise-of-Real-World-Assets-in-Crypto.pdf?" </w:instrText>
      </w:r>
      <w:r>
        <w:rPr>
          <w:rFonts w:hint="eastAsia" w:ascii="Calibri" w:hAnsi="Calibri" w:eastAsia="楷体" w:cs="Calibri"/>
          <w:lang w:val="en-US" w:eastAsia="zh-CN"/>
        </w:rPr>
        <w:fldChar w:fldCharType="separate"/>
      </w:r>
      <w:r>
        <w:rPr>
          <w:rStyle w:val="8"/>
          <w:rFonts w:hint="eastAsia" w:ascii="Calibri" w:hAnsi="Calibri" w:eastAsia="楷体" w:cs="Calibri"/>
          <w:lang w:val="en-US" w:eastAsia="zh-CN"/>
        </w:rPr>
        <w:t>https://assets.coingecko.com/reports/Research/RWA-Report-2024-Rise-of-Real-World-Assets-in-Crypto.pdf?</w:t>
      </w:r>
      <w:r>
        <w:rPr>
          <w:rFonts w:hint="eastAsia" w:ascii="Calibri" w:hAnsi="Calibri" w:eastAsia="楷体" w:cs="Calibri"/>
          <w:lang w:val="en-US" w:eastAsia="zh-CN"/>
        </w:rPr>
        <w:fldChar w:fldCharType="end"/>
      </w:r>
      <w:r>
        <w:rPr>
          <w:rFonts w:hint="eastAsia" w:ascii="Calibri" w:hAnsi="Calibri" w:eastAsia="楷体" w:cs="Calibri"/>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ktivGrotesk-Regular">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A3D9A4"/>
    <w:multiLevelType w:val="multilevel"/>
    <w:tmpl w:val="CFA3D9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CCDF977"/>
    <w:multiLevelType w:val="multilevel"/>
    <w:tmpl w:val="DCCDF9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5C7F889"/>
    <w:multiLevelType w:val="multilevel"/>
    <w:tmpl w:val="E5C7F8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9DB2E71"/>
    <w:multiLevelType w:val="multilevel"/>
    <w:tmpl w:val="E9DB2E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7099AED"/>
    <w:multiLevelType w:val="multilevel"/>
    <w:tmpl w:val="17099A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CBFD5DA"/>
    <w:multiLevelType w:val="multilevel"/>
    <w:tmpl w:val="3CBFD5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4493F"/>
    <w:rsid w:val="06D95094"/>
    <w:rsid w:val="1954493F"/>
    <w:rsid w:val="1FE47ADF"/>
    <w:rsid w:val="368D6CE8"/>
    <w:rsid w:val="36FF1994"/>
    <w:rsid w:val="467902D2"/>
    <w:rsid w:val="48E409EA"/>
    <w:rsid w:val="503F66A1"/>
    <w:rsid w:val="5E0C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31</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2025-09-21T15:38:00Z</dcterms:created>
  <dc:creator>严子轩</dc:creator>
  <cp:lastModifiedBy>严子轩</cp:lastModifiedBy>
  <dcterms:modified xsi:type="dcterms:W3CDTF">2025-09-21T16:24:39Z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460C07C6C13F4B709B32CDB9876C36F5_11</vt:lpwstr>
  </property>
  <property fmtid="{D5CDD505-2E9C-101B-9397-08002B2CF9AE}" pid="4" name="KSOTemplateDocerSaveRecord">
    <vt:lpwstr>eyJoZGlkIjoiMzBjM2ZiZTIzN2UzMzQ0YjJiZTM2NjAwYTA4ZGUwYWQiLCJ1c2VySWQiOiIxMTk3OTMyMDUyIn0=</vt:lpwstr>
  </property>
</Properties>
</file>