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305CB0">
      <w:pPr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Data Center Project</w:t>
      </w:r>
    </w:p>
    <w:p w14:paraId="6B5D9E42"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Hyperscale那页</w:t>
      </w:r>
    </w:p>
    <w:p w14:paraId="7E9680A5">
      <w:p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+P3 左下角 合并同类项</w:t>
      </w:r>
    </w:p>
    <w:p w14:paraId="5EA44210">
      <w:pPr>
        <w:jc w:val="left"/>
        <w:rPr>
          <w:rFonts w:hint="eastAsia"/>
          <w:b/>
          <w:bCs/>
          <w:lang w:val="en-US" w:eastAsia="zh-CN"/>
        </w:rPr>
      </w:pPr>
    </w:p>
    <w:p w14:paraId="4BEE0B59">
      <w:pPr>
        <w:jc w:val="left"/>
        <w:rPr>
          <w:rFonts w:hint="eastAsia"/>
          <w:b/>
          <w:bCs/>
          <w:lang w:val="en-US" w:eastAsia="zh-CN"/>
        </w:rPr>
      </w:pPr>
    </w:p>
    <w:p w14:paraId="46CD515D">
      <w:pPr>
        <w:jc w:val="left"/>
        <w:rPr>
          <w:rFonts w:hint="eastAsia"/>
          <w:b/>
          <w:bCs/>
          <w:lang w:val="en-US" w:eastAsia="zh-CN"/>
        </w:rPr>
      </w:pPr>
    </w:p>
    <w:p w14:paraId="5AE83715">
      <w:pPr>
        <w:jc w:val="left"/>
        <w:rPr>
          <w:rFonts w:hint="eastAsia"/>
          <w:b/>
          <w:bCs/>
          <w:highlight w:val="cyan"/>
          <w:lang w:val="en-US" w:eastAsia="zh-CN"/>
        </w:rPr>
      </w:pPr>
      <w:r>
        <w:rPr>
          <w:rFonts w:hint="eastAsia"/>
          <w:b/>
          <w:bCs/>
          <w:highlight w:val="cyan"/>
          <w:lang w:val="en-US" w:eastAsia="zh-CN"/>
        </w:rPr>
        <w:t>Page1 Data Center growth driven</w:t>
      </w:r>
    </w:p>
    <w:p w14:paraId="719AEE5C">
      <w:p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+P3 左下</w:t>
      </w:r>
      <w:r>
        <w:rPr>
          <w:rFonts w:hint="eastAsia"/>
          <w:b/>
          <w:bCs/>
          <w:lang w:val="en-US" w:eastAsia="zh-CN"/>
        </w:rPr>
        <w:t>角 Global total power capacity ~17% CAGR driven by AI</w:t>
      </w:r>
    </w:p>
    <w:p w14:paraId="780967AB">
      <w:pPr>
        <w:jc w:val="left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2390140" cy="2057400"/>
            <wp:effectExtent l="0" t="0" r="10160" b="0"/>
            <wp:docPr id="1" name="图片 1" descr="01b0da04-ed7f-4ee2-a76e-74770eaef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1b0da04-ed7f-4ee2-a76e-74770eaef4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9014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A43A">
      <w:pPr>
        <w:jc w:val="left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3040" cy="3451860"/>
            <wp:effectExtent l="0" t="0" r="3810" b="1524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241E338">
      <w:pPr>
        <w:jc w:val="left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66055" cy="4031615"/>
            <wp:effectExtent l="0" t="0" r="10795" b="6985"/>
            <wp:docPr id="18" name="图片 18" descr="4b3b555f-681b-4657-81ea-0330cff12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4b3b555f-681b-4657-81ea-0330cff1259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4300">
      <w:pPr>
        <w:jc w:val="left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64785" cy="2875280"/>
            <wp:effectExtent l="0" t="0" r="12065" b="1270"/>
            <wp:docPr id="15" name="图片 15" descr="316645e7-5b65-4db1-9015-dc7071bb2b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16645e7-5b65-4db1-9015-dc7071bb2bf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960E">
      <w:pPr>
        <w:keepNext w:val="0"/>
        <w:keepLines w:val="0"/>
        <w:widowControl/>
        <w:suppressLineNumbers w:val="0"/>
        <w:jc w:val="left"/>
      </w:pPr>
      <w:r>
        <w:rPr>
          <w:rFonts w:ascii="Arial-BoldMT" w:hAnsi="Arial-BoldMT" w:eastAsia="Arial-BoldMT" w:cs="Arial-BoldMT"/>
          <w:b/>
          <w:bCs/>
          <w:color w:val="C30F1B"/>
          <w:kern w:val="0"/>
          <w:sz w:val="21"/>
          <w:szCs w:val="21"/>
          <w:lang w:val="en-US" w:eastAsia="zh-CN" w:bidi="ar"/>
        </w:rPr>
        <w:t xml:space="preserve">2.2.2 </w:t>
      </w:r>
      <w:r>
        <w:rPr>
          <w:rFonts w:ascii="楷体" w:hAnsi="楷体" w:eastAsia="楷体" w:cs="楷体"/>
          <w:b/>
          <w:bCs/>
          <w:color w:val="C30F1B"/>
          <w:kern w:val="0"/>
          <w:sz w:val="21"/>
          <w:szCs w:val="21"/>
          <w:lang w:val="en-US" w:eastAsia="zh-CN" w:bidi="ar"/>
        </w:rPr>
        <w:t>业务层面：</w:t>
      </w:r>
      <w:r>
        <w:rPr>
          <w:rFonts w:hint="default" w:ascii="Arial-BoldMT" w:hAnsi="Arial-BoldMT" w:eastAsia="Arial-BoldMT" w:cs="Arial-BoldMT"/>
          <w:b/>
          <w:bCs/>
          <w:color w:val="C30F1B"/>
          <w:kern w:val="0"/>
          <w:sz w:val="21"/>
          <w:szCs w:val="21"/>
          <w:lang w:val="en-US" w:eastAsia="zh-CN" w:bidi="ar"/>
        </w:rPr>
        <w:t>AIDC</w:t>
      </w:r>
      <w:r>
        <w:rPr>
          <w:rFonts w:hint="eastAsia" w:ascii="楷体" w:hAnsi="楷体" w:eastAsia="楷体" w:cs="楷体"/>
          <w:b/>
          <w:bCs/>
          <w:color w:val="C30F1B"/>
          <w:kern w:val="0"/>
          <w:sz w:val="21"/>
          <w:szCs w:val="21"/>
          <w:lang w:val="en-US" w:eastAsia="zh-CN" w:bidi="ar"/>
        </w:rPr>
        <w:t>在商业模式、核心用途、服务方式和投资回报上区别于</w:t>
      </w:r>
      <w:r>
        <w:rPr>
          <w:rFonts w:hint="default" w:ascii="Arial-BoldMT" w:hAnsi="Arial-BoldMT" w:eastAsia="Arial-BoldMT" w:cs="Arial-BoldMT"/>
          <w:b/>
          <w:bCs/>
          <w:color w:val="C30F1B"/>
          <w:kern w:val="0"/>
          <w:sz w:val="21"/>
          <w:szCs w:val="21"/>
          <w:lang w:val="en-US" w:eastAsia="zh-CN" w:bidi="ar"/>
        </w:rPr>
        <w:t xml:space="preserve">IDC </w:t>
      </w:r>
    </w:p>
    <w:p w14:paraId="0AC2EB28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我们从商业模式、核心用途、服务方式和投资回报四个维度比较 </w:t>
      </w: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IDC </w:t>
      </w:r>
      <w:r>
        <w:rPr>
          <w:rFonts w:hint="eastAsia" w:ascii="楷体" w:hAnsi="楷体" w:eastAsia="楷体" w:cs="楷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和 </w:t>
      </w: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1"/>
          <w:szCs w:val="21"/>
          <w:lang w:val="en-US" w:eastAsia="zh-CN" w:bidi="ar"/>
        </w:rPr>
        <w:t>AIDC</w:t>
      </w:r>
      <w:r>
        <w:rPr>
          <w:rFonts w:hint="eastAsia" w:ascii="楷体" w:hAnsi="楷体" w:eastAsia="楷体" w:cs="楷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： </w:t>
      </w:r>
    </w:p>
    <w:p w14:paraId="3A0C7A0F"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➢ </w:t>
      </w:r>
    </w:p>
    <w:p w14:paraId="0C9E1F4F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b/>
          <w:bCs/>
          <w:color w:val="000000"/>
          <w:kern w:val="0"/>
          <w:sz w:val="21"/>
          <w:szCs w:val="21"/>
          <w:lang w:val="en-US" w:eastAsia="zh-CN" w:bidi="ar"/>
        </w:rPr>
        <w:t>商业模式上：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传统 </w:t>
      </w:r>
      <w:r>
        <w:rPr>
          <w:rFonts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IDC 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被视为成本中心，客户关注的是如何在有限的空间内塞入更 </w:t>
      </w:r>
    </w:p>
    <w:p w14:paraId="1B0C270A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>多的服务器；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AIDC 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转变为价值创造的前沿，即以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GPU 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为代表的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Token 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计算本身便 </w:t>
      </w:r>
    </w:p>
    <w:p w14:paraId="12119EE4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可产生价值，用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Token 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调用次数锚定产品价值，这在目前的文生文、文生视频等生成 </w:t>
      </w:r>
    </w:p>
    <w:p w14:paraId="147CBD55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式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AI 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>产品中较为常见，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AIDC 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的规模和能力的提升也将直接与盈利能力形成正比关系。 </w:t>
      </w:r>
    </w:p>
    <w:p w14:paraId="5D944ADD"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➢ </w:t>
      </w:r>
    </w:p>
    <w:p w14:paraId="4A5BD995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b/>
          <w:bCs/>
          <w:color w:val="000000"/>
          <w:kern w:val="0"/>
          <w:sz w:val="21"/>
          <w:szCs w:val="21"/>
          <w:lang w:val="en-US" w:eastAsia="zh-CN" w:bidi="ar"/>
        </w:rPr>
        <w:t>核心用途：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传统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IDC 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主要承载企业级应用和数据存储，如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Web 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服务、数据库管理和 </w:t>
      </w:r>
    </w:p>
    <w:p w14:paraId="348DCE18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文件存储等常规信息处理任务，涉及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AI 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训练、推理类的应用很少；而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AIDC 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是为人 </w:t>
      </w:r>
    </w:p>
    <w:p w14:paraId="694ECA2F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工智能和大数据应用提供算力、存储和相关服务的数据中心，通过在数据中心中增设 </w:t>
      </w:r>
    </w:p>
    <w:p w14:paraId="3D9C07FC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智能计算资源，提供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AI 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模型训练、推理、数据存储和处理等服务。 </w:t>
      </w:r>
    </w:p>
    <w:p w14:paraId="5BAE44E1"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➢ </w:t>
      </w:r>
    </w:p>
    <w:p w14:paraId="0EB10566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b/>
          <w:bCs/>
          <w:color w:val="000000"/>
          <w:kern w:val="0"/>
          <w:sz w:val="21"/>
          <w:szCs w:val="21"/>
          <w:lang w:val="en-US" w:eastAsia="zh-CN" w:bidi="ar"/>
        </w:rPr>
        <w:t>服务方式上：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IDC 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>以通用托管服务为主；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AIDC 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有望提供更加垂直化和专业化服务， </w:t>
      </w:r>
    </w:p>
    <w:p w14:paraId="451A870C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如定制化机柜部署、专用冷却解决方案等。 </w:t>
      </w:r>
    </w:p>
    <w:p w14:paraId="49591052"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➢ </w:t>
      </w:r>
    </w:p>
    <w:p w14:paraId="57796B75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b/>
          <w:bCs/>
          <w:color w:val="000000"/>
          <w:kern w:val="0"/>
          <w:sz w:val="21"/>
          <w:szCs w:val="21"/>
          <w:lang w:val="en-US" w:eastAsia="zh-CN" w:bidi="ar"/>
        </w:rPr>
        <w:t>投资回报上：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IDC 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>建设周期较长，以长期托管和租赁为主，收入模型稳定；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AIDC 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初 </w:t>
      </w:r>
    </w:p>
    <w:p w14:paraId="4CB73CA5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>始建设成本（硬件、冷却系统）较高，但单位功率密度功率更高，回报期相对更短。</w:t>
      </w:r>
    </w:p>
    <w:p w14:paraId="7D73A081">
      <w:pPr>
        <w:jc w:val="left"/>
        <w:rPr>
          <w:rFonts w:hint="eastAsia" w:eastAsiaTheme="minorEastAsia"/>
          <w:b/>
          <w:bCs/>
          <w:lang w:val="en-US" w:eastAsia="zh-CN"/>
        </w:rPr>
      </w:pPr>
      <w:r>
        <w:drawing>
          <wp:inline distT="0" distB="0" distL="114300" distR="114300">
            <wp:extent cx="635" cy="0"/>
            <wp:effectExtent l="0" t="0" r="0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bCs/>
          <w:lang w:val="en-US" w:eastAsia="zh-CN"/>
        </w:rPr>
        <w:drawing>
          <wp:inline distT="0" distB="0" distL="114300" distR="114300">
            <wp:extent cx="5266055" cy="2807970"/>
            <wp:effectExtent l="0" t="0" r="10795" b="11430"/>
            <wp:docPr id="17" name="图片 17" descr="149b4e0b-8aff-4043-a9e2-6895e33510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49b4e0b-8aff-4043-a9e2-6895e33510c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650B">
      <w:pPr>
        <w:jc w:val="left"/>
        <w:rPr>
          <w:rFonts w:hint="default"/>
          <w:b/>
          <w:bCs/>
          <w:lang w:val="en-US" w:eastAsia="zh-CN"/>
        </w:rPr>
      </w:pPr>
    </w:p>
    <w:p w14:paraId="26B8270D">
      <w:pPr>
        <w:jc w:val="left"/>
      </w:pPr>
      <w:r>
        <w:drawing>
          <wp:inline distT="0" distB="0" distL="114300" distR="114300">
            <wp:extent cx="5264785" cy="3056890"/>
            <wp:effectExtent l="0" t="0" r="12065" b="1016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9D42A"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796540"/>
            <wp:effectExtent l="0" t="0" r="10160" b="381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A8658">
      <w:pPr>
        <w:jc w:val="left"/>
        <w:rPr>
          <w:rFonts w:hint="default"/>
          <w:b/>
          <w:bCs/>
          <w:lang w:val="en-US" w:eastAsia="zh-CN"/>
        </w:rPr>
      </w:pPr>
    </w:p>
    <w:p w14:paraId="39258E26">
      <w:pPr>
        <w:jc w:val="left"/>
        <w:rPr>
          <w:rFonts w:hint="default"/>
          <w:b/>
          <w:bCs/>
          <w:lang w:val="en-US" w:eastAsia="zh-CN"/>
        </w:rPr>
      </w:pPr>
    </w:p>
    <w:p w14:paraId="69FC0C50">
      <w:pPr>
        <w:jc w:val="left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1.2AI 数据中心构成主要增量</w:t>
      </w:r>
    </w:p>
    <w:p w14:paraId="10BC8C80">
      <w:p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2024 年我国 AI 服务器出货量约占整体服务器的 9.3%。据 IDC，2024 年中国服务器出货量预计约 455 万台，同比基本持平；据中投产业研究院，2024 年我国 AI 服务器 </w:t>
      </w:r>
    </w:p>
    <w:p w14:paraId="684F8564">
      <w:p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出货量约 42.1 万台，同比增长 19%，约占总服务器出货量的 9.3%。</w:t>
      </w:r>
    </w:p>
    <w:p w14:paraId="3AE3FD6F">
      <w:pPr>
        <w:jc w:val="left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64150" cy="2319655"/>
            <wp:effectExtent l="0" t="0" r="12700" b="4445"/>
            <wp:docPr id="2" name="图片 2" descr="12d2de00-da62-449f-94a9-8ad7edbb07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2d2de00-da62-449f-94a9-8ad7edbb079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74AE">
      <w:p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推理型服务器或逐渐成为市场主流产品。</w:t>
      </w:r>
      <w:r>
        <w:rPr>
          <w:rFonts w:hint="eastAsia"/>
          <w:b w:val="0"/>
          <w:bCs w:val="0"/>
          <w:lang w:val="en-US" w:eastAsia="zh-CN"/>
        </w:rPr>
        <w:t xml:space="preserve">在 AI 大模型发展初期，对模型训练的需求 </w:t>
      </w:r>
    </w:p>
    <w:p w14:paraId="2C53701D">
      <w:p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更为旺盛，训练型服务器在市场占主导地位。而生成式 AI 应用的深化，未来更多 AI </w:t>
      </w:r>
    </w:p>
    <w:p w14:paraId="513F633C">
      <w:p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应用或从模型训练阶段转向实际推理应用，推理型服务器的占比或进一步提升。</w:t>
      </w:r>
    </w:p>
    <w:p w14:paraId="0A1B77C7">
      <w:pPr>
        <w:jc w:val="left"/>
      </w:pPr>
      <w:r>
        <w:drawing>
          <wp:inline distT="0" distB="0" distL="114300" distR="114300">
            <wp:extent cx="5267325" cy="2332990"/>
            <wp:effectExtent l="0" t="0" r="952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398F9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我国智能算力有望快速增长。据 IDC 调研显示，2024 年 42%的中国企业已经开始进</w:t>
      </w:r>
    </w:p>
    <w:p w14:paraId="546178F5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行大模型的初步测试和重点概念验证，17%的企业已经将技术引入生产阶段，并应用</w:t>
      </w:r>
    </w:p>
    <w:p w14:paraId="7D2B8F70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于实际业务中；在未来 18 个月内，硬件升级将成为企业在 AI 方面首要投资目标。IDC 预计 2023-2028 年，中国智能算力 5 年复合增长率有望达到 46.2%，通用算力 5</w:t>
      </w:r>
    </w:p>
    <w:p w14:paraId="2E3C1A99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年复合增长率有望达到 18.8%，较此前的预测增速进一步提升。</w:t>
      </w:r>
    </w:p>
    <w:p w14:paraId="6B31B746">
      <w:pPr>
        <w:jc w:val="left"/>
      </w:pPr>
      <w:r>
        <w:drawing>
          <wp:inline distT="0" distB="0" distL="114300" distR="114300">
            <wp:extent cx="5264150" cy="2388870"/>
            <wp:effectExtent l="0" t="0" r="12700" b="1143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5810C">
      <w:pPr>
        <w:keepNext w:val="0"/>
        <w:keepLines w:val="0"/>
        <w:widowControl/>
        <w:suppressLineNumbers w:val="0"/>
        <w:jc w:val="left"/>
      </w:pPr>
      <w:r>
        <w:rPr>
          <w:rFonts w:ascii="楷体" w:hAnsi="楷体" w:eastAsia="楷体" w:cs="楷体"/>
          <w:b/>
          <w:bCs/>
          <w:color w:val="000000"/>
          <w:kern w:val="0"/>
          <w:sz w:val="21"/>
          <w:szCs w:val="21"/>
          <w:lang w:val="en-US" w:eastAsia="zh-CN" w:bidi="ar"/>
        </w:rPr>
        <w:t>全球范围内数据中心功率的增长预计主要由 AI 数据中心推动。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全球范围的数据中心 </w:t>
      </w:r>
    </w:p>
    <w:p w14:paraId="7EBCC318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功率规模并无官方统计数据，我们参考 Omdia 和 IDC 两个口径的平均值，2024 年全 </w:t>
      </w:r>
    </w:p>
    <w:p w14:paraId="397712CA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球数据中心整体功率约为 119GW，较上一年新增 19GW；预计 2028 年全球数据中心整 </w:t>
      </w:r>
    </w:p>
    <w:p w14:paraId="66D5CF9B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体功率有望增长至 198GW。据 SemiAnalysis 的测算，2024 年全球 AI 数据中心新增 </w:t>
      </w:r>
    </w:p>
    <w:p w14:paraId="4BB81211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功率约占 50%，在未来几年有望进一步提升至 85%以上。在美国市场，考虑到老旧数 </w:t>
      </w:r>
    </w:p>
    <w:p w14:paraId="44A4D477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>据中心的退役，2024 年美国数据中心功率规模的净增量或全部由 AI 数据中心贡献。</w:t>
      </w:r>
    </w:p>
    <w:p w14:paraId="65AD1FDF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4472305"/>
            <wp:effectExtent l="0" t="0" r="6985" b="4445"/>
            <wp:docPr id="5" name="图片 5" descr="8d4dfb51-3f4f-400c-8737-06b565c97d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d4dfb51-3f4f-400c-8737-06b565c97d8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3BA1">
      <w:pPr>
        <w:keepNext w:val="0"/>
        <w:keepLines w:val="0"/>
        <w:widowControl/>
        <w:suppressLineNumbers w:val="0"/>
        <w:jc w:val="left"/>
      </w:pPr>
      <w:r>
        <w:rPr>
          <w:rFonts w:ascii="楷体" w:hAnsi="楷体" w:eastAsia="楷体" w:cs="楷体"/>
          <w:b/>
          <w:bCs/>
          <w:color w:val="000000"/>
          <w:kern w:val="0"/>
          <w:sz w:val="21"/>
          <w:szCs w:val="21"/>
          <w:lang w:val="en-US" w:eastAsia="zh-CN" w:bidi="ar"/>
        </w:rPr>
        <w:t>我国智算中心功率规模大幅增长，但渗透率仍处于较低水平。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据科智咨询，2024 年 </w:t>
      </w:r>
    </w:p>
    <w:p w14:paraId="1EFBEEB0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我国智算中心功率规模约2016MW，较上一年净增长1125MW，新增功率同比增长约174%， </w:t>
      </w:r>
    </w:p>
    <w:p w14:paraId="29A3583B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我们测算约占全部数据中心新增功率的 20%，与全球的 AI 数据中心渗透率相比尚处 </w:t>
      </w:r>
    </w:p>
    <w:p w14:paraId="440C6C3F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>于较低水平，有望快速提升。</w:t>
      </w:r>
    </w:p>
    <w:p w14:paraId="79566979"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303145"/>
            <wp:effectExtent l="0" t="0" r="6985" b="190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281AC">
      <w:pPr>
        <w:jc w:val="left"/>
        <w:rPr>
          <w:rFonts w:hint="eastAsia"/>
          <w:lang w:val="en-US" w:eastAsia="zh-CN"/>
        </w:rPr>
      </w:pPr>
    </w:p>
    <w:p w14:paraId="1B6680D9">
      <w:pPr>
        <w:jc w:val="left"/>
        <w:rPr>
          <w:rFonts w:hint="eastAsia"/>
          <w:lang w:val="en-US" w:eastAsia="zh-CN"/>
        </w:rPr>
      </w:pPr>
    </w:p>
    <w:p w14:paraId="374B9C8C">
      <w:pPr>
        <w:jc w:val="left"/>
        <w:rPr>
          <w:rFonts w:hint="eastAsia"/>
          <w:lang w:val="en-US" w:eastAsia="zh-CN"/>
        </w:rPr>
      </w:pPr>
    </w:p>
    <w:p w14:paraId="7C0E45D4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5864860"/>
            <wp:effectExtent l="0" t="0" r="8255" b="2540"/>
            <wp:docPr id="7" name="图片 7" descr="a5c5e7d6-550b-41ff-9a4b-36202ceea3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5c5e7d6-550b-41ff-9a4b-36202ceea3c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8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42D5">
      <w:pPr>
        <w:keepNext w:val="0"/>
        <w:keepLines w:val="0"/>
        <w:widowControl/>
        <w:suppressLineNumbers w:val="0"/>
        <w:jc w:val="left"/>
      </w:pPr>
      <w:r>
        <w:rPr>
          <w:rFonts w:ascii="楷体" w:hAnsi="楷体" w:eastAsia="楷体" w:cs="楷体"/>
          <w:b/>
          <w:bCs/>
          <w:color w:val="000000"/>
          <w:kern w:val="0"/>
          <w:sz w:val="21"/>
          <w:szCs w:val="21"/>
          <w:lang w:val="en-US" w:eastAsia="zh-CN" w:bidi="ar"/>
        </w:rPr>
        <w:t>三大运营商算力投资持续增长。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2024 年，三大运营商持续优化资本开支结构，整体 </w:t>
      </w:r>
    </w:p>
    <w:p w14:paraId="3B4CC5EB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投资强度有所下降，但对于算力等新兴业务的培育和发展加大投入。2024 年，三大 </w:t>
      </w:r>
    </w:p>
    <w:p w14:paraId="1F387355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运营商算力相关投入合计约 859 亿元，同比增长 25%。2025 年，中国电信预计算力相 </w:t>
      </w:r>
    </w:p>
    <w:p w14:paraId="0031D884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关资本开支同比进一步增长 22%，中国联通预计算力投资同比增长 28%，中国移动预 </w:t>
      </w:r>
    </w:p>
    <w:p w14:paraId="52620A63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计算力资本开支整体持平。我们预计随着国产算力芯片的性能提升，以及海外芯片的 </w:t>
      </w:r>
    </w:p>
    <w:p w14:paraId="35B5EC56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>供应瓶颈缓解，2025 年三大运营商的算力资本开支有望进一步上修。</w:t>
      </w:r>
    </w:p>
    <w:p w14:paraId="35421952"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5269230" cy="7136130"/>
            <wp:effectExtent l="0" t="0" r="7620" b="7620"/>
            <wp:docPr id="8" name="图片 8" descr="e513654f-2d26-4efe-bb77-2fa6fa7669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513654f-2d26-4efe-bb77-2fa6fa76690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13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B696">
      <w:pPr>
        <w:jc w:val="left"/>
        <w:rPr>
          <w:rFonts w:hint="eastAsia"/>
          <w:b/>
          <w:bCs/>
          <w:lang w:val="en-US" w:eastAsia="zh-CN"/>
        </w:rPr>
      </w:pPr>
    </w:p>
    <w:p w14:paraId="09FCFD48">
      <w:pPr>
        <w:jc w:val="left"/>
        <w:rPr>
          <w:rFonts w:hint="eastAsia"/>
          <w:b/>
          <w:bCs/>
          <w:lang w:val="en-US" w:eastAsia="zh-CN"/>
        </w:rPr>
      </w:pPr>
    </w:p>
    <w:p w14:paraId="7C72F9D9">
      <w:pPr>
        <w:jc w:val="left"/>
        <w:rPr>
          <w:rFonts w:hint="eastAsia"/>
          <w:b/>
          <w:bCs/>
          <w:lang w:val="en-US" w:eastAsia="zh-CN"/>
        </w:rPr>
      </w:pPr>
    </w:p>
    <w:p w14:paraId="011F309A">
      <w:pPr>
        <w:jc w:val="left"/>
        <w:rPr>
          <w:rFonts w:hint="eastAsia"/>
          <w:b/>
          <w:bCs/>
          <w:lang w:val="en-US" w:eastAsia="zh-CN"/>
        </w:rPr>
      </w:pPr>
    </w:p>
    <w:p w14:paraId="42DF2C13">
      <w:pPr>
        <w:keepNext w:val="0"/>
        <w:keepLines w:val="0"/>
        <w:widowControl/>
        <w:suppressLineNumbers w:val="0"/>
        <w:jc w:val="left"/>
      </w:pPr>
      <w:r>
        <w:rPr>
          <w:rFonts w:ascii="楷体" w:hAnsi="楷体" w:eastAsia="楷体" w:cs="楷体"/>
          <w:b/>
          <w:bCs/>
          <w:color w:val="000000"/>
          <w:kern w:val="0"/>
          <w:sz w:val="21"/>
          <w:szCs w:val="21"/>
          <w:lang w:val="en-US" w:eastAsia="zh-CN" w:bidi="ar"/>
        </w:rPr>
        <w:t>IDC 厂商加大算力中心建设与资源储备。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随着近年来国家和地方层面出台相关政策， </w:t>
      </w:r>
    </w:p>
    <w:p w14:paraId="668DCDFC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引导算力基础设施建设，我国算力服务商（IDC 厂商）加快算力中心项目的建设与资 </w:t>
      </w:r>
    </w:p>
    <w:p w14:paraId="26C892DB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源储备，落地大规模、高功率密度的项目以满足客户日益增长的算力需求。据科智咨 </w:t>
      </w:r>
    </w:p>
    <w:p w14:paraId="09FD2075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>询，中国算力中心服务商运营规模达到 14.2GW，同比增长 11%。</w:t>
      </w:r>
    </w:p>
    <w:p w14:paraId="60BB3380">
      <w:pPr>
        <w:jc w:val="left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7325" cy="3524885"/>
            <wp:effectExtent l="0" t="0" r="9525" b="1841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617D8">
      <w:pPr>
        <w:jc w:val="left"/>
        <w:rPr>
          <w:rFonts w:hint="eastAsia"/>
          <w:b/>
          <w:bCs/>
          <w:lang w:val="en-US" w:eastAsia="zh-CN"/>
        </w:rPr>
      </w:pPr>
    </w:p>
    <w:p w14:paraId="75F3C71E">
      <w:pPr>
        <w:jc w:val="left"/>
        <w:rPr>
          <w:rFonts w:hint="eastAsia"/>
          <w:b/>
          <w:bCs/>
          <w:lang w:val="en-US" w:eastAsia="zh-CN"/>
        </w:rPr>
      </w:pPr>
    </w:p>
    <w:p w14:paraId="2D6BB48F">
      <w:pPr>
        <w:jc w:val="left"/>
        <w:rPr>
          <w:rFonts w:hint="eastAsia"/>
          <w:b/>
          <w:bCs/>
          <w:lang w:val="en-US" w:eastAsia="zh-CN"/>
        </w:rPr>
      </w:pPr>
    </w:p>
    <w:p w14:paraId="24B809EE"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5269230" cy="3002280"/>
            <wp:effectExtent l="0" t="0" r="7620" b="7620"/>
            <wp:docPr id="10" name="图片 10" descr="6e2cc0f4-9d92-4c98-b022-6f84440632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e2cc0f4-9d92-4c98-b022-6f84440632ea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AE84">
      <w:pPr>
        <w:jc w:val="left"/>
        <w:rPr>
          <w:rFonts w:hint="eastAsia"/>
          <w:b/>
          <w:bCs/>
          <w:lang w:val="en-US" w:eastAsia="zh-CN"/>
        </w:rPr>
      </w:pPr>
    </w:p>
    <w:p w14:paraId="1EEA8877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exact"/>
        <w:jc w:val="left"/>
        <w:textAlignment w:val="auto"/>
        <w:rPr>
          <w:rFonts w:hint="eastAsia"/>
          <w:b/>
          <w:bCs/>
          <w:sz w:val="6"/>
          <w:szCs w:val="10"/>
          <w:lang w:val="en-US" w:eastAsia="zh-CN"/>
        </w:rPr>
      </w:pPr>
      <w:r>
        <w:rPr>
          <w:rFonts w:hint="eastAsia"/>
          <w:b/>
          <w:bCs/>
          <w:sz w:val="6"/>
          <w:szCs w:val="10"/>
          <w:lang w:val="en-US" w:eastAsia="zh-CN"/>
        </w:rPr>
        <w:t>QA：Deepseek的出现会不会减缓DC行业的增长</w:t>
      </w:r>
    </w:p>
    <w:p w14:paraId="6EE0D2BE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exact"/>
        <w:jc w:val="left"/>
        <w:textAlignment w:val="auto"/>
        <w:rPr>
          <w:rFonts w:hint="default"/>
          <w:b/>
          <w:bCs/>
          <w:sz w:val="6"/>
          <w:szCs w:val="10"/>
          <w:lang w:val="en-US" w:eastAsia="zh-CN"/>
        </w:rPr>
      </w:pPr>
      <w:r>
        <w:rPr>
          <w:rFonts w:hint="eastAsia"/>
          <w:b/>
          <w:bCs/>
          <w:sz w:val="6"/>
          <w:szCs w:val="10"/>
          <w:lang w:val="en-US" w:eastAsia="zh-CN"/>
        </w:rPr>
        <w:fldChar w:fldCharType="begin"/>
      </w:r>
      <w:r>
        <w:rPr>
          <w:rFonts w:hint="eastAsia"/>
          <w:b/>
          <w:bCs/>
          <w:sz w:val="6"/>
          <w:szCs w:val="10"/>
          <w:lang w:val="en-US" w:eastAsia="zh-CN"/>
        </w:rPr>
        <w:instrText xml:space="preserve"> HYPERLINK "https://news.sohu.com/a/855076286_122014422" </w:instrText>
      </w:r>
      <w:r>
        <w:rPr>
          <w:rFonts w:hint="eastAsia"/>
          <w:b/>
          <w:bCs/>
          <w:sz w:val="6"/>
          <w:szCs w:val="10"/>
          <w:lang w:val="en-US" w:eastAsia="zh-CN"/>
        </w:rPr>
        <w:fldChar w:fldCharType="separate"/>
      </w:r>
      <w:r>
        <w:rPr>
          <w:rStyle w:val="5"/>
          <w:rFonts w:hint="eastAsia"/>
          <w:b/>
          <w:bCs/>
          <w:sz w:val="6"/>
          <w:szCs w:val="10"/>
          <w:lang w:val="en-US" w:eastAsia="zh-CN"/>
        </w:rPr>
        <w:t>https://news.sohu.com/a/855076286_122014422</w:t>
      </w:r>
      <w:r>
        <w:rPr>
          <w:rFonts w:hint="eastAsia"/>
          <w:b/>
          <w:bCs/>
          <w:sz w:val="6"/>
          <w:szCs w:val="10"/>
          <w:lang w:val="en-US" w:eastAsia="zh-CN"/>
        </w:rPr>
        <w:fldChar w:fldCharType="end"/>
      </w:r>
      <w:r>
        <w:rPr>
          <w:rFonts w:hint="eastAsia"/>
          <w:b/>
          <w:bCs/>
          <w:sz w:val="6"/>
          <w:szCs w:val="10"/>
          <w:lang w:val="en-US" w:eastAsia="zh-CN"/>
        </w:rPr>
        <w:t xml:space="preserve"> </w:t>
      </w:r>
    </w:p>
    <w:p w14:paraId="708D6AFB"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32" w:beforeAutospacing="0" w:after="378" w:afterAutospacing="0" w:line="120" w:lineRule="exact"/>
        <w:ind w:left="0" w:right="0" w:firstLine="0"/>
        <w:jc w:val="left"/>
        <w:textAlignment w:val="auto"/>
        <w:rPr>
          <w:rFonts w:hint="eastAsia" w:ascii="Arial" w:hAnsi="Arial" w:eastAsia="Arial" w:cs="Arial"/>
          <w:i w:val="0"/>
          <w:iCs w:val="0"/>
          <w:caps w:val="0"/>
          <w:color w:val="191919"/>
          <w:spacing w:val="0"/>
          <w:sz w:val="10"/>
          <w:szCs w:val="1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91919"/>
          <w:spacing w:val="0"/>
          <w:sz w:val="10"/>
          <w:szCs w:val="10"/>
          <w:bdr w:val="none" w:color="auto" w:sz="0" w:space="0"/>
          <w:shd w:val="clear" w:fill="FFFFFF"/>
        </w:rPr>
        <w:t>模块化和边缘数据中心的作用</w:t>
      </w:r>
    </w:p>
    <w:p w14:paraId="73650595"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32" w:beforeAutospacing="0" w:after="378" w:afterAutospacing="0" w:line="120" w:lineRule="exact"/>
        <w:ind w:left="0" w:right="0" w:firstLine="0"/>
        <w:jc w:val="left"/>
        <w:textAlignment w:val="auto"/>
        <w:rPr>
          <w:rFonts w:hint="default" w:ascii="Arial" w:hAnsi="Arial" w:eastAsia="Arial" w:cs="Arial"/>
          <w:i w:val="0"/>
          <w:iCs w:val="0"/>
          <w:caps w:val="0"/>
          <w:color w:val="191919"/>
          <w:spacing w:val="0"/>
          <w:sz w:val="10"/>
          <w:szCs w:val="1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91919"/>
          <w:spacing w:val="0"/>
          <w:sz w:val="10"/>
          <w:szCs w:val="10"/>
          <w:bdr w:val="none" w:color="auto" w:sz="0" w:space="0"/>
          <w:shd w:val="clear" w:fill="FFFFFF"/>
        </w:rPr>
        <w:t>Farney 还强调了在这个不断发展的格局中，较小的、模块化的和边缘数据中心的重要性日益增加。</w:t>
      </w:r>
    </w:p>
    <w:p w14:paraId="468B0353"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32" w:beforeAutospacing="0" w:after="378" w:afterAutospacing="0" w:line="120" w:lineRule="exact"/>
        <w:ind w:left="0" w:right="0" w:firstLine="0"/>
        <w:jc w:val="left"/>
        <w:textAlignment w:val="auto"/>
        <w:rPr>
          <w:rFonts w:hint="default" w:ascii="Arial" w:hAnsi="Arial" w:eastAsia="Arial" w:cs="Arial"/>
          <w:i w:val="0"/>
          <w:iCs w:val="0"/>
          <w:caps w:val="0"/>
          <w:color w:val="191919"/>
          <w:spacing w:val="0"/>
          <w:sz w:val="10"/>
          <w:szCs w:val="1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91919"/>
          <w:spacing w:val="0"/>
          <w:sz w:val="10"/>
          <w:szCs w:val="10"/>
          <w:bdr w:val="none" w:color="auto" w:sz="0" w:space="0"/>
          <w:shd w:val="clear" w:fill="FFFFFF"/>
        </w:rPr>
        <w:t>虽然训练大型 AI 模型将继续需要大型集中式设施，但对 AI 推理的日益关注 — 使用训练好的模型提供实时见解 — 可能会推动对分布式、注重延迟的边缘数据中心的需求。</w:t>
      </w:r>
    </w:p>
    <w:p w14:paraId="72AE9279"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32" w:beforeAutospacing="0" w:after="378" w:afterAutospacing="0" w:line="120" w:lineRule="exact"/>
        <w:ind w:left="0" w:right="0" w:firstLine="0"/>
        <w:jc w:val="left"/>
        <w:textAlignment w:val="auto"/>
        <w:rPr>
          <w:rFonts w:hint="default" w:ascii="Arial" w:hAnsi="Arial" w:eastAsia="Arial" w:cs="Arial"/>
          <w:i w:val="0"/>
          <w:iCs w:val="0"/>
          <w:caps w:val="0"/>
          <w:color w:val="191919"/>
          <w:spacing w:val="0"/>
          <w:sz w:val="10"/>
          <w:szCs w:val="1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91919"/>
          <w:spacing w:val="0"/>
          <w:sz w:val="10"/>
          <w:szCs w:val="10"/>
          <w:bdr w:val="none" w:color="auto" w:sz="0" w:space="0"/>
          <w:shd w:val="clear" w:fill="FFFFFF"/>
        </w:rPr>
        <w:t>"随着我们进入 AI 的推理阶段，对本地化计算能力的需求在增长，"Farney 说。</w:t>
      </w:r>
    </w:p>
    <w:p w14:paraId="14235868"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32" w:beforeAutospacing="0" w:after="378" w:afterAutospacing="0" w:line="120" w:lineRule="exact"/>
        <w:ind w:left="0" w:right="0" w:firstLine="0"/>
        <w:jc w:val="left"/>
        <w:textAlignment w:val="auto"/>
        <w:rPr>
          <w:rFonts w:hint="default" w:ascii="Arial" w:hAnsi="Arial" w:eastAsia="Arial" w:cs="Arial"/>
          <w:i w:val="0"/>
          <w:iCs w:val="0"/>
          <w:caps w:val="0"/>
          <w:color w:val="191919"/>
          <w:spacing w:val="0"/>
          <w:sz w:val="10"/>
          <w:szCs w:val="1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91919"/>
          <w:spacing w:val="0"/>
          <w:sz w:val="10"/>
          <w:szCs w:val="10"/>
          <w:bdr w:val="none" w:color="auto" w:sz="0" w:space="0"/>
          <w:shd w:val="clear" w:fill="FFFFFF"/>
        </w:rPr>
        <w:t>推理通常需要低延迟和靠近用户，这使得较小的边缘式设施更实用。</w:t>
      </w:r>
    </w:p>
    <w:p w14:paraId="72A2F29B"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32" w:beforeAutospacing="0" w:after="378" w:afterAutospacing="0" w:line="120" w:lineRule="exact"/>
        <w:ind w:left="0" w:right="0" w:firstLine="0"/>
        <w:jc w:val="left"/>
        <w:textAlignment w:val="auto"/>
        <w:rPr>
          <w:rFonts w:hint="default" w:ascii="Arial" w:hAnsi="Arial" w:eastAsia="Arial" w:cs="Arial"/>
          <w:i w:val="0"/>
          <w:iCs w:val="0"/>
          <w:caps w:val="0"/>
          <w:color w:val="191919"/>
          <w:spacing w:val="0"/>
          <w:sz w:val="10"/>
          <w:szCs w:val="1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91919"/>
          <w:spacing w:val="0"/>
          <w:sz w:val="10"/>
          <w:szCs w:val="10"/>
          <w:bdr w:val="none" w:color="auto" w:sz="0" w:space="0"/>
          <w:shd w:val="clear" w:fill="FFFFFF"/>
        </w:rPr>
        <w:t>"我们可能最终会用专门用于 AI 任务的 1 或 2 兆瓦的小型数据中心铺满全球，"他说。</w:t>
      </w:r>
    </w:p>
    <w:p w14:paraId="35171B0D"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32" w:beforeAutospacing="0" w:after="378" w:afterAutospacing="0" w:line="120" w:lineRule="exact"/>
        <w:ind w:left="0" w:right="0" w:firstLine="0"/>
        <w:jc w:val="left"/>
        <w:textAlignment w:val="auto"/>
        <w:rPr>
          <w:rFonts w:hint="default" w:ascii="Arial" w:hAnsi="Arial" w:eastAsia="Arial" w:cs="Arial"/>
          <w:i w:val="0"/>
          <w:iCs w:val="0"/>
          <w:caps w:val="0"/>
          <w:color w:val="191919"/>
          <w:spacing w:val="0"/>
          <w:sz w:val="10"/>
          <w:szCs w:val="1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91919"/>
          <w:spacing w:val="0"/>
          <w:sz w:val="10"/>
          <w:szCs w:val="10"/>
          <w:bdr w:val="none" w:color="auto" w:sz="0" w:space="0"/>
          <w:shd w:val="clear" w:fill="FFFFFF"/>
        </w:rPr>
        <w:t>Farney 设想了一个混合的未来，其中巨型枢纽数据中心和分布式边缘设施共存，以满足 AI 工作负载的多样化需求。</w:t>
      </w:r>
    </w:p>
    <w:p w14:paraId="6094FBD7"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32" w:beforeAutospacing="0" w:after="378" w:afterAutospacing="0" w:line="120" w:lineRule="exact"/>
        <w:ind w:left="0" w:right="0" w:firstLine="0"/>
        <w:jc w:val="left"/>
        <w:textAlignment w:val="auto"/>
        <w:rPr>
          <w:rFonts w:hint="default" w:ascii="Arial" w:hAnsi="Arial" w:eastAsia="Arial" w:cs="Arial"/>
          <w:i w:val="0"/>
          <w:iCs w:val="0"/>
          <w:caps w:val="0"/>
          <w:color w:val="191919"/>
          <w:spacing w:val="0"/>
          <w:sz w:val="10"/>
          <w:szCs w:val="1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91919"/>
          <w:spacing w:val="0"/>
          <w:sz w:val="10"/>
          <w:szCs w:val="10"/>
          <w:bdr w:val="none" w:color="auto" w:sz="0" w:space="0"/>
          <w:shd w:val="clear" w:fill="FFFFFF"/>
        </w:rPr>
        <w:t>"这不是一个零和游戏，"他解释说。"我们将看到大规模设施继续增长用于批量 AI 训练，同时小型数据中心也会激增用于推理和实时应用。"</w:t>
      </w:r>
    </w:p>
    <w:p w14:paraId="16CD4E04"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32" w:beforeAutospacing="0" w:after="378" w:afterAutospacing="0" w:line="120" w:lineRule="exact"/>
        <w:ind w:left="0" w:right="0" w:firstLine="0"/>
        <w:jc w:val="left"/>
        <w:textAlignment w:val="auto"/>
        <w:rPr>
          <w:rFonts w:hint="default" w:ascii="Arial" w:hAnsi="Arial" w:eastAsia="Arial" w:cs="Arial"/>
          <w:i w:val="0"/>
          <w:iCs w:val="0"/>
          <w:caps w:val="0"/>
          <w:color w:val="191919"/>
          <w:spacing w:val="0"/>
          <w:sz w:val="10"/>
          <w:szCs w:val="1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91919"/>
          <w:spacing w:val="0"/>
          <w:sz w:val="10"/>
          <w:szCs w:val="10"/>
          <w:bdr w:val="none" w:color="auto" w:sz="0" w:space="0"/>
          <w:shd w:val="clear" w:fill="FFFFFF"/>
        </w:rPr>
        <w:t>数据去中心化的案例</w:t>
      </w:r>
    </w:p>
    <w:p w14:paraId="3830185F"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32" w:beforeAutospacing="0" w:after="378" w:afterAutospacing="0" w:line="120" w:lineRule="exact"/>
        <w:ind w:left="0" w:right="0" w:firstLine="0"/>
        <w:jc w:val="left"/>
        <w:textAlignment w:val="auto"/>
        <w:rPr>
          <w:rFonts w:hint="default" w:ascii="Arial" w:hAnsi="Arial" w:eastAsia="Arial" w:cs="Arial"/>
          <w:i w:val="0"/>
          <w:iCs w:val="0"/>
          <w:caps w:val="0"/>
          <w:color w:val="191919"/>
          <w:spacing w:val="0"/>
          <w:sz w:val="10"/>
          <w:szCs w:val="1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91919"/>
          <w:spacing w:val="0"/>
          <w:sz w:val="10"/>
          <w:szCs w:val="10"/>
          <w:bdr w:val="none" w:color="auto" w:sz="0" w:space="0"/>
          <w:shd w:val="clear" w:fill="FFFFFF"/>
        </w:rPr>
        <w:t>AR.IO (一个去中心化永久云网络提供商) 的创始人兼 CEO Phil Mataras 称当前集中式数据中心存储数据的方式 — 在一个地方托管海量数据集 — 是"疯狂的"。</w:t>
      </w:r>
    </w:p>
    <w:p w14:paraId="26809263"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32" w:beforeAutospacing="0" w:after="378" w:afterAutospacing="0" w:line="120" w:lineRule="exact"/>
        <w:ind w:left="0" w:right="0" w:firstLine="0"/>
        <w:jc w:val="left"/>
        <w:textAlignment w:val="auto"/>
        <w:rPr>
          <w:rFonts w:hint="default" w:ascii="Arial" w:hAnsi="Arial" w:eastAsia="Arial" w:cs="Arial"/>
          <w:i w:val="0"/>
          <w:iCs w:val="0"/>
          <w:caps w:val="0"/>
          <w:color w:val="191919"/>
          <w:spacing w:val="0"/>
          <w:sz w:val="10"/>
          <w:szCs w:val="1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91919"/>
          <w:spacing w:val="0"/>
          <w:sz w:val="10"/>
          <w:szCs w:val="10"/>
          <w:bdr w:val="none" w:color="auto" w:sz="0" w:space="0"/>
          <w:shd w:val="clear" w:fill="FFFFFF"/>
        </w:rPr>
        <w:t>"它无法合理支持 AI 的增长，因此需要新的解决方案，"他说。</w:t>
      </w:r>
    </w:p>
    <w:p w14:paraId="0DACB6E2"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32" w:beforeAutospacing="0" w:after="378" w:afterAutospacing="0" w:line="120" w:lineRule="exact"/>
        <w:ind w:left="0" w:right="0" w:firstLine="0"/>
        <w:jc w:val="left"/>
        <w:textAlignment w:val="auto"/>
        <w:rPr>
          <w:rFonts w:hint="default" w:ascii="Arial" w:hAnsi="Arial" w:eastAsia="Arial" w:cs="Arial"/>
          <w:i w:val="0"/>
          <w:iCs w:val="0"/>
          <w:caps w:val="0"/>
          <w:color w:val="191919"/>
          <w:spacing w:val="0"/>
          <w:sz w:val="10"/>
          <w:szCs w:val="1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91919"/>
          <w:spacing w:val="0"/>
          <w:sz w:val="10"/>
          <w:szCs w:val="10"/>
          <w:bdr w:val="none" w:color="auto" w:sz="0" w:space="0"/>
          <w:shd w:val="clear" w:fill="FFFFFF"/>
        </w:rPr>
        <w:t>虽然 Mataras 表示同意较小的、模块化的和边缘数据中心是解决方案的一部分，但它们必须得到更广泛的去中心化转变的支持。</w:t>
      </w:r>
    </w:p>
    <w:p w14:paraId="623A1FB5"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32" w:beforeAutospacing="0" w:after="378" w:afterAutospacing="0" w:line="120" w:lineRule="exact"/>
        <w:ind w:left="0" w:right="0" w:firstLine="0"/>
        <w:jc w:val="left"/>
        <w:textAlignment w:val="auto"/>
        <w:rPr>
          <w:rFonts w:hint="default" w:ascii="Arial" w:hAnsi="Arial" w:eastAsia="Arial" w:cs="Arial"/>
          <w:i w:val="0"/>
          <w:iCs w:val="0"/>
          <w:caps w:val="0"/>
          <w:color w:val="191919"/>
          <w:spacing w:val="0"/>
          <w:sz w:val="10"/>
          <w:szCs w:val="1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91919"/>
          <w:spacing w:val="0"/>
          <w:sz w:val="10"/>
          <w:szCs w:val="10"/>
          <w:bdr w:val="none" w:color="auto" w:sz="0" w:space="0"/>
          <w:shd w:val="clear" w:fill="FFFFFF"/>
        </w:rPr>
        <w:t>"仅靠这些小型中心可以提供低延迟处理，但即使有更高效的新模型进入市场，它们也无法满足 AI 行业增长带来的海量数据存储需求，"Mataras 说。</w:t>
      </w:r>
    </w:p>
    <w:p w14:paraId="4D5DB6C1"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32" w:beforeAutospacing="0" w:after="378" w:afterAutospacing="0" w:line="120" w:lineRule="exact"/>
        <w:ind w:left="0" w:right="0" w:firstLine="0"/>
        <w:jc w:val="left"/>
        <w:textAlignment w:val="auto"/>
        <w:rPr>
          <w:rFonts w:hint="default" w:ascii="Arial" w:hAnsi="Arial" w:eastAsia="Arial" w:cs="Arial"/>
          <w:i w:val="0"/>
          <w:iCs w:val="0"/>
          <w:caps w:val="0"/>
          <w:color w:val="191919"/>
          <w:spacing w:val="0"/>
          <w:sz w:val="10"/>
          <w:szCs w:val="1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91919"/>
          <w:spacing w:val="0"/>
          <w:sz w:val="10"/>
          <w:szCs w:val="10"/>
          <w:bdr w:val="none" w:color="auto" w:sz="0" w:space="0"/>
          <w:shd w:val="clear" w:fill="FFFFFF"/>
        </w:rPr>
        <w:t>Impossible Cloud Network 的联合创始人 Kai Wawrzinek 表示，即使有了额外的效率，全球对数据存储的需求只会增加。</w:t>
      </w:r>
    </w:p>
    <w:p w14:paraId="24F31C05"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32" w:beforeAutospacing="0" w:after="378" w:afterAutospacing="0" w:line="120" w:lineRule="exact"/>
        <w:ind w:left="0" w:right="0" w:firstLine="0"/>
        <w:jc w:val="left"/>
        <w:textAlignment w:val="auto"/>
        <w:rPr>
          <w:rFonts w:hint="default" w:ascii="Arial" w:hAnsi="Arial" w:eastAsia="Arial" w:cs="Arial"/>
          <w:i w:val="0"/>
          <w:iCs w:val="0"/>
          <w:caps w:val="0"/>
          <w:color w:val="191919"/>
          <w:spacing w:val="0"/>
          <w:sz w:val="10"/>
          <w:szCs w:val="1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91919"/>
          <w:spacing w:val="0"/>
          <w:sz w:val="10"/>
          <w:szCs w:val="10"/>
          <w:bdr w:val="none" w:color="auto" w:sz="0" w:space="0"/>
          <w:shd w:val="clear" w:fill="FFFFFF"/>
        </w:rPr>
        <w:t>"我们使用 AI 越多，运行支持它的大型数据中心所需的电力就越多。这是不可避免的，"他说。"我们已经看到像 Microsoft 这样的公司大力投资太阳能、风能和水力等可再生能源，以应对耗电量大的数据中心不断增长的需求。"</w:t>
      </w:r>
    </w:p>
    <w:p w14:paraId="63D06C54"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32" w:beforeAutospacing="0" w:after="378" w:afterAutospacing="0" w:line="120" w:lineRule="exact"/>
        <w:ind w:left="0" w:right="0" w:firstLine="0"/>
        <w:jc w:val="left"/>
        <w:textAlignment w:val="auto"/>
        <w:rPr>
          <w:rFonts w:hint="default" w:ascii="Arial" w:hAnsi="Arial" w:eastAsia="Arial" w:cs="Arial"/>
          <w:i w:val="0"/>
          <w:iCs w:val="0"/>
          <w:caps w:val="0"/>
          <w:color w:val="191919"/>
          <w:spacing w:val="0"/>
          <w:sz w:val="10"/>
          <w:szCs w:val="1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91919"/>
          <w:spacing w:val="0"/>
          <w:sz w:val="10"/>
          <w:szCs w:val="10"/>
          <w:bdr w:val="none" w:color="auto" w:sz="0" w:space="0"/>
          <w:shd w:val="clear" w:fill="FFFFFF"/>
        </w:rPr>
        <w:t>与 Mataras 一样，Wawrzinek 也主张采用去中心化解决方案，称现在 AI 已经出现，集中式数据存储的时代已经结束。</w:t>
      </w:r>
    </w:p>
    <w:p w14:paraId="417A2467"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32" w:beforeAutospacing="0" w:after="378" w:afterAutospacing="0" w:line="120" w:lineRule="exact"/>
        <w:ind w:left="0" w:right="0" w:firstLine="0"/>
        <w:jc w:val="left"/>
        <w:textAlignment w:val="auto"/>
        <w:rPr>
          <w:rFonts w:hint="default" w:ascii="Arial" w:hAnsi="Arial" w:eastAsia="Arial" w:cs="Arial"/>
          <w:i w:val="0"/>
          <w:iCs w:val="0"/>
          <w:caps w:val="0"/>
          <w:color w:val="191919"/>
          <w:spacing w:val="0"/>
          <w:sz w:val="10"/>
          <w:szCs w:val="1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91919"/>
          <w:spacing w:val="0"/>
          <w:sz w:val="10"/>
          <w:szCs w:val="10"/>
          <w:bdr w:val="none" w:color="auto" w:sz="0" w:space="0"/>
          <w:shd w:val="clear" w:fill="FFFFFF"/>
        </w:rPr>
        <w:t>"我们将看到数据中心的蓬勃发展 — 但将是去中心化的数据中心看到这种巨大的发展，"他说。"即使是最大的参与者的集中式解决方案，随着数据存储需求继续增加，也将面临挑战。"</w:t>
      </w:r>
    </w:p>
    <w:p w14:paraId="26699C56">
      <w:pPr>
        <w:jc w:val="left"/>
        <w:rPr>
          <w:rFonts w:hint="default"/>
          <w:b/>
          <w:bCs/>
          <w:lang w:val="en-US" w:eastAsia="zh-CN"/>
        </w:rPr>
      </w:pPr>
    </w:p>
    <w:p w14:paraId="16399028">
      <w:pPr>
        <w:jc w:val="left"/>
        <w:rPr>
          <w:rFonts w:hint="eastAsia"/>
          <w:b/>
          <w:bCs/>
          <w:lang w:val="en-US" w:eastAsia="zh-CN"/>
        </w:rPr>
      </w:pPr>
    </w:p>
    <w:p w14:paraId="0402A778">
      <w:pPr>
        <w:jc w:val="left"/>
        <w:rPr>
          <w:rFonts w:hint="eastAsia"/>
          <w:b/>
          <w:bCs/>
          <w:lang w:val="en-US" w:eastAsia="zh-CN"/>
        </w:rPr>
      </w:pPr>
    </w:p>
    <w:p w14:paraId="6EDC1DF7">
      <w:pPr>
        <w:jc w:val="left"/>
        <w:rPr>
          <w:rFonts w:hint="eastAsia"/>
          <w:b/>
          <w:bCs/>
          <w:lang w:val="en-US" w:eastAsia="zh-CN"/>
        </w:rPr>
      </w:pPr>
    </w:p>
    <w:p w14:paraId="46A83A52">
      <w:pPr>
        <w:jc w:val="left"/>
        <w:rPr>
          <w:rFonts w:hint="eastAsia"/>
          <w:b/>
          <w:bCs/>
          <w:lang w:val="en-US" w:eastAsia="zh-CN"/>
        </w:rPr>
      </w:pPr>
    </w:p>
    <w:p w14:paraId="02B1505E">
      <w:pPr>
        <w:jc w:val="left"/>
        <w:rPr>
          <w:rFonts w:hint="eastAsia"/>
          <w:b/>
          <w:bCs/>
          <w:lang w:val="en-US" w:eastAsia="zh-CN"/>
        </w:rPr>
      </w:pPr>
    </w:p>
    <w:p w14:paraId="47629546">
      <w:pPr>
        <w:jc w:val="left"/>
        <w:rPr>
          <w:rFonts w:hint="default"/>
          <w:b/>
          <w:bCs/>
          <w:lang w:val="en-US" w:eastAsia="zh-CN"/>
        </w:rPr>
      </w:pPr>
    </w:p>
    <w:p w14:paraId="252E5713"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Page2 Spillover demand from matured market</w:t>
      </w:r>
    </w:p>
    <w:p w14:paraId="730DFD21">
      <w:pPr>
        <w:jc w:val="left"/>
        <w:rPr>
          <w:rFonts w:hint="eastAsia"/>
          <w:b/>
          <w:bCs/>
          <w:lang w:val="en-US" w:eastAsia="zh-CN"/>
        </w:rPr>
      </w:pPr>
    </w:p>
    <w:p w14:paraId="1C6D76B0">
      <w:pPr>
        <w:jc w:val="left"/>
        <w:rPr>
          <w:rFonts w:hint="eastAsia"/>
          <w:b/>
          <w:bCs/>
          <w:lang w:val="en-US" w:eastAsia="zh-CN"/>
        </w:rPr>
      </w:pPr>
    </w:p>
    <w:p w14:paraId="00776B23">
      <w:pPr>
        <w:jc w:val="left"/>
        <w:rPr>
          <w:rFonts w:hint="eastAsia"/>
          <w:b/>
          <w:bCs/>
          <w:lang w:val="en-US" w:eastAsia="zh-CN"/>
        </w:rPr>
      </w:pPr>
    </w:p>
    <w:p w14:paraId="1D25A664">
      <w:pPr>
        <w:jc w:val="left"/>
        <w:rPr>
          <w:rFonts w:hint="eastAsia"/>
          <w:b/>
          <w:bCs/>
          <w:lang w:val="en-US" w:eastAsia="zh-CN"/>
        </w:rPr>
      </w:pPr>
    </w:p>
    <w:p w14:paraId="01532C24">
      <w:pPr>
        <w:jc w:val="left"/>
        <w:rPr>
          <w:rFonts w:hint="default"/>
          <w:b/>
          <w:bCs/>
          <w:lang w:val="en-US" w:eastAsia="zh-CN"/>
        </w:rPr>
      </w:pPr>
    </w:p>
    <w:p w14:paraId="1FA5C2BD">
      <w:pPr>
        <w:jc w:val="left"/>
        <w:rPr>
          <w:rFonts w:hint="default"/>
          <w:b/>
          <w:bCs/>
          <w:lang w:val="en-US" w:eastAsia="zh-CN"/>
        </w:rPr>
      </w:pPr>
    </w:p>
    <w:p w14:paraId="04658251">
      <w:pPr>
        <w:jc w:val="left"/>
        <w:rPr>
          <w:rFonts w:hint="default"/>
          <w:b/>
          <w:bCs/>
          <w:lang w:val="en-US" w:eastAsia="zh-CN"/>
        </w:rPr>
      </w:pPr>
    </w:p>
    <w:p w14:paraId="4BE5EF0D">
      <w:pPr>
        <w:jc w:val="left"/>
        <w:rPr>
          <w:rFonts w:hint="default"/>
          <w:b/>
          <w:bCs/>
          <w:lang w:val="en-US" w:eastAsia="zh-CN"/>
        </w:rPr>
      </w:pPr>
    </w:p>
    <w:p w14:paraId="6357AA5E"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Page3 Spillover demand from matured market</w:t>
      </w:r>
    </w:p>
    <w:p w14:paraId="00854418">
      <w:p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趋势——强调Intra-APAC</w:t>
      </w:r>
    </w:p>
    <w:p w14:paraId="24011685"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+ P8 第二列上方的整理表格（APAC to XX place）+右边APAC HQ的表格整理</w:t>
      </w:r>
    </w:p>
    <w:p w14:paraId="0BDCF372">
      <w:p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+P17 完整表格</w:t>
      </w:r>
    </w:p>
    <w:p w14:paraId="104B013D"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+P9 TBD（不确定要不要放）</w:t>
      </w:r>
    </w:p>
    <w:p w14:paraId="56D0D908">
      <w:pPr>
        <w:jc w:val="left"/>
        <w:rPr>
          <w:rFonts w:hint="default"/>
          <w:b/>
          <w:bCs/>
          <w:lang w:val="en-US" w:eastAsia="zh-CN"/>
        </w:rPr>
      </w:pPr>
    </w:p>
    <w:p w14:paraId="12CF764D"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+西部证券 强调东南亚市场趋势：</w:t>
      </w:r>
    </w:p>
    <w:p w14:paraId="2922C4ED">
      <w:pPr>
        <w:keepNext w:val="0"/>
        <w:keepLines w:val="0"/>
        <w:widowControl/>
        <w:suppressLineNumbers w:val="0"/>
        <w:jc w:val="left"/>
      </w:pPr>
      <w:r>
        <w:rPr>
          <w:rFonts w:ascii="Arial-BoldMT" w:hAnsi="Arial-BoldMT" w:eastAsia="Arial-BoldMT" w:cs="Arial-BoldMT"/>
          <w:b/>
          <w:bCs/>
          <w:color w:val="C30F1B"/>
          <w:kern w:val="0"/>
          <w:sz w:val="24"/>
          <w:szCs w:val="24"/>
          <w:lang w:val="en-US" w:eastAsia="zh-CN" w:bidi="ar"/>
        </w:rPr>
        <w:t>5.5 AIDC</w:t>
      </w:r>
      <w:r>
        <w:rPr>
          <w:rFonts w:ascii="楷体" w:hAnsi="楷体" w:eastAsia="楷体" w:cs="楷体"/>
          <w:b/>
          <w:bCs/>
          <w:color w:val="C30F1B"/>
          <w:kern w:val="0"/>
          <w:sz w:val="24"/>
          <w:szCs w:val="24"/>
          <w:lang w:val="en-US" w:eastAsia="zh-CN" w:bidi="ar"/>
        </w:rPr>
        <w:t>建设全球化，东南亚成为国内厂商</w:t>
      </w:r>
      <w:r>
        <w:rPr>
          <w:rFonts w:hint="default" w:ascii="Arial-BoldMT" w:hAnsi="Arial-BoldMT" w:eastAsia="Arial-BoldMT" w:cs="Arial-BoldMT"/>
          <w:b/>
          <w:bCs/>
          <w:color w:val="C30F1B"/>
          <w:kern w:val="0"/>
          <w:sz w:val="24"/>
          <w:szCs w:val="24"/>
          <w:lang w:val="en-US" w:eastAsia="zh-CN" w:bidi="ar"/>
        </w:rPr>
        <w:t>AIDC</w:t>
      </w:r>
      <w:r>
        <w:rPr>
          <w:rFonts w:hint="eastAsia" w:ascii="楷体" w:hAnsi="楷体" w:eastAsia="楷体" w:cs="楷体"/>
          <w:b/>
          <w:bCs/>
          <w:color w:val="C30F1B"/>
          <w:kern w:val="0"/>
          <w:sz w:val="24"/>
          <w:szCs w:val="24"/>
          <w:lang w:val="en-US" w:eastAsia="zh-CN" w:bidi="ar"/>
        </w:rPr>
        <w:t xml:space="preserve">建设出海核心区 </w:t>
      </w:r>
    </w:p>
    <w:p w14:paraId="3575815C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b/>
          <w:bCs/>
          <w:color w:val="000000"/>
          <w:kern w:val="0"/>
          <w:sz w:val="21"/>
          <w:szCs w:val="21"/>
          <w:lang w:val="en-US" w:eastAsia="zh-CN" w:bidi="ar"/>
        </w:rPr>
        <w:t>随着全球数字化步伐不断加速，中国的智算中心正积极探索海外市场。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随着北美、欧洲及 </w:t>
      </w:r>
    </w:p>
    <w:p w14:paraId="5B6D539D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东亚等经济发达地区数据中心市场趋于成熟，增长速度逐步放缓，新兴区域如东南亚、中 </w:t>
      </w:r>
    </w:p>
    <w:p w14:paraId="14032B24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东及非洲等地，尤其是东南亚地区，正展现出强劲的增长势头，预计未来将保持 </w:t>
      </w:r>
      <w:r>
        <w:rPr>
          <w:rFonts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15%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至 </w:t>
      </w:r>
    </w:p>
    <w:p w14:paraId="730E9C9B"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20%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以上的高速增长率，成为全球数据中心产业发展的新引擎与核心驱动力。 </w:t>
      </w:r>
    </w:p>
    <w:p w14:paraId="4365B406">
      <w:pPr>
        <w:keepNext w:val="0"/>
        <w:keepLines w:val="0"/>
        <w:widowControl/>
        <w:suppressLineNumbers w:val="0"/>
        <w:jc w:val="left"/>
      </w:pP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2024 </w:t>
      </w:r>
      <w:r>
        <w:rPr>
          <w:rFonts w:hint="eastAsia" w:ascii="楷体" w:hAnsi="楷体" w:eastAsia="楷体" w:cs="楷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年 </w:t>
      </w: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5 </w:t>
      </w:r>
      <w:r>
        <w:rPr>
          <w:rFonts w:hint="eastAsia" w:ascii="楷体" w:hAnsi="楷体" w:eastAsia="楷体" w:cs="楷体"/>
          <w:b/>
          <w:bCs/>
          <w:color w:val="000000"/>
          <w:kern w:val="0"/>
          <w:sz w:val="21"/>
          <w:szCs w:val="21"/>
          <w:lang w:val="en-US" w:eastAsia="zh-CN" w:bidi="ar"/>
        </w:rPr>
        <w:t>月，阿里云宣布将在全球五个国家投资新建数据中心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eastAsia" w:ascii="楷体" w:hAnsi="楷体" w:eastAsia="楷体" w:cs="楷体"/>
          <w:b/>
          <w:bCs/>
          <w:color w:val="000000"/>
          <w:kern w:val="0"/>
          <w:sz w:val="21"/>
          <w:szCs w:val="21"/>
          <w:lang w:val="en-US" w:eastAsia="zh-CN" w:bidi="ar"/>
        </w:rPr>
        <w:t>分别位于韩国、马来西亚、菲律宾、泰国和墨西哥。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2024 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年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6 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月，字节跳动宣布计划投资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100 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>亿林吉特（约合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21 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亿美元）在马来西亚建立一个区域人工智能中心同时额外追加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15 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亿林吉特（约合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3.2 </w:t>
      </w:r>
    </w:p>
    <w:p w14:paraId="398CEB44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>亿美元）投资扩建其在马来西亚柔佛州的现有数据中心设施。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2024 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年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11 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月腾讯云宣布计 </w:t>
      </w:r>
    </w:p>
    <w:p w14:paraId="46663CDB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划在印尼建设第三个数据中心，预计总投入资源价值约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5 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>亿美元，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2030 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>年建设完成。</w:t>
      </w:r>
    </w:p>
    <w:p w14:paraId="21EF1C1E">
      <w:pPr>
        <w:keepNext w:val="0"/>
        <w:keepLines w:val="0"/>
        <w:widowControl/>
        <w:suppressLineNumbers w:val="0"/>
        <w:jc w:val="left"/>
      </w:pPr>
      <w:r>
        <w:rPr>
          <w:rFonts w:ascii="楷体" w:hAnsi="楷体" w:eastAsia="楷体" w:cs="楷体"/>
          <w:b/>
          <w:bCs/>
          <w:color w:val="000000"/>
          <w:kern w:val="0"/>
          <w:sz w:val="21"/>
          <w:szCs w:val="21"/>
          <w:lang w:val="en-US" w:eastAsia="zh-CN" w:bidi="ar"/>
        </w:rPr>
        <w:t>万国数据在中国香港地区和新加坡</w:t>
      </w:r>
      <w:r>
        <w:rPr>
          <w:rFonts w:ascii="Arial-BoldMT" w:hAnsi="Arial-BoldMT" w:eastAsia="Arial-BoldMT" w:cs="Arial-BoldMT"/>
          <w:b/>
          <w:bCs/>
          <w:color w:val="000000"/>
          <w:kern w:val="0"/>
          <w:sz w:val="21"/>
          <w:szCs w:val="21"/>
          <w:lang w:val="en-US" w:eastAsia="zh-CN" w:bidi="ar"/>
        </w:rPr>
        <w:t>-</w:t>
      </w:r>
      <w:r>
        <w:rPr>
          <w:rFonts w:hint="eastAsia" w:ascii="楷体" w:hAnsi="楷体" w:eastAsia="楷体" w:cs="楷体"/>
          <w:b/>
          <w:bCs/>
          <w:color w:val="000000"/>
          <w:kern w:val="0"/>
          <w:sz w:val="21"/>
          <w:szCs w:val="21"/>
          <w:lang w:val="en-US" w:eastAsia="zh-CN" w:bidi="ar"/>
        </w:rPr>
        <w:t>柔佛</w:t>
      </w: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1"/>
          <w:szCs w:val="21"/>
          <w:lang w:val="en-US" w:eastAsia="zh-CN" w:bidi="ar"/>
        </w:rPr>
        <w:t>-</w:t>
      </w:r>
      <w:r>
        <w:rPr>
          <w:rFonts w:hint="eastAsia" w:ascii="楷体" w:hAnsi="楷体" w:eastAsia="楷体" w:cs="楷体"/>
          <w:b/>
          <w:bCs/>
          <w:color w:val="000000"/>
          <w:kern w:val="0"/>
          <w:sz w:val="21"/>
          <w:szCs w:val="21"/>
          <w:lang w:val="en-US" w:eastAsia="zh-CN" w:bidi="ar"/>
        </w:rPr>
        <w:t>巴淡岛等主要枢纽市场建立领先地位。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其在马来 </w:t>
      </w:r>
    </w:p>
    <w:p w14:paraId="6E215C47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西亚柔佛州形成了两个超大规模数据中心园区 </w:t>
      </w:r>
      <w:r>
        <w:rPr>
          <w:rFonts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NTP 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和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KTP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。日前万国数据马来西亚柔佛 </w:t>
      </w:r>
    </w:p>
    <w:p w14:paraId="654A80FC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>州努沙再也科技园数据中心园区二期（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NTP Campus 2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）正式开园投运，园区总建筑面积 </w:t>
      </w:r>
    </w:p>
    <w:p w14:paraId="591CBD19"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46,700 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平方米，总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IT 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容量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50MW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>，含两栋独立数据中心建筑（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NTP4 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和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NTP5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）。同时 </w:t>
      </w:r>
    </w:p>
    <w:p w14:paraId="594197CC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>万国数据与印尼主权财富基金印尼投资局（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INA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）达成合作，在巴淡岛隆莎数码工业园共 </w:t>
      </w:r>
    </w:p>
    <w:p w14:paraId="1DED4FAF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>同建设的首座数据中心（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NDP1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 xml:space="preserve">）的一期项目启动建设，净机房面积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2274 </w:t>
      </w:r>
      <w:r>
        <w:rPr>
          <w:rFonts w:hint="eastAsia" w:ascii="楷体" w:hAnsi="楷体" w:eastAsia="楷体" w:cs="楷体"/>
          <w:color w:val="000000"/>
          <w:kern w:val="0"/>
          <w:sz w:val="21"/>
          <w:szCs w:val="21"/>
          <w:lang w:val="en-US" w:eastAsia="zh-CN" w:bidi="ar"/>
        </w:rPr>
        <w:t>平方米。</w:t>
      </w:r>
    </w:p>
    <w:p w14:paraId="7837A350">
      <w:pPr>
        <w:jc w:val="center"/>
        <w:rPr>
          <w:rFonts w:hint="eastAsia" w:eastAsiaTheme="minorEastAsia"/>
          <w:b/>
          <w:bCs/>
          <w:lang w:val="en-US" w:eastAsia="zh-CN"/>
        </w:rPr>
      </w:pPr>
      <w:r>
        <w:drawing>
          <wp:inline distT="0" distB="0" distL="114300" distR="114300">
            <wp:extent cx="5264150" cy="3171825"/>
            <wp:effectExtent l="0" t="0" r="12700" b="952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193415"/>
            <wp:effectExtent l="0" t="0" r="4445" b="698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bCs/>
          <w:lang w:val="en-US" w:eastAsia="zh-CN"/>
        </w:rPr>
        <w:drawing>
          <wp:inline distT="0" distB="0" distL="114300" distR="114300">
            <wp:extent cx="5267325" cy="6301105"/>
            <wp:effectExtent l="0" t="0" r="9525" b="4445"/>
            <wp:docPr id="21" name="图片 21" descr="c96843ec-447a-46c5-b0d7-d5f76ca4b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96843ec-447a-46c5-b0d7-d5f76ca4b87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30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7679">
      <w:pPr>
        <w:jc w:val="center"/>
        <w:rPr>
          <w:rFonts w:hint="default"/>
          <w:b/>
          <w:bCs/>
          <w:lang w:val="en-US" w:eastAsia="zh-CN"/>
        </w:rPr>
      </w:pPr>
    </w:p>
    <w:p w14:paraId="4579AB2B">
      <w:pPr>
        <w:jc w:val="center"/>
        <w:rPr>
          <w:rFonts w:hint="default"/>
          <w:b/>
          <w:bCs/>
          <w:lang w:val="en-US" w:eastAsia="zh-CN"/>
        </w:rPr>
      </w:pPr>
    </w:p>
    <w:p w14:paraId="44FC39ED">
      <w:pPr>
        <w:jc w:val="center"/>
        <w:rPr>
          <w:rFonts w:hint="default"/>
          <w:b/>
          <w:bCs/>
          <w:lang w:val="en-US" w:eastAsia="zh-CN"/>
        </w:rPr>
      </w:pPr>
    </w:p>
    <w:p w14:paraId="606308AE"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Page4 Government support from emerging market（直接放上两张表格即可）</w:t>
      </w:r>
    </w:p>
    <w:p w14:paraId="05D9474C">
      <w:pPr>
        <w:jc w:val="left"/>
        <w:rPr>
          <w:rFonts w:hint="eastAsia"/>
          <w:b/>
          <w:bCs/>
          <w:lang w:val="en-US" w:eastAsia="zh-CN"/>
        </w:rPr>
      </w:pPr>
    </w:p>
    <w:p w14:paraId="4F06AB9F">
      <w:pPr>
        <w:jc w:val="left"/>
        <w:rPr>
          <w:rFonts w:hint="eastAsia"/>
          <w:b/>
          <w:bCs/>
          <w:lang w:val="en-US" w:eastAsia="zh-CN"/>
        </w:rPr>
      </w:pPr>
    </w:p>
    <w:p w14:paraId="586A07D1">
      <w:pPr>
        <w:jc w:val="left"/>
        <w:rPr>
          <w:rFonts w:hint="eastAsia"/>
          <w:b/>
          <w:bCs/>
          <w:lang w:val="en-US" w:eastAsia="zh-CN"/>
        </w:rPr>
      </w:pPr>
    </w:p>
    <w:p w14:paraId="1DF60A36">
      <w:pPr>
        <w:jc w:val="left"/>
        <w:rPr>
          <w:rFonts w:hint="eastAsia"/>
          <w:b/>
          <w:bCs/>
          <w:lang w:val="en-US" w:eastAsia="zh-CN"/>
        </w:rPr>
      </w:pPr>
    </w:p>
    <w:p w14:paraId="2DCC0186">
      <w:pPr>
        <w:jc w:val="left"/>
        <w:rPr>
          <w:rFonts w:hint="eastAsia"/>
          <w:b/>
          <w:bCs/>
          <w:lang w:val="en-US" w:eastAsia="zh-CN"/>
        </w:rPr>
      </w:pPr>
    </w:p>
    <w:p w14:paraId="29B990AA">
      <w:pPr>
        <w:jc w:val="left"/>
        <w:rPr>
          <w:rFonts w:hint="eastAsia"/>
          <w:b/>
          <w:bCs/>
          <w:lang w:val="en-US" w:eastAsia="zh-CN"/>
        </w:rPr>
      </w:pPr>
    </w:p>
    <w:p w14:paraId="78B96BC8"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Page5 Financing needs （近几年融资规模增加，目前没有找到）</w:t>
      </w:r>
    </w:p>
    <w:p w14:paraId="3AD614FF">
      <w:pPr>
        <w:jc w:val="left"/>
        <w:rPr>
          <w:rFonts w:hint="default"/>
          <w:b/>
          <w:bCs/>
          <w:lang w:val="en-US" w:eastAsia="zh-CN"/>
        </w:rPr>
      </w:pPr>
    </w:p>
    <w:p w14:paraId="59375F1F">
      <w:pPr>
        <w:jc w:val="left"/>
        <w:rPr>
          <w:rFonts w:hint="default"/>
          <w:b/>
          <w:bCs/>
          <w:lang w:val="en-US" w:eastAsia="zh-CN"/>
        </w:rPr>
      </w:pPr>
    </w:p>
    <w:p w14:paraId="78149B7F">
      <w:pPr>
        <w:jc w:val="left"/>
        <w:rPr>
          <w:rFonts w:hint="eastAsia"/>
          <w:b/>
          <w:bCs/>
          <w:lang w:val="en-US" w:eastAsia="zh-CN"/>
        </w:rPr>
      </w:pPr>
    </w:p>
    <w:p w14:paraId="15ECF9EC">
      <w:pPr>
        <w:jc w:val="left"/>
        <w:rPr>
          <w:rFonts w:hint="eastAsia"/>
          <w:b/>
          <w:bCs/>
          <w:lang w:val="en-US" w:eastAsia="zh-CN"/>
        </w:rPr>
      </w:pPr>
    </w:p>
    <w:p w14:paraId="13DA7B49"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Page6 Banking Wallet</w:t>
      </w:r>
    </w:p>
    <w:p w14:paraId="5E351A67"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+ P3 右上角banking opportunities</w:t>
      </w:r>
    </w:p>
    <w:p w14:paraId="2A762712">
      <w:pPr>
        <w:jc w:val="left"/>
      </w:pPr>
      <w:r>
        <w:drawing>
          <wp:inline distT="0" distB="0" distL="114300" distR="114300">
            <wp:extent cx="5270500" cy="2358390"/>
            <wp:effectExtent l="0" t="0" r="6350" b="381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E03F3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艾瑞咨询报告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"https://pdf.dfcfw.com/pdf/H3_AP202012161440695500_1.pdf?1608145173000.pdf"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https://pdf.dfcfw.com/pdf/H3_AP202012161440695500_1.pdf?1608145173000.pdf</w:t>
      </w:r>
      <w:r>
        <w:rPr>
          <w:rFonts w:hint="eastAsia"/>
          <w:lang w:val="en-US" w:eastAsia="zh-CN"/>
        </w:rPr>
        <w:fldChar w:fldCharType="end"/>
      </w:r>
    </w:p>
    <w:p w14:paraId="3066E896">
      <w:pPr>
        <w:jc w:val="left"/>
        <w:rPr>
          <w:rFonts w:hint="default"/>
          <w:lang w:val="en-US" w:eastAsia="zh-CN"/>
        </w:rPr>
      </w:pPr>
    </w:p>
    <w:p w14:paraId="35343660">
      <w:pPr>
        <w:keepNext w:val="0"/>
        <w:keepLines w:val="0"/>
        <w:widowControl/>
        <w:suppressLineNumbers w:val="0"/>
        <w:jc w:val="left"/>
      </w:pPr>
      <w:r>
        <w:rPr>
          <w:rFonts w:ascii="楷体" w:hAnsi="楷体" w:eastAsia="楷体" w:cs="楷体"/>
          <w:b/>
          <w:bCs/>
          <w:color w:val="000000"/>
          <w:kern w:val="0"/>
          <w:sz w:val="19"/>
          <w:szCs w:val="19"/>
          <w:lang w:val="en-US" w:eastAsia="zh-CN" w:bidi="ar"/>
        </w:rPr>
        <w:t xml:space="preserve">数据中心建设成本中电气系统占比约 </w:t>
      </w:r>
      <w:r>
        <w:rPr>
          <w:rFonts w:ascii="Arial-BoldMT" w:hAnsi="Arial-BoldMT" w:eastAsia="Arial-BoldMT" w:cs="Arial-BoldMT"/>
          <w:b/>
          <w:bCs/>
          <w:color w:val="000000"/>
          <w:kern w:val="0"/>
          <w:sz w:val="19"/>
          <w:szCs w:val="19"/>
          <w:lang w:val="en-US" w:eastAsia="zh-CN" w:bidi="ar"/>
        </w:rPr>
        <w:t>40%~45%</w:t>
      </w:r>
      <w:r>
        <w:rPr>
          <w:rFonts w:hint="eastAsia" w:ascii="楷体" w:hAnsi="楷体" w:eastAsia="楷体" w:cs="楷体"/>
          <w:b/>
          <w:bCs/>
          <w:color w:val="000000"/>
          <w:kern w:val="0"/>
          <w:sz w:val="19"/>
          <w:szCs w:val="19"/>
          <w:lang w:val="en-US" w:eastAsia="zh-CN" w:bidi="ar"/>
        </w:rPr>
        <w:t xml:space="preserve">，运营成本中电费占比约 </w:t>
      </w: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19"/>
          <w:szCs w:val="19"/>
          <w:lang w:val="en-US" w:eastAsia="zh-CN" w:bidi="ar"/>
        </w:rPr>
        <w:t>50%</w:t>
      </w:r>
      <w:r>
        <w:rPr>
          <w:rFonts w:hint="eastAsia" w:ascii="楷体" w:hAnsi="楷体" w:eastAsia="楷体" w:cs="楷体"/>
          <w:b/>
          <w:bCs/>
          <w:color w:val="000000"/>
          <w:kern w:val="0"/>
          <w:sz w:val="19"/>
          <w:szCs w:val="19"/>
          <w:lang w:val="en-US" w:eastAsia="zh-CN" w:bidi="ar"/>
        </w:rPr>
        <w:t xml:space="preserve">，数据中心 </w:t>
      </w:r>
    </w:p>
    <w:p w14:paraId="7B22DC3B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b/>
          <w:bCs/>
          <w:color w:val="000000"/>
          <w:kern w:val="0"/>
          <w:sz w:val="19"/>
          <w:szCs w:val="19"/>
          <w:lang w:val="en-US" w:eastAsia="zh-CN" w:bidi="ar"/>
        </w:rPr>
        <w:t>扩建带来电力相关需求高增。</w:t>
      </w:r>
      <w:r>
        <w:rPr>
          <w:rFonts w:hint="eastAsia" w:ascii="楷体" w:hAnsi="楷体" w:eastAsia="楷体" w:cs="楷体"/>
          <w:color w:val="000000"/>
          <w:kern w:val="0"/>
          <w:sz w:val="19"/>
          <w:szCs w:val="19"/>
          <w:lang w:val="en-US" w:eastAsia="zh-CN" w:bidi="ar"/>
        </w:rPr>
        <w:t xml:space="preserve">据 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>Dgtl Infra</w:t>
      </w:r>
      <w:r>
        <w:rPr>
          <w:rFonts w:hint="eastAsia" w:ascii="楷体" w:hAnsi="楷体" w:eastAsia="楷体" w:cs="楷体"/>
          <w:color w:val="000000"/>
          <w:kern w:val="0"/>
          <w:sz w:val="19"/>
          <w:szCs w:val="19"/>
          <w:lang w:val="en-US" w:eastAsia="zh-CN" w:bidi="ar"/>
        </w:rPr>
        <w:t xml:space="preserve">，数据中心建设成本中电气系统占比最高，达 </w:t>
      </w:r>
    </w:p>
    <w:p w14:paraId="0849419C"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>40%~45%</w:t>
      </w:r>
      <w:r>
        <w:rPr>
          <w:rFonts w:hint="eastAsia" w:ascii="楷体" w:hAnsi="楷体" w:eastAsia="楷体" w:cs="楷体"/>
          <w:color w:val="000000"/>
          <w:kern w:val="0"/>
          <w:sz w:val="19"/>
          <w:szCs w:val="19"/>
          <w:lang w:val="en-US" w:eastAsia="zh-CN" w:bidi="ar"/>
        </w:rPr>
        <w:t>，包括柴油发电机组、</w:t>
      </w:r>
      <w:r>
        <w:rPr>
          <w:rFonts w:hint="default"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>PDU</w:t>
      </w:r>
      <w:r>
        <w:rPr>
          <w:rFonts w:hint="eastAsia" w:ascii="楷体" w:hAnsi="楷体" w:eastAsia="楷体" w:cs="楷体"/>
          <w:color w:val="000000"/>
          <w:kern w:val="0"/>
          <w:sz w:val="19"/>
          <w:szCs w:val="19"/>
          <w:lang w:val="en-US" w:eastAsia="zh-CN" w:bidi="ar"/>
        </w:rPr>
        <w:t>、</w:t>
      </w:r>
      <w:r>
        <w:rPr>
          <w:rFonts w:hint="default"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UPS </w:t>
      </w:r>
      <w:r>
        <w:rPr>
          <w:rFonts w:hint="eastAsia" w:ascii="楷体" w:hAnsi="楷体" w:eastAsia="楷体" w:cs="楷体"/>
          <w:color w:val="000000"/>
          <w:kern w:val="0"/>
          <w:sz w:val="19"/>
          <w:szCs w:val="19"/>
          <w:lang w:val="en-US" w:eastAsia="zh-CN" w:bidi="ar"/>
        </w:rPr>
        <w:t>电源、开关设备</w:t>
      </w:r>
      <w:r>
        <w:rPr>
          <w:rFonts w:hint="default"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>/</w:t>
      </w:r>
      <w:r>
        <w:rPr>
          <w:rFonts w:hint="eastAsia" w:ascii="楷体" w:hAnsi="楷体" w:eastAsia="楷体" w:cs="楷体"/>
          <w:color w:val="000000"/>
          <w:kern w:val="0"/>
          <w:sz w:val="19"/>
          <w:szCs w:val="19"/>
          <w:lang w:val="en-US" w:eastAsia="zh-CN" w:bidi="ar"/>
        </w:rPr>
        <w:t xml:space="preserve">变压器等。运营成本方面， </w:t>
      </w:r>
    </w:p>
    <w:p w14:paraId="580934A1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19"/>
          <w:szCs w:val="19"/>
          <w:lang w:val="en-US" w:eastAsia="zh-CN" w:bidi="ar"/>
        </w:rPr>
        <w:t xml:space="preserve">据安永统计，电费约占运营成本的 </w:t>
      </w:r>
      <w:r>
        <w:rPr>
          <w:rFonts w:hint="default"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>50%</w:t>
      </w:r>
      <w:r>
        <w:rPr>
          <w:rFonts w:hint="eastAsia" w:ascii="楷体" w:hAnsi="楷体" w:eastAsia="楷体" w:cs="楷体"/>
          <w:color w:val="000000"/>
          <w:kern w:val="0"/>
          <w:sz w:val="19"/>
          <w:szCs w:val="19"/>
          <w:lang w:val="en-US" w:eastAsia="zh-CN" w:bidi="ar"/>
        </w:rPr>
        <w:t xml:space="preserve">。据 </w:t>
      </w:r>
      <w:r>
        <w:rPr>
          <w:rFonts w:hint="default"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>Gartner</w:t>
      </w:r>
      <w:r>
        <w:rPr>
          <w:rFonts w:hint="eastAsia" w:ascii="楷体" w:hAnsi="楷体" w:eastAsia="楷体" w:cs="楷体"/>
          <w:color w:val="000000"/>
          <w:kern w:val="0"/>
          <w:sz w:val="19"/>
          <w:szCs w:val="19"/>
          <w:lang w:val="en-US" w:eastAsia="zh-CN" w:bidi="ar"/>
        </w:rPr>
        <w:t>，</w:t>
      </w:r>
      <w:r>
        <w:rPr>
          <w:rFonts w:hint="default"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AI </w:t>
      </w:r>
      <w:r>
        <w:rPr>
          <w:rFonts w:hint="eastAsia" w:ascii="楷体" w:hAnsi="楷体" w:eastAsia="楷体" w:cs="楷体"/>
          <w:color w:val="000000"/>
          <w:kern w:val="0"/>
          <w:sz w:val="19"/>
          <w:szCs w:val="19"/>
          <w:lang w:val="en-US" w:eastAsia="zh-CN" w:bidi="ar"/>
        </w:rPr>
        <w:t xml:space="preserve">的快速发展正推动电力消费急剧 </w:t>
      </w:r>
    </w:p>
    <w:p w14:paraId="1B306601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19"/>
          <w:szCs w:val="19"/>
          <w:lang w:val="en-US" w:eastAsia="zh-CN" w:bidi="ar"/>
        </w:rPr>
        <w:t xml:space="preserve">增长，预计到 </w:t>
      </w:r>
      <w:r>
        <w:rPr>
          <w:rFonts w:hint="default"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2027 </w:t>
      </w:r>
      <w:r>
        <w:rPr>
          <w:rFonts w:hint="eastAsia" w:ascii="楷体" w:hAnsi="楷体" w:eastAsia="楷体" w:cs="楷体"/>
          <w:color w:val="000000"/>
          <w:kern w:val="0"/>
          <w:sz w:val="19"/>
          <w:szCs w:val="19"/>
          <w:lang w:val="en-US" w:eastAsia="zh-CN" w:bidi="ar"/>
        </w:rPr>
        <w:t xml:space="preserve">年，数据中心运行增量 </w:t>
      </w:r>
      <w:r>
        <w:rPr>
          <w:rFonts w:hint="default"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AI </w:t>
      </w:r>
      <w:r>
        <w:rPr>
          <w:rFonts w:hint="eastAsia" w:ascii="楷体" w:hAnsi="楷体" w:eastAsia="楷体" w:cs="楷体"/>
          <w:color w:val="000000"/>
          <w:kern w:val="0"/>
          <w:sz w:val="19"/>
          <w:szCs w:val="19"/>
          <w:lang w:val="en-US" w:eastAsia="zh-CN" w:bidi="ar"/>
        </w:rPr>
        <w:t xml:space="preserve">优化服务器所需的电力将达到每年 </w:t>
      </w:r>
      <w:r>
        <w:rPr>
          <w:rFonts w:hint="default"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>500 TWh</w:t>
      </w:r>
      <w:r>
        <w:rPr>
          <w:rFonts w:hint="eastAsia" w:ascii="楷体" w:hAnsi="楷体" w:eastAsia="楷体" w:cs="楷体"/>
          <w:color w:val="000000"/>
          <w:kern w:val="0"/>
          <w:sz w:val="19"/>
          <w:szCs w:val="19"/>
          <w:lang w:val="en-US" w:eastAsia="zh-CN" w:bidi="ar"/>
        </w:rPr>
        <w:t xml:space="preserve">， </w:t>
      </w:r>
    </w:p>
    <w:p w14:paraId="01B3E817"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19"/>
          <w:szCs w:val="19"/>
          <w:lang w:val="en-US" w:eastAsia="zh-CN" w:bidi="ar"/>
        </w:rPr>
        <w:t xml:space="preserve">为 </w:t>
      </w:r>
      <w:r>
        <w:rPr>
          <w:rFonts w:hint="default"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2023 </w:t>
      </w:r>
      <w:r>
        <w:rPr>
          <w:rFonts w:hint="eastAsia" w:ascii="楷体" w:hAnsi="楷体" w:eastAsia="楷体" w:cs="楷体"/>
          <w:color w:val="000000"/>
          <w:kern w:val="0"/>
          <w:sz w:val="19"/>
          <w:szCs w:val="19"/>
          <w:lang w:val="en-US" w:eastAsia="zh-CN" w:bidi="ar"/>
        </w:rPr>
        <w:t xml:space="preserve">年的 </w:t>
      </w:r>
      <w:r>
        <w:rPr>
          <w:rFonts w:hint="default"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2.6 </w:t>
      </w:r>
      <w:r>
        <w:rPr>
          <w:rFonts w:hint="eastAsia" w:ascii="楷体" w:hAnsi="楷体" w:eastAsia="楷体" w:cs="楷体"/>
          <w:color w:val="000000"/>
          <w:kern w:val="0"/>
          <w:sz w:val="19"/>
          <w:szCs w:val="19"/>
          <w:lang w:val="en-US" w:eastAsia="zh-CN" w:bidi="ar"/>
        </w:rPr>
        <w:t>倍。</w:t>
      </w:r>
    </w:p>
    <w:p w14:paraId="55542604"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973580"/>
            <wp:effectExtent l="0" t="0" r="11430" b="762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ADDD7">
      <w:pPr>
        <w:jc w:val="left"/>
        <w:rPr>
          <w:rFonts w:hint="default"/>
          <w:lang w:val="en-US" w:eastAsia="zh-CN"/>
        </w:rPr>
      </w:pPr>
    </w:p>
    <w:p w14:paraId="1F5EDF62">
      <w:pPr>
        <w:jc w:val="left"/>
        <w:rPr>
          <w:rFonts w:hint="default"/>
          <w:lang w:val="en-US" w:eastAsia="zh-CN"/>
        </w:rPr>
      </w:pPr>
    </w:p>
    <w:p w14:paraId="67FC20EC">
      <w:pPr>
        <w:jc w:val="left"/>
        <w:rPr>
          <w:rFonts w:hint="default"/>
          <w:lang w:val="en-US" w:eastAsia="zh-CN"/>
        </w:rPr>
      </w:pPr>
    </w:p>
    <w:p w14:paraId="45110386"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逻辑见DB，应该可以把大部分数据换成APAC</w:t>
      </w:r>
    </w:p>
    <w:p w14:paraId="762D0571">
      <w:p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GIB部分参考P19 Dealogic部分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F431B9"/>
    <w:rsid w:val="0118309B"/>
    <w:rsid w:val="02A53196"/>
    <w:rsid w:val="036D1000"/>
    <w:rsid w:val="040F3E66"/>
    <w:rsid w:val="05206C6B"/>
    <w:rsid w:val="0B154457"/>
    <w:rsid w:val="0B974E6D"/>
    <w:rsid w:val="0C6C454B"/>
    <w:rsid w:val="0E9B2EC6"/>
    <w:rsid w:val="11625F1D"/>
    <w:rsid w:val="11691059"/>
    <w:rsid w:val="11800151"/>
    <w:rsid w:val="12064AFA"/>
    <w:rsid w:val="124F64A1"/>
    <w:rsid w:val="13D85DE3"/>
    <w:rsid w:val="191B75B6"/>
    <w:rsid w:val="1AE6371B"/>
    <w:rsid w:val="1BD45B07"/>
    <w:rsid w:val="1C314E69"/>
    <w:rsid w:val="1CDA72AF"/>
    <w:rsid w:val="1D3E15EC"/>
    <w:rsid w:val="1D5C4168"/>
    <w:rsid w:val="1DD261D8"/>
    <w:rsid w:val="1E164317"/>
    <w:rsid w:val="1F8B663F"/>
    <w:rsid w:val="21725D08"/>
    <w:rsid w:val="2432352D"/>
    <w:rsid w:val="24B6415E"/>
    <w:rsid w:val="24C06D8A"/>
    <w:rsid w:val="24C97310"/>
    <w:rsid w:val="24F347B0"/>
    <w:rsid w:val="270D0281"/>
    <w:rsid w:val="27383550"/>
    <w:rsid w:val="29DD5CA8"/>
    <w:rsid w:val="2BC5737C"/>
    <w:rsid w:val="2C7548FE"/>
    <w:rsid w:val="2DC53663"/>
    <w:rsid w:val="2F1E127D"/>
    <w:rsid w:val="30234671"/>
    <w:rsid w:val="323A4620"/>
    <w:rsid w:val="324F081B"/>
    <w:rsid w:val="332A5E0A"/>
    <w:rsid w:val="34D573EB"/>
    <w:rsid w:val="352769B2"/>
    <w:rsid w:val="35611EC4"/>
    <w:rsid w:val="35D54660"/>
    <w:rsid w:val="36BF379A"/>
    <w:rsid w:val="3790083E"/>
    <w:rsid w:val="385F041F"/>
    <w:rsid w:val="38995E18"/>
    <w:rsid w:val="396A0465"/>
    <w:rsid w:val="3A5169AB"/>
    <w:rsid w:val="3CCF1E09"/>
    <w:rsid w:val="3CDD12F1"/>
    <w:rsid w:val="3D0808D3"/>
    <w:rsid w:val="3DA768E2"/>
    <w:rsid w:val="3DEE3D51"/>
    <w:rsid w:val="3E9926CE"/>
    <w:rsid w:val="417B255F"/>
    <w:rsid w:val="42C76A0A"/>
    <w:rsid w:val="4513485D"/>
    <w:rsid w:val="463F1DAD"/>
    <w:rsid w:val="465F5FAB"/>
    <w:rsid w:val="4AE24102"/>
    <w:rsid w:val="4C6065D9"/>
    <w:rsid w:val="4DDD3C5A"/>
    <w:rsid w:val="4F90761A"/>
    <w:rsid w:val="51ED6B61"/>
    <w:rsid w:val="52285E83"/>
    <w:rsid w:val="534529CD"/>
    <w:rsid w:val="53FD0BB2"/>
    <w:rsid w:val="55D3606E"/>
    <w:rsid w:val="56052C7A"/>
    <w:rsid w:val="56B467E3"/>
    <w:rsid w:val="571B7CCD"/>
    <w:rsid w:val="578A7A3C"/>
    <w:rsid w:val="598724F4"/>
    <w:rsid w:val="5A9A35FE"/>
    <w:rsid w:val="5D5D2770"/>
    <w:rsid w:val="5D600B2F"/>
    <w:rsid w:val="5DC42740"/>
    <w:rsid w:val="60B371C8"/>
    <w:rsid w:val="60DC6F53"/>
    <w:rsid w:val="61354081"/>
    <w:rsid w:val="62CA07F9"/>
    <w:rsid w:val="6512579C"/>
    <w:rsid w:val="667E2026"/>
    <w:rsid w:val="689741A2"/>
    <w:rsid w:val="6CEA21C3"/>
    <w:rsid w:val="6DEB4D8A"/>
    <w:rsid w:val="6E2711F5"/>
    <w:rsid w:val="6E5F098F"/>
    <w:rsid w:val="6E6E0BD2"/>
    <w:rsid w:val="70650B43"/>
    <w:rsid w:val="71BE00D3"/>
    <w:rsid w:val="72606A84"/>
    <w:rsid w:val="732775A1"/>
    <w:rsid w:val="73326672"/>
    <w:rsid w:val="734B0E16"/>
    <w:rsid w:val="73927111"/>
    <w:rsid w:val="73F25E01"/>
    <w:rsid w:val="74A0760B"/>
    <w:rsid w:val="768371E5"/>
    <w:rsid w:val="76BD26F7"/>
    <w:rsid w:val="77EB5041"/>
    <w:rsid w:val="7872111D"/>
    <w:rsid w:val="78811502"/>
    <w:rsid w:val="793A002E"/>
    <w:rsid w:val="7967694A"/>
    <w:rsid w:val="7D80622C"/>
    <w:rsid w:val="7E525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../NUL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2025-09-02T14:36:25Z</dcterms:created>
  <dc:creator>Zixuan Yan</dc:creator>
  <cp:lastModifiedBy>严子轩</cp:lastModifiedBy>
  <dcterms:modified xsi:type="dcterms:W3CDTF">2025-09-03T04:13:29Z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eyJoZGlkIjoiMzBjM2ZiZTIzN2UzMzQ0YjJiZTM2NjAwYTA4ZGUwYWQiLCJ1c2VySWQiOiIxMTk3OTMyMDUyIn0=</vt:lpwstr>
  </property>
  <property fmtid="{D5CDD505-2E9C-101B-9397-08002B2CF9AE}" pid="4" name="ICV">
    <vt:lpwstr>AF32CB8F1714456C856CB3C89BF4255F_12</vt:lpwstr>
  </property>
</Properties>
</file>