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0F290A">
      <w:pPr>
        <w:spacing w:before="145" w:line="725" w:lineRule="exact"/>
        <w:ind w:left="850"/>
      </w:pPr>
      <w:r>
        <w:rPr>
          <w:position w:val="-15"/>
        </w:rPr>
        <w:drawing>
          <wp:inline distT="0" distB="0" distL="0" distR="0">
            <wp:extent cx="1602740" cy="46037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6"/>
                    <a:stretch>
                      <a:fillRect/>
                    </a:stretch>
                  </pic:blipFill>
                  <pic:spPr>
                    <a:xfrm>
                      <a:off x="0" y="0"/>
                      <a:ext cx="1603130" cy="460473"/>
                    </a:xfrm>
                    <a:prstGeom prst="rect">
                      <a:avLst/>
                    </a:prstGeom>
                  </pic:spPr>
                </pic:pic>
              </a:graphicData>
            </a:graphic>
          </wp:inline>
        </w:drawing>
      </w:r>
    </w:p>
    <w:p w14:paraId="78D0B9B8">
      <w:pPr>
        <w:pStyle w:val="4"/>
        <w:spacing w:before="149" w:line="201" w:lineRule="auto"/>
        <w:ind w:left="857"/>
      </w:pPr>
      <w:r>
        <w:rPr>
          <w:color w:val="174173"/>
          <w:spacing w:val="8"/>
        </w:rPr>
        <w:t>a</w:t>
      </w:r>
      <w:r>
        <w:rPr>
          <w:color w:val="174173"/>
          <w:spacing w:val="34"/>
          <w:w w:val="101"/>
        </w:rPr>
        <w:t xml:space="preserve"> </w:t>
      </w:r>
      <w:r>
        <w:rPr>
          <w:color w:val="174173"/>
          <w:spacing w:val="8"/>
        </w:rPr>
        <w:t>Fitchsolutions</w:t>
      </w:r>
      <w:r>
        <w:rPr>
          <w:color w:val="174173"/>
          <w:spacing w:val="24"/>
        </w:rPr>
        <w:t xml:space="preserve"> </w:t>
      </w:r>
      <w:r>
        <w:rPr>
          <w:color w:val="174173"/>
          <w:spacing w:val="8"/>
        </w:rPr>
        <w:t>company</w:t>
      </w:r>
    </w:p>
    <w:p w14:paraId="58900CD8">
      <w:pPr>
        <w:spacing w:before="14"/>
      </w:pPr>
    </w:p>
    <w:p w14:paraId="0D25EC3A">
      <w:pPr>
        <w:pStyle w:val="4"/>
        <w:spacing w:line="14" w:lineRule="auto"/>
        <w:rPr>
          <w:sz w:val="2"/>
        </w:rPr>
      </w:pPr>
      <w:r>
        <w:rPr>
          <w:sz w:val="2"/>
          <w:szCs w:val="2"/>
        </w:rPr>
        <w:br w:type="column"/>
      </w:r>
    </w:p>
    <w:p w14:paraId="5626271E">
      <w:pPr>
        <w:pStyle w:val="4"/>
        <w:spacing w:line="317" w:lineRule="auto"/>
      </w:pPr>
    </w:p>
    <w:p w14:paraId="39CB9E93">
      <w:pPr>
        <w:pStyle w:val="4"/>
        <w:spacing w:before="138" w:line="616" w:lineRule="exact"/>
        <w:ind w:left="1391"/>
        <w:rPr>
          <w:sz w:val="48"/>
          <w:szCs w:val="48"/>
        </w:rPr>
      </w:pPr>
      <w:r>
        <w:rPr>
          <w:color w:val="174174"/>
          <w:spacing w:val="29"/>
          <w:position w:val="2"/>
          <w:sz w:val="48"/>
          <w:szCs w:val="48"/>
        </w:rPr>
        <w:t>Q3</w:t>
      </w:r>
      <w:r>
        <w:rPr>
          <w:color w:val="174174"/>
          <w:spacing w:val="34"/>
          <w:position w:val="2"/>
          <w:sz w:val="48"/>
          <w:szCs w:val="48"/>
        </w:rPr>
        <w:t xml:space="preserve"> </w:t>
      </w:r>
      <w:r>
        <w:rPr>
          <w:color w:val="174174"/>
          <w:spacing w:val="29"/>
          <w:position w:val="2"/>
          <w:sz w:val="48"/>
          <w:szCs w:val="48"/>
        </w:rPr>
        <w:t>2025</w:t>
      </w:r>
    </w:p>
    <w:p w14:paraId="51D7B8F4">
      <w:pPr>
        <w:pStyle w:val="4"/>
        <w:spacing w:before="34" w:line="307" w:lineRule="exact"/>
        <w:rPr>
          <w:sz w:val="24"/>
          <w:szCs w:val="24"/>
        </w:rPr>
      </w:pPr>
      <w:r>
        <w:fldChar w:fldCharType="begin"/>
      </w:r>
      <w:r>
        <w:instrText xml:space="preserve"> HYPERLINK "https://www.fitchsolutions.com/bmi" </w:instrText>
      </w:r>
      <w:r>
        <w:fldChar w:fldCharType="separate"/>
      </w:r>
      <w:r>
        <w:rPr>
          <w:color w:val="174174"/>
          <w:spacing w:val="19"/>
          <w:position w:val="1"/>
          <w:sz w:val="24"/>
          <w:szCs w:val="24"/>
        </w:rPr>
        <w:t>www.fitchsolutions.com/bmi</w:t>
      </w:r>
      <w:r>
        <w:rPr>
          <w:color w:val="174174"/>
          <w:spacing w:val="19"/>
          <w:position w:val="1"/>
          <w:sz w:val="24"/>
          <w:szCs w:val="24"/>
        </w:rPr>
        <w:fldChar w:fldCharType="end"/>
      </w:r>
    </w:p>
    <w:p w14:paraId="29CF144B">
      <w:pPr>
        <w:spacing w:line="307" w:lineRule="exact"/>
        <w:rPr>
          <w:sz w:val="24"/>
          <w:szCs w:val="24"/>
        </w:rPr>
        <w:sectPr>
          <w:footerReference r:id="rId5" w:type="default"/>
          <w:pgSz w:w="11906" w:h="16838"/>
          <w:pgMar w:top="1288" w:right="0" w:bottom="1" w:left="0" w:header="0" w:footer="0" w:gutter="0"/>
          <w:cols w:equalWidth="0" w:num="2">
            <w:col w:w="7513" w:space="100"/>
            <w:col w:w="4293"/>
          </w:cols>
        </w:sectPr>
      </w:pPr>
    </w:p>
    <w:p w14:paraId="4C4477F6">
      <w:pPr>
        <w:pStyle w:val="4"/>
        <w:spacing w:before="123" w:line="1062" w:lineRule="exact"/>
        <w:ind w:left="892"/>
        <w:outlineLvl w:val="0"/>
        <w:rPr>
          <w:sz w:val="84"/>
          <w:szCs w:val="84"/>
        </w:rPr>
      </w:pPr>
      <w:r>
        <w:rPr>
          <w:color w:val="174174"/>
          <w:spacing w:val="63"/>
          <w:position w:val="11"/>
          <w:sz w:val="84"/>
          <w:szCs w:val="84"/>
        </w:rPr>
        <w:t>Argentina</w:t>
      </w:r>
    </w:p>
    <w:p w14:paraId="4B12D27B">
      <w:pPr>
        <w:pStyle w:val="4"/>
        <w:spacing w:line="723" w:lineRule="exact"/>
        <w:ind w:left="903"/>
        <w:outlineLvl w:val="1"/>
        <w:rPr>
          <w:sz w:val="60"/>
          <w:szCs w:val="60"/>
        </w:rPr>
      </w:pPr>
      <w:r>
        <w:rPr>
          <w:color w:val="174174"/>
          <w:spacing w:val="20"/>
          <w:position w:val="6"/>
          <w:sz w:val="60"/>
          <w:szCs w:val="60"/>
        </w:rPr>
        <w:t>Oil &amp;</w:t>
      </w:r>
      <w:r>
        <w:rPr>
          <w:color w:val="174174"/>
          <w:spacing w:val="42"/>
          <w:position w:val="6"/>
          <w:sz w:val="60"/>
          <w:szCs w:val="60"/>
        </w:rPr>
        <w:t xml:space="preserve"> </w:t>
      </w:r>
      <w:r>
        <w:rPr>
          <w:color w:val="174174"/>
          <w:spacing w:val="20"/>
          <w:position w:val="6"/>
          <w:sz w:val="60"/>
          <w:szCs w:val="60"/>
        </w:rPr>
        <w:t>Gas</w:t>
      </w:r>
      <w:r>
        <w:rPr>
          <w:color w:val="174174"/>
          <w:spacing w:val="61"/>
          <w:position w:val="6"/>
          <w:sz w:val="60"/>
          <w:szCs w:val="60"/>
        </w:rPr>
        <w:t xml:space="preserve"> </w:t>
      </w:r>
      <w:r>
        <w:rPr>
          <w:color w:val="174174"/>
          <w:spacing w:val="20"/>
          <w:position w:val="6"/>
          <w:sz w:val="60"/>
          <w:szCs w:val="60"/>
        </w:rPr>
        <w:t>Report</w:t>
      </w:r>
    </w:p>
    <w:p w14:paraId="06307D4B">
      <w:pPr>
        <w:pStyle w:val="4"/>
        <w:spacing w:line="491" w:lineRule="exact"/>
        <w:ind w:left="892"/>
        <w:rPr>
          <w:sz w:val="40"/>
          <w:szCs w:val="40"/>
        </w:rPr>
      </w:pPr>
      <w:r>
        <w:rPr>
          <w:color w:val="174174"/>
          <w:spacing w:val="19"/>
          <w:position w:val="4"/>
          <w:sz w:val="40"/>
          <w:szCs w:val="40"/>
        </w:rPr>
        <w:t>Includes 10-year fo</w:t>
      </w:r>
      <w:r>
        <w:rPr>
          <w:color w:val="174174"/>
          <w:spacing w:val="18"/>
          <w:position w:val="4"/>
          <w:sz w:val="40"/>
          <w:szCs w:val="40"/>
        </w:rPr>
        <w:t>recasts to</w:t>
      </w:r>
      <w:r>
        <w:rPr>
          <w:color w:val="174174"/>
          <w:spacing w:val="28"/>
          <w:position w:val="4"/>
          <w:sz w:val="40"/>
          <w:szCs w:val="40"/>
        </w:rPr>
        <w:t xml:space="preserve"> </w:t>
      </w:r>
      <w:r>
        <w:rPr>
          <w:color w:val="174174"/>
          <w:spacing w:val="18"/>
          <w:position w:val="4"/>
          <w:sz w:val="40"/>
          <w:szCs w:val="40"/>
        </w:rPr>
        <w:t>2034</w:t>
      </w:r>
    </w:p>
    <w:p w14:paraId="386382F0">
      <w:pPr>
        <w:pStyle w:val="4"/>
        <w:spacing w:line="293" w:lineRule="auto"/>
      </w:pPr>
    </w:p>
    <w:p w14:paraId="27E5BA85">
      <w:pPr>
        <w:pStyle w:val="4"/>
        <w:spacing w:line="293" w:lineRule="auto"/>
      </w:pPr>
    </w:p>
    <w:p w14:paraId="2BDEBE34">
      <w:pPr>
        <w:pStyle w:val="4"/>
        <w:spacing w:line="294" w:lineRule="auto"/>
      </w:pPr>
    </w:p>
    <w:p w14:paraId="5BE0CBC8">
      <w:pPr>
        <w:spacing w:line="10774" w:lineRule="exact"/>
      </w:pPr>
      <w:r>
        <w:rPr>
          <w:position w:val="-215"/>
        </w:rPr>
        <w:drawing>
          <wp:inline distT="0" distB="0" distL="0" distR="0">
            <wp:extent cx="7559675" cy="684085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07"/>
                    <a:stretch>
                      <a:fillRect/>
                    </a:stretch>
                  </pic:blipFill>
                  <pic:spPr>
                    <a:xfrm>
                      <a:off x="0" y="0"/>
                      <a:ext cx="7560000" cy="6841249"/>
                    </a:xfrm>
                    <a:prstGeom prst="rect">
                      <a:avLst/>
                    </a:prstGeom>
                  </pic:spPr>
                </pic:pic>
              </a:graphicData>
            </a:graphic>
          </wp:inline>
        </w:drawing>
      </w:r>
    </w:p>
    <w:p w14:paraId="131F6B50">
      <w:pPr>
        <w:spacing w:line="10774" w:lineRule="exact"/>
        <w:sectPr>
          <w:type w:val="continuous"/>
          <w:pgSz w:w="11906" w:h="16838"/>
          <w:pgMar w:top="1288" w:right="0" w:bottom="1" w:left="0" w:header="0" w:footer="0" w:gutter="0"/>
          <w:cols w:equalWidth="0" w:num="1">
            <w:col w:w="11906"/>
          </w:cols>
        </w:sectPr>
      </w:pPr>
    </w:p>
    <w:p w14:paraId="08206FED">
      <w:pPr>
        <w:pStyle w:val="4"/>
      </w:pPr>
    </w:p>
    <w:p w14:paraId="0FD5467B">
      <w:pPr>
        <w:sectPr>
          <w:headerReference r:id="rId6" w:type="default"/>
          <w:pgSz w:w="11906" w:h="16838"/>
          <w:pgMar w:top="0" w:right="0" w:bottom="0" w:left="0" w:header="0" w:footer="0" w:gutter="0"/>
          <w:cols w:space="720" w:num="1"/>
        </w:sectPr>
      </w:pPr>
    </w:p>
    <w:p w14:paraId="5EAED235">
      <w:pPr>
        <w:pStyle w:val="4"/>
        <w:spacing w:before="73" w:line="241" w:lineRule="auto"/>
        <w:ind w:left="7372"/>
        <w:rPr>
          <w:sz w:val="20"/>
          <w:szCs w:val="20"/>
        </w:rPr>
      </w:pPr>
      <w:r>
        <w:drawing>
          <wp:anchor distT="0" distB="0" distL="0" distR="0" simplePos="0" relativeHeight="25165926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311150</wp:posOffset>
            </wp:positionH>
            <wp:positionV relativeFrom="page">
              <wp:posOffset>0</wp:posOffset>
            </wp:positionV>
            <wp:extent cx="19050" cy="81407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09DEBCB">
      <w:pPr>
        <w:pStyle w:val="4"/>
        <w:spacing w:line="278" w:lineRule="auto"/>
      </w:pPr>
    </w:p>
    <w:p w14:paraId="48F5B81F">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F319C34">
      <w:pPr>
        <w:pStyle w:val="4"/>
        <w:spacing w:line="420" w:lineRule="auto"/>
      </w:pPr>
    </w:p>
    <w:p w14:paraId="6AAB6952">
      <w:pPr>
        <w:pStyle w:val="4"/>
        <w:spacing w:before="207" w:line="187" w:lineRule="auto"/>
        <w:ind w:left="392"/>
        <w:outlineLvl w:val="0"/>
        <w:rPr>
          <w:sz w:val="72"/>
          <w:szCs w:val="72"/>
        </w:rPr>
      </w:pPr>
      <w:r>
        <w:rPr>
          <w:b/>
          <w:bCs/>
          <w:color w:val="174174"/>
          <w:spacing w:val="-25"/>
          <w:sz w:val="72"/>
          <w:szCs w:val="72"/>
        </w:rPr>
        <w:t>Contents</w:t>
      </w:r>
    </w:p>
    <w:sdt>
      <w:sdtPr>
        <w:rPr>
          <w:rFonts w:ascii="Arial" w:hAnsi="Arial" w:eastAsia="Arial" w:cs="Arial"/>
          <w:sz w:val="22"/>
          <w:szCs w:val="22"/>
        </w:rPr>
        <w:id w:val="147457751"/>
        <w:docPartObj>
          <w:docPartGallery w:val="Table of Contents"/>
          <w:docPartUnique/>
        </w:docPartObj>
      </w:sdtPr>
      <w:sdtEndPr>
        <w:rPr>
          <w:rFonts w:ascii="Arial" w:hAnsi="Arial" w:eastAsia="Arial" w:cs="Arial"/>
          <w:sz w:val="22"/>
          <w:szCs w:val="22"/>
        </w:rPr>
      </w:sdtEndPr>
      <w:sdtContent>
        <w:p w14:paraId="62EC4900">
          <w:pPr>
            <w:pStyle w:val="4"/>
            <w:tabs>
              <w:tab w:val="right" w:leader="dot" w:pos="10564"/>
            </w:tabs>
            <w:spacing w:before="174" w:line="241" w:lineRule="auto"/>
            <w:ind w:left="376"/>
            <w:rPr>
              <w:sz w:val="22"/>
              <w:szCs w:val="22"/>
            </w:rPr>
          </w:pPr>
          <w:r>
            <w:fldChar w:fldCharType="begin"/>
          </w:r>
          <w:r>
            <w:instrText xml:space="preserve"> HYPERLINK \l "bookmark1" </w:instrText>
          </w:r>
          <w:r>
            <w:fldChar w:fldCharType="separate"/>
          </w:r>
          <w:r>
            <w:rPr>
              <w:b/>
              <w:bCs/>
              <w:color w:val="174174"/>
              <w:spacing w:val="-12"/>
              <w:w w:val="99"/>
              <w:sz w:val="22"/>
              <w:szCs w:val="22"/>
            </w:rPr>
            <w:t>Key</w:t>
          </w:r>
          <w:r>
            <w:rPr>
              <w:b/>
              <w:bCs/>
              <w:color w:val="174174"/>
              <w:spacing w:val="-13"/>
              <w:sz w:val="22"/>
              <w:szCs w:val="22"/>
            </w:rPr>
            <w:t xml:space="preserve"> </w:t>
          </w:r>
          <w:r>
            <w:rPr>
              <w:b/>
              <w:bCs/>
              <w:color w:val="174174"/>
              <w:spacing w:val="-12"/>
              <w:w w:val="99"/>
              <w:sz w:val="22"/>
              <w:szCs w:val="22"/>
            </w:rPr>
            <w:t>View</w:t>
          </w:r>
          <w:r>
            <w:rPr>
              <w:b/>
              <w:bCs/>
              <w:color w:val="174174"/>
              <w:sz w:val="22"/>
              <w:szCs w:val="22"/>
            </w:rPr>
            <w:tab/>
          </w:r>
          <w:r>
            <w:rPr>
              <w:b/>
              <w:bCs/>
              <w:color w:val="174174"/>
              <w:spacing w:val="-28"/>
              <w:sz w:val="22"/>
              <w:szCs w:val="22"/>
            </w:rPr>
            <w:t xml:space="preserve"> </w:t>
          </w:r>
          <w:r>
            <w:rPr>
              <w:b/>
              <w:bCs/>
              <w:color w:val="174174"/>
              <w:sz w:val="22"/>
              <w:szCs w:val="22"/>
            </w:rPr>
            <w:t>5</w:t>
          </w:r>
          <w:r>
            <w:rPr>
              <w:b/>
              <w:bCs/>
              <w:color w:val="174174"/>
              <w:sz w:val="22"/>
              <w:szCs w:val="22"/>
            </w:rPr>
            <w:fldChar w:fldCharType="end"/>
          </w:r>
        </w:p>
        <w:p w14:paraId="4F9BE752">
          <w:pPr>
            <w:pStyle w:val="4"/>
            <w:tabs>
              <w:tab w:val="right" w:leader="dot" w:pos="10564"/>
            </w:tabs>
            <w:spacing w:before="214" w:line="297" w:lineRule="exact"/>
            <w:ind w:left="365"/>
            <w:rPr>
              <w:sz w:val="22"/>
              <w:szCs w:val="22"/>
            </w:rPr>
          </w:pPr>
          <w:r>
            <w:fldChar w:fldCharType="begin"/>
          </w:r>
          <w:r>
            <w:instrText xml:space="preserve"> HYPERLINK \l "bookmark2" </w:instrText>
          </w:r>
          <w:r>
            <w:fldChar w:fldCharType="separate"/>
          </w:r>
          <w:r>
            <w:rPr>
              <w:b/>
              <w:bCs/>
              <w:color w:val="174174"/>
              <w:spacing w:val="-10"/>
              <w:w w:val="90"/>
              <w:position w:val="1"/>
              <w:sz w:val="22"/>
              <w:szCs w:val="22"/>
            </w:rPr>
            <w:t>SWOT</w:t>
          </w:r>
          <w:r>
            <w:rPr>
              <w:b/>
              <w:bCs/>
              <w:color w:val="174174"/>
              <w:spacing w:val="-28"/>
              <w:position w:val="1"/>
              <w:sz w:val="22"/>
              <w:szCs w:val="22"/>
            </w:rPr>
            <w:t xml:space="preserve"> </w:t>
          </w:r>
          <w:r>
            <w:rPr>
              <w:b/>
              <w:bCs/>
              <w:color w:val="174174"/>
              <w:position w:val="1"/>
              <w:sz w:val="22"/>
              <w:szCs w:val="22"/>
            </w:rPr>
            <w:tab/>
          </w:r>
          <w:r>
            <w:rPr>
              <w:b/>
              <w:bCs/>
              <w:color w:val="174174"/>
              <w:spacing w:val="-30"/>
              <w:position w:val="1"/>
              <w:sz w:val="22"/>
              <w:szCs w:val="22"/>
            </w:rPr>
            <w:t xml:space="preserve"> </w:t>
          </w:r>
          <w:r>
            <w:rPr>
              <w:b/>
              <w:bCs/>
              <w:color w:val="174174"/>
              <w:position w:val="1"/>
              <w:sz w:val="22"/>
              <w:szCs w:val="22"/>
            </w:rPr>
            <w:t>7</w:t>
          </w:r>
          <w:r>
            <w:rPr>
              <w:b/>
              <w:bCs/>
              <w:color w:val="174174"/>
              <w:position w:val="1"/>
              <w:sz w:val="22"/>
              <w:szCs w:val="22"/>
            </w:rPr>
            <w:fldChar w:fldCharType="end"/>
          </w:r>
        </w:p>
        <w:p w14:paraId="1B520FC2">
          <w:pPr>
            <w:pStyle w:val="4"/>
            <w:tabs>
              <w:tab w:val="right" w:leader="dot" w:pos="10564"/>
            </w:tabs>
            <w:spacing w:before="84" w:line="263" w:lineRule="exact"/>
            <w:ind w:left="369"/>
            <w:rPr>
              <w:sz w:val="20"/>
              <w:szCs w:val="20"/>
            </w:rPr>
          </w:pPr>
          <w:r>
            <w:fldChar w:fldCharType="begin"/>
          </w:r>
          <w:r>
            <w:instrText xml:space="preserve"> HYPERLINK \l "bookmark3" </w:instrText>
          </w:r>
          <w:r>
            <w:fldChar w:fldCharType="separate"/>
          </w:r>
          <w:r>
            <w:rPr>
              <w:color w:val="333333"/>
              <w:spacing w:val="-21"/>
              <w:position w:val="1"/>
              <w:sz w:val="20"/>
              <w:szCs w:val="20"/>
            </w:rPr>
            <w:t>Oil &amp; Gas SWOT</w:t>
          </w:r>
          <w:r>
            <w:rPr>
              <w:color w:val="333333"/>
              <w:spacing w:val="-8"/>
              <w:position w:val="1"/>
              <w:sz w:val="20"/>
              <w:szCs w:val="20"/>
            </w:rPr>
            <w:t xml:space="preserve"> </w:t>
          </w:r>
          <w:r>
            <w:rPr>
              <w:color w:val="333333"/>
              <w:position w:val="1"/>
              <w:sz w:val="20"/>
              <w:szCs w:val="20"/>
            </w:rPr>
            <w:tab/>
          </w:r>
          <w:r>
            <w:rPr>
              <w:color w:val="333333"/>
              <w:spacing w:val="-10"/>
              <w:position w:val="1"/>
              <w:sz w:val="20"/>
              <w:szCs w:val="20"/>
            </w:rPr>
            <w:t xml:space="preserve"> </w:t>
          </w:r>
          <w:r>
            <w:rPr>
              <w:color w:val="333333"/>
              <w:position w:val="1"/>
              <w:sz w:val="20"/>
              <w:szCs w:val="20"/>
            </w:rPr>
            <w:t>7</w:t>
          </w:r>
          <w:r>
            <w:rPr>
              <w:color w:val="333333"/>
              <w:position w:val="1"/>
              <w:sz w:val="20"/>
              <w:szCs w:val="20"/>
            </w:rPr>
            <w:fldChar w:fldCharType="end"/>
          </w:r>
        </w:p>
        <w:p w14:paraId="2E161D38">
          <w:pPr>
            <w:pStyle w:val="4"/>
            <w:tabs>
              <w:tab w:val="right" w:leader="dot" w:pos="10564"/>
            </w:tabs>
            <w:spacing w:before="184" w:line="241" w:lineRule="auto"/>
            <w:ind w:left="376"/>
            <w:rPr>
              <w:sz w:val="22"/>
              <w:szCs w:val="22"/>
            </w:rPr>
          </w:pPr>
          <w:r>
            <w:fldChar w:fldCharType="begin"/>
          </w:r>
          <w:r>
            <w:instrText xml:space="preserve"> HYPERLINK \l "bookmark4" </w:instrText>
          </w:r>
          <w:r>
            <w:fldChar w:fldCharType="separate"/>
          </w:r>
          <w:r>
            <w:rPr>
              <w:b/>
              <w:bCs/>
              <w:color w:val="174174"/>
              <w:spacing w:val="-10"/>
              <w:sz w:val="22"/>
              <w:szCs w:val="22"/>
            </w:rPr>
            <w:t>Industry Forecast</w:t>
          </w:r>
          <w:r>
            <w:rPr>
              <w:b/>
              <w:bCs/>
              <w:color w:val="174174"/>
              <w:sz w:val="22"/>
              <w:szCs w:val="22"/>
            </w:rPr>
            <w:tab/>
          </w:r>
          <w:r>
            <w:rPr>
              <w:b/>
              <w:bCs/>
              <w:color w:val="174174"/>
              <w:spacing w:val="-28"/>
              <w:sz w:val="22"/>
              <w:szCs w:val="22"/>
            </w:rPr>
            <w:t xml:space="preserve"> </w:t>
          </w:r>
          <w:r>
            <w:rPr>
              <w:b/>
              <w:bCs/>
              <w:color w:val="174174"/>
              <w:sz w:val="22"/>
              <w:szCs w:val="22"/>
            </w:rPr>
            <w:t>8</w:t>
          </w:r>
          <w:r>
            <w:rPr>
              <w:b/>
              <w:bCs/>
              <w:color w:val="174174"/>
              <w:sz w:val="22"/>
              <w:szCs w:val="22"/>
            </w:rPr>
            <w:fldChar w:fldCharType="end"/>
          </w:r>
        </w:p>
        <w:p w14:paraId="1F6C5DF2">
          <w:pPr>
            <w:pStyle w:val="4"/>
            <w:tabs>
              <w:tab w:val="right" w:leader="dot" w:pos="10564"/>
            </w:tabs>
            <w:spacing w:before="127" w:line="236" w:lineRule="auto"/>
            <w:ind w:left="375"/>
            <w:rPr>
              <w:sz w:val="20"/>
              <w:szCs w:val="20"/>
            </w:rPr>
          </w:pPr>
          <w:r>
            <w:fldChar w:fldCharType="begin"/>
          </w:r>
          <w:r>
            <w:instrText xml:space="preserve"> HYPERLINK \l "bookmark5" </w:instrText>
          </w:r>
          <w:r>
            <w:fldChar w:fldCharType="separate"/>
          </w:r>
          <w:r>
            <w:rPr>
              <w:color w:val="333333"/>
              <w:spacing w:val="-9"/>
              <w:sz w:val="20"/>
              <w:szCs w:val="20"/>
            </w:rPr>
            <w:t>Upstream Exploration</w:t>
          </w:r>
          <w:r>
            <w:rPr>
              <w:color w:val="333333"/>
              <w:spacing w:val="-25"/>
              <w:sz w:val="20"/>
              <w:szCs w:val="20"/>
            </w:rPr>
            <w:t xml:space="preserve"> </w:t>
          </w:r>
          <w:r>
            <w:rPr>
              <w:color w:val="333333"/>
              <w:sz w:val="20"/>
              <w:szCs w:val="20"/>
            </w:rPr>
            <w:tab/>
          </w:r>
          <w:r>
            <w:rPr>
              <w:color w:val="333333"/>
              <w:spacing w:val="-5"/>
              <w:sz w:val="20"/>
              <w:szCs w:val="20"/>
            </w:rPr>
            <w:t xml:space="preserve"> </w:t>
          </w:r>
          <w:r>
            <w:rPr>
              <w:color w:val="333333"/>
              <w:sz w:val="20"/>
              <w:szCs w:val="20"/>
            </w:rPr>
            <w:t>8</w:t>
          </w:r>
          <w:r>
            <w:rPr>
              <w:color w:val="333333"/>
              <w:sz w:val="20"/>
              <w:szCs w:val="20"/>
            </w:rPr>
            <w:fldChar w:fldCharType="end"/>
          </w:r>
        </w:p>
        <w:p w14:paraId="4EEE3520">
          <w:pPr>
            <w:pStyle w:val="4"/>
            <w:tabs>
              <w:tab w:val="right" w:leader="dot" w:pos="10564"/>
            </w:tabs>
            <w:spacing w:before="134" w:line="234" w:lineRule="auto"/>
            <w:ind w:left="375"/>
            <w:rPr>
              <w:sz w:val="20"/>
              <w:szCs w:val="20"/>
            </w:rPr>
          </w:pPr>
          <w:r>
            <w:fldChar w:fldCharType="begin"/>
          </w:r>
          <w:r>
            <w:instrText xml:space="preserve"> HYPERLINK \l "bookmark6" </w:instrText>
          </w:r>
          <w:r>
            <w:fldChar w:fldCharType="separate"/>
          </w:r>
          <w:r>
            <w:rPr>
              <w:color w:val="333333"/>
              <w:spacing w:val="-10"/>
              <w:sz w:val="20"/>
              <w:szCs w:val="20"/>
            </w:rPr>
            <w:t xml:space="preserve">Upstream Projects </w:t>
          </w:r>
          <w:r>
            <w:rPr>
              <w:color w:val="333333"/>
              <w:sz w:val="20"/>
              <w:szCs w:val="20"/>
            </w:rPr>
            <w:tab/>
          </w:r>
          <w:r>
            <w:rPr>
              <w:color w:val="333333"/>
              <w:spacing w:val="1"/>
              <w:sz w:val="20"/>
              <w:szCs w:val="20"/>
            </w:rPr>
            <w:t>12</w:t>
          </w:r>
          <w:r>
            <w:rPr>
              <w:color w:val="333333"/>
              <w:spacing w:val="1"/>
              <w:sz w:val="20"/>
              <w:szCs w:val="20"/>
            </w:rPr>
            <w:fldChar w:fldCharType="end"/>
          </w:r>
        </w:p>
        <w:p w14:paraId="0EA2288A">
          <w:pPr>
            <w:pStyle w:val="4"/>
            <w:tabs>
              <w:tab w:val="right" w:leader="dot" w:pos="10564"/>
            </w:tabs>
            <w:spacing w:before="136" w:line="236" w:lineRule="auto"/>
            <w:ind w:left="375"/>
            <w:rPr>
              <w:sz w:val="20"/>
              <w:szCs w:val="20"/>
            </w:rPr>
          </w:pPr>
          <w:r>
            <w:fldChar w:fldCharType="begin"/>
          </w:r>
          <w:r>
            <w:instrText xml:space="preserve"> HYPERLINK \l "bookmark7" </w:instrText>
          </w:r>
          <w:r>
            <w:fldChar w:fldCharType="separate"/>
          </w:r>
          <w:r>
            <w:rPr>
              <w:color w:val="333333"/>
              <w:spacing w:val="-8"/>
              <w:sz w:val="20"/>
              <w:szCs w:val="20"/>
            </w:rPr>
            <w:t>Upstream Oil Production</w:t>
          </w:r>
          <w:r>
            <w:rPr>
              <w:color w:val="333333"/>
              <w:sz w:val="20"/>
              <w:szCs w:val="20"/>
            </w:rPr>
            <w:tab/>
          </w:r>
          <w:r>
            <w:rPr>
              <w:color w:val="333333"/>
              <w:spacing w:val="1"/>
              <w:sz w:val="20"/>
              <w:szCs w:val="20"/>
            </w:rPr>
            <w:t>14</w:t>
          </w:r>
          <w:r>
            <w:rPr>
              <w:color w:val="333333"/>
              <w:spacing w:val="1"/>
              <w:sz w:val="20"/>
              <w:szCs w:val="20"/>
            </w:rPr>
            <w:fldChar w:fldCharType="end"/>
          </w:r>
        </w:p>
        <w:p w14:paraId="0D2C8842">
          <w:pPr>
            <w:pStyle w:val="4"/>
            <w:tabs>
              <w:tab w:val="right" w:leader="dot" w:pos="10564"/>
            </w:tabs>
            <w:spacing w:before="134" w:line="236" w:lineRule="auto"/>
            <w:ind w:left="375"/>
            <w:rPr>
              <w:sz w:val="20"/>
              <w:szCs w:val="20"/>
            </w:rPr>
          </w:pPr>
          <w:r>
            <w:fldChar w:fldCharType="begin"/>
          </w:r>
          <w:r>
            <w:instrText xml:space="preserve"> HYPERLINK \l "bookmark8" </w:instrText>
          </w:r>
          <w:r>
            <w:fldChar w:fldCharType="separate"/>
          </w:r>
          <w:r>
            <w:rPr>
              <w:color w:val="333333"/>
              <w:spacing w:val="-10"/>
              <w:sz w:val="20"/>
              <w:szCs w:val="20"/>
            </w:rPr>
            <w:t>Upstream Gas Production</w:t>
          </w:r>
          <w:r>
            <w:rPr>
              <w:color w:val="333333"/>
              <w:sz w:val="20"/>
              <w:szCs w:val="20"/>
            </w:rPr>
            <w:tab/>
          </w:r>
          <w:r>
            <w:rPr>
              <w:color w:val="333333"/>
              <w:spacing w:val="1"/>
              <w:sz w:val="20"/>
              <w:szCs w:val="20"/>
            </w:rPr>
            <w:t>20</w:t>
          </w:r>
          <w:r>
            <w:rPr>
              <w:color w:val="333333"/>
              <w:spacing w:val="1"/>
              <w:sz w:val="20"/>
              <w:szCs w:val="20"/>
            </w:rPr>
            <w:fldChar w:fldCharType="end"/>
          </w:r>
        </w:p>
        <w:p w14:paraId="74D0B36B">
          <w:pPr>
            <w:pStyle w:val="4"/>
            <w:tabs>
              <w:tab w:val="right" w:leader="dot" w:pos="10564"/>
            </w:tabs>
            <w:spacing w:before="133" w:line="234" w:lineRule="auto"/>
            <w:ind w:left="376"/>
            <w:rPr>
              <w:sz w:val="20"/>
              <w:szCs w:val="20"/>
            </w:rPr>
          </w:pPr>
          <w:r>
            <w:fldChar w:fldCharType="begin"/>
          </w:r>
          <w:r>
            <w:instrText xml:space="preserve"> HYPERLINK \l "bookmark9" </w:instrText>
          </w:r>
          <w:r>
            <w:fldChar w:fldCharType="separate"/>
          </w:r>
          <w:r>
            <w:rPr>
              <w:color w:val="333333"/>
              <w:spacing w:val="-11"/>
              <w:sz w:val="20"/>
              <w:szCs w:val="20"/>
            </w:rPr>
            <w:t>Refining</w:t>
          </w:r>
          <w:r>
            <w:rPr>
              <w:color w:val="333333"/>
              <w:sz w:val="20"/>
              <w:szCs w:val="20"/>
            </w:rPr>
            <w:tab/>
          </w:r>
          <w:r>
            <w:rPr>
              <w:color w:val="333333"/>
              <w:spacing w:val="1"/>
              <w:sz w:val="20"/>
              <w:szCs w:val="20"/>
            </w:rPr>
            <w:t>26</w:t>
          </w:r>
          <w:r>
            <w:rPr>
              <w:color w:val="333333"/>
              <w:spacing w:val="1"/>
              <w:sz w:val="20"/>
              <w:szCs w:val="20"/>
            </w:rPr>
            <w:fldChar w:fldCharType="end"/>
          </w:r>
        </w:p>
        <w:p w14:paraId="34911A0E">
          <w:pPr>
            <w:pStyle w:val="4"/>
            <w:tabs>
              <w:tab w:val="right" w:leader="dot" w:pos="10564"/>
            </w:tabs>
            <w:spacing w:before="136" w:line="236" w:lineRule="auto"/>
            <w:ind w:left="376"/>
            <w:rPr>
              <w:sz w:val="20"/>
              <w:szCs w:val="20"/>
            </w:rPr>
          </w:pPr>
          <w:r>
            <w:fldChar w:fldCharType="begin"/>
          </w:r>
          <w:r>
            <w:instrText xml:space="preserve"> HYPERLINK \l "bookmark10" </w:instrText>
          </w:r>
          <w:r>
            <w:fldChar w:fldCharType="separate"/>
          </w:r>
          <w:r>
            <w:rPr>
              <w:color w:val="333333"/>
              <w:spacing w:val="-10"/>
              <w:sz w:val="20"/>
              <w:szCs w:val="20"/>
            </w:rPr>
            <w:t>Refined Fuels Consumption</w:t>
          </w:r>
          <w:r>
            <w:rPr>
              <w:color w:val="333333"/>
              <w:spacing w:val="-25"/>
              <w:sz w:val="20"/>
              <w:szCs w:val="20"/>
            </w:rPr>
            <w:t xml:space="preserve"> </w:t>
          </w:r>
          <w:r>
            <w:rPr>
              <w:color w:val="333333"/>
              <w:sz w:val="20"/>
              <w:szCs w:val="20"/>
            </w:rPr>
            <w:tab/>
          </w:r>
          <w:r>
            <w:rPr>
              <w:color w:val="333333"/>
              <w:spacing w:val="1"/>
              <w:sz w:val="20"/>
              <w:szCs w:val="20"/>
            </w:rPr>
            <w:t>29</w:t>
          </w:r>
          <w:r>
            <w:rPr>
              <w:color w:val="333333"/>
              <w:spacing w:val="1"/>
              <w:sz w:val="20"/>
              <w:szCs w:val="20"/>
            </w:rPr>
            <w:fldChar w:fldCharType="end"/>
          </w:r>
        </w:p>
        <w:p w14:paraId="0309D445">
          <w:pPr>
            <w:pStyle w:val="4"/>
            <w:tabs>
              <w:tab w:val="right" w:leader="dot" w:pos="10564"/>
            </w:tabs>
            <w:spacing w:before="134" w:line="236" w:lineRule="auto"/>
            <w:ind w:left="369"/>
            <w:rPr>
              <w:sz w:val="20"/>
              <w:szCs w:val="20"/>
            </w:rPr>
          </w:pPr>
          <w:r>
            <w:fldChar w:fldCharType="begin"/>
          </w:r>
          <w:r>
            <w:instrText xml:space="preserve"> HYPERLINK \l "bookmark11" </w:instrText>
          </w:r>
          <w:r>
            <w:fldChar w:fldCharType="separate"/>
          </w:r>
          <w:r>
            <w:rPr>
              <w:color w:val="333333"/>
              <w:spacing w:val="-11"/>
              <w:sz w:val="20"/>
              <w:szCs w:val="20"/>
            </w:rPr>
            <w:t>Gas Consumption</w:t>
          </w:r>
          <w:r>
            <w:rPr>
              <w:color w:val="333333"/>
              <w:spacing w:val="-28"/>
              <w:sz w:val="20"/>
              <w:szCs w:val="20"/>
            </w:rPr>
            <w:t xml:space="preserve"> </w:t>
          </w:r>
          <w:r>
            <w:rPr>
              <w:color w:val="333333"/>
              <w:sz w:val="20"/>
              <w:szCs w:val="20"/>
            </w:rPr>
            <w:tab/>
          </w:r>
          <w:r>
            <w:rPr>
              <w:color w:val="333333"/>
              <w:spacing w:val="1"/>
              <w:sz w:val="20"/>
              <w:szCs w:val="20"/>
            </w:rPr>
            <w:t>33</w:t>
          </w:r>
          <w:r>
            <w:rPr>
              <w:color w:val="333333"/>
              <w:spacing w:val="1"/>
              <w:sz w:val="20"/>
              <w:szCs w:val="20"/>
            </w:rPr>
            <w:fldChar w:fldCharType="end"/>
          </w:r>
        </w:p>
        <w:p w14:paraId="61BECECB">
          <w:pPr>
            <w:pStyle w:val="4"/>
            <w:tabs>
              <w:tab w:val="right" w:leader="dot" w:pos="10564"/>
            </w:tabs>
            <w:spacing w:before="134" w:line="263" w:lineRule="exact"/>
            <w:ind w:left="369"/>
            <w:rPr>
              <w:sz w:val="20"/>
              <w:szCs w:val="20"/>
            </w:rPr>
          </w:pPr>
          <w:r>
            <w:fldChar w:fldCharType="begin"/>
          </w:r>
          <w:r>
            <w:instrText xml:space="preserve"> HYPERLINK \l "bookmark12" </w:instrText>
          </w:r>
          <w:r>
            <w:fldChar w:fldCharType="separate"/>
          </w:r>
          <w:r>
            <w:rPr>
              <w:color w:val="333333"/>
              <w:spacing w:val="-14"/>
              <w:position w:val="1"/>
              <w:sz w:val="20"/>
              <w:szCs w:val="20"/>
            </w:rPr>
            <w:t>Oil Trade</w:t>
          </w:r>
          <w:r>
            <w:rPr>
              <w:color w:val="333333"/>
              <w:position w:val="1"/>
              <w:sz w:val="20"/>
              <w:szCs w:val="20"/>
            </w:rPr>
            <w:tab/>
          </w:r>
          <w:r>
            <w:rPr>
              <w:color w:val="333333"/>
              <w:spacing w:val="1"/>
              <w:position w:val="1"/>
              <w:sz w:val="20"/>
              <w:szCs w:val="20"/>
            </w:rPr>
            <w:t>37</w:t>
          </w:r>
          <w:r>
            <w:rPr>
              <w:color w:val="333333"/>
              <w:spacing w:val="1"/>
              <w:position w:val="1"/>
              <w:sz w:val="20"/>
              <w:szCs w:val="20"/>
            </w:rPr>
            <w:fldChar w:fldCharType="end"/>
          </w:r>
        </w:p>
        <w:p w14:paraId="128B4EE2">
          <w:pPr>
            <w:pStyle w:val="4"/>
            <w:tabs>
              <w:tab w:val="right" w:leader="dot" w:pos="10564"/>
            </w:tabs>
            <w:spacing w:before="97" w:line="263" w:lineRule="exact"/>
            <w:ind w:left="369"/>
            <w:rPr>
              <w:sz w:val="20"/>
              <w:szCs w:val="20"/>
            </w:rPr>
          </w:pPr>
          <w:r>
            <w:fldChar w:fldCharType="begin"/>
          </w:r>
          <w:r>
            <w:instrText xml:space="preserve"> HYPERLINK \l "bookmark13" </w:instrText>
          </w:r>
          <w:r>
            <w:fldChar w:fldCharType="separate"/>
          </w:r>
          <w:r>
            <w:rPr>
              <w:color w:val="333333"/>
              <w:spacing w:val="-15"/>
              <w:w w:val="95"/>
              <w:position w:val="1"/>
              <w:sz w:val="20"/>
              <w:szCs w:val="20"/>
            </w:rPr>
            <w:t>Gas</w:t>
          </w:r>
          <w:r>
            <w:rPr>
              <w:color w:val="333333"/>
              <w:spacing w:val="-7"/>
              <w:position w:val="1"/>
              <w:sz w:val="20"/>
              <w:szCs w:val="20"/>
            </w:rPr>
            <w:t xml:space="preserve"> </w:t>
          </w:r>
          <w:r>
            <w:rPr>
              <w:color w:val="333333"/>
              <w:spacing w:val="-15"/>
              <w:w w:val="95"/>
              <w:position w:val="1"/>
              <w:sz w:val="20"/>
              <w:szCs w:val="20"/>
            </w:rPr>
            <w:t>Trade</w:t>
          </w:r>
          <w:r>
            <w:rPr>
              <w:color w:val="333333"/>
              <w:position w:val="1"/>
              <w:sz w:val="20"/>
              <w:szCs w:val="20"/>
            </w:rPr>
            <w:tab/>
          </w:r>
          <w:r>
            <w:rPr>
              <w:color w:val="333333"/>
              <w:spacing w:val="1"/>
              <w:position w:val="1"/>
              <w:sz w:val="20"/>
              <w:szCs w:val="20"/>
            </w:rPr>
            <w:t>41</w:t>
          </w:r>
          <w:r>
            <w:rPr>
              <w:color w:val="333333"/>
              <w:spacing w:val="1"/>
              <w:position w:val="1"/>
              <w:sz w:val="20"/>
              <w:szCs w:val="20"/>
            </w:rPr>
            <w:fldChar w:fldCharType="end"/>
          </w:r>
        </w:p>
        <w:p w14:paraId="25C768EA">
          <w:pPr>
            <w:pStyle w:val="4"/>
            <w:tabs>
              <w:tab w:val="right" w:leader="dot" w:pos="10564"/>
            </w:tabs>
            <w:spacing w:before="184" w:line="241" w:lineRule="auto"/>
            <w:ind w:left="376"/>
            <w:rPr>
              <w:sz w:val="22"/>
              <w:szCs w:val="22"/>
            </w:rPr>
          </w:pPr>
          <w:r>
            <w:fldChar w:fldCharType="begin"/>
          </w:r>
          <w:r>
            <w:instrText xml:space="preserve"> HYPERLINK \l "bookmark14" </w:instrText>
          </w:r>
          <w:r>
            <w:fldChar w:fldCharType="separate"/>
          </w:r>
          <w:r>
            <w:rPr>
              <w:b/>
              <w:bCs/>
              <w:color w:val="174174"/>
              <w:spacing w:val="-8"/>
              <w:sz w:val="22"/>
              <w:szCs w:val="22"/>
            </w:rPr>
            <w:t>Industry Risk/Reward Index</w:t>
          </w:r>
          <w:r>
            <w:rPr>
              <w:b/>
              <w:bCs/>
              <w:color w:val="174174"/>
              <w:spacing w:val="-13"/>
              <w:sz w:val="22"/>
              <w:szCs w:val="22"/>
            </w:rPr>
            <w:t xml:space="preserve"> </w:t>
          </w:r>
          <w:r>
            <w:rPr>
              <w:b/>
              <w:bCs/>
              <w:color w:val="174174"/>
              <w:sz w:val="22"/>
              <w:szCs w:val="22"/>
            </w:rPr>
            <w:tab/>
          </w:r>
          <w:r>
            <w:rPr>
              <w:b/>
              <w:bCs/>
              <w:color w:val="174174"/>
              <w:spacing w:val="-1"/>
              <w:sz w:val="22"/>
              <w:szCs w:val="22"/>
            </w:rPr>
            <w:t>45</w:t>
          </w:r>
          <w:r>
            <w:rPr>
              <w:b/>
              <w:bCs/>
              <w:color w:val="174174"/>
              <w:spacing w:val="-1"/>
              <w:sz w:val="22"/>
              <w:szCs w:val="22"/>
            </w:rPr>
            <w:fldChar w:fldCharType="end"/>
          </w:r>
        </w:p>
        <w:p w14:paraId="57FCBDD7">
          <w:pPr>
            <w:pStyle w:val="4"/>
            <w:tabs>
              <w:tab w:val="right" w:leader="dot" w:pos="10564"/>
            </w:tabs>
            <w:spacing w:before="127" w:line="236" w:lineRule="auto"/>
            <w:ind w:left="376"/>
            <w:rPr>
              <w:sz w:val="20"/>
              <w:szCs w:val="20"/>
            </w:rPr>
          </w:pPr>
          <w:r>
            <w:fldChar w:fldCharType="begin"/>
          </w:r>
          <w:r>
            <w:instrText xml:space="preserve"> HYPERLINK \l "bookmark15" </w:instrText>
          </w:r>
          <w:r>
            <w:fldChar w:fldCharType="separate"/>
          </w:r>
          <w:r>
            <w:rPr>
              <w:color w:val="333333"/>
              <w:spacing w:val="-10"/>
              <w:sz w:val="20"/>
              <w:szCs w:val="20"/>
            </w:rPr>
            <w:t>Latin</w:t>
          </w:r>
          <w:r>
            <w:rPr>
              <w:color w:val="333333"/>
              <w:spacing w:val="-15"/>
              <w:sz w:val="20"/>
              <w:szCs w:val="20"/>
            </w:rPr>
            <w:t xml:space="preserve"> </w:t>
          </w:r>
          <w:r>
            <w:rPr>
              <w:color w:val="333333"/>
              <w:spacing w:val="-10"/>
              <w:sz w:val="20"/>
              <w:szCs w:val="20"/>
            </w:rPr>
            <w:t>America Upstream Oil &amp;</w:t>
          </w:r>
          <w:r>
            <w:rPr>
              <w:color w:val="333333"/>
              <w:spacing w:val="-11"/>
              <w:sz w:val="20"/>
              <w:szCs w:val="20"/>
            </w:rPr>
            <w:t xml:space="preserve"> Gas Risk/Reward Index </w:t>
          </w:r>
          <w:r>
            <w:rPr>
              <w:color w:val="333333"/>
              <w:sz w:val="20"/>
              <w:szCs w:val="20"/>
            </w:rPr>
            <w:tab/>
          </w:r>
          <w:r>
            <w:rPr>
              <w:color w:val="333333"/>
              <w:spacing w:val="1"/>
              <w:sz w:val="20"/>
              <w:szCs w:val="20"/>
            </w:rPr>
            <w:t>45</w:t>
          </w:r>
          <w:r>
            <w:rPr>
              <w:color w:val="333333"/>
              <w:spacing w:val="1"/>
              <w:sz w:val="20"/>
              <w:szCs w:val="20"/>
            </w:rPr>
            <w:fldChar w:fldCharType="end"/>
          </w:r>
        </w:p>
        <w:p w14:paraId="4D93203E">
          <w:pPr>
            <w:pStyle w:val="4"/>
            <w:tabs>
              <w:tab w:val="right" w:leader="dot" w:pos="10564"/>
            </w:tabs>
            <w:spacing w:before="134" w:line="262" w:lineRule="exact"/>
            <w:ind w:left="376"/>
            <w:rPr>
              <w:sz w:val="20"/>
              <w:szCs w:val="20"/>
            </w:rPr>
          </w:pPr>
          <w:r>
            <w:fldChar w:fldCharType="begin"/>
          </w:r>
          <w:r>
            <w:instrText xml:space="preserve"> HYPERLINK \l "bookmark16" </w:instrText>
          </w:r>
          <w:r>
            <w:fldChar w:fldCharType="separate"/>
          </w:r>
          <w:r>
            <w:rPr>
              <w:color w:val="333333"/>
              <w:spacing w:val="-10"/>
              <w:position w:val="1"/>
              <w:sz w:val="20"/>
              <w:szCs w:val="20"/>
            </w:rPr>
            <w:t>Latin</w:t>
          </w:r>
          <w:r>
            <w:rPr>
              <w:color w:val="333333"/>
              <w:spacing w:val="-15"/>
              <w:position w:val="1"/>
              <w:sz w:val="20"/>
              <w:szCs w:val="20"/>
            </w:rPr>
            <w:t xml:space="preserve"> </w:t>
          </w:r>
          <w:r>
            <w:rPr>
              <w:color w:val="333333"/>
              <w:spacing w:val="-10"/>
              <w:position w:val="1"/>
              <w:sz w:val="20"/>
              <w:szCs w:val="20"/>
            </w:rPr>
            <w:t>America Downstream Oil &amp; G</w:t>
          </w:r>
          <w:r>
            <w:rPr>
              <w:color w:val="333333"/>
              <w:spacing w:val="-11"/>
              <w:position w:val="1"/>
              <w:sz w:val="20"/>
              <w:szCs w:val="20"/>
            </w:rPr>
            <w:t xml:space="preserve">as Risk/Reward Index </w:t>
          </w:r>
          <w:r>
            <w:rPr>
              <w:color w:val="333333"/>
              <w:position w:val="1"/>
              <w:sz w:val="20"/>
              <w:szCs w:val="20"/>
            </w:rPr>
            <w:tab/>
          </w:r>
          <w:r>
            <w:rPr>
              <w:color w:val="333333"/>
              <w:spacing w:val="1"/>
              <w:position w:val="1"/>
              <w:sz w:val="20"/>
              <w:szCs w:val="20"/>
            </w:rPr>
            <w:t>53</w:t>
          </w:r>
          <w:r>
            <w:rPr>
              <w:color w:val="333333"/>
              <w:spacing w:val="1"/>
              <w:position w:val="1"/>
              <w:sz w:val="20"/>
              <w:szCs w:val="20"/>
            </w:rPr>
            <w:fldChar w:fldCharType="end"/>
          </w:r>
        </w:p>
        <w:p w14:paraId="6CB92065">
          <w:pPr>
            <w:pStyle w:val="4"/>
            <w:tabs>
              <w:tab w:val="right" w:leader="dot" w:pos="10564"/>
            </w:tabs>
            <w:spacing w:before="97" w:line="234" w:lineRule="auto"/>
            <w:ind w:left="359"/>
            <w:rPr>
              <w:sz w:val="20"/>
              <w:szCs w:val="20"/>
            </w:rPr>
          </w:pPr>
          <w:r>
            <w:fldChar w:fldCharType="begin"/>
          </w:r>
          <w:r>
            <w:instrText xml:space="preserve"> HYPERLINK \l "bookmark17" </w:instrText>
          </w:r>
          <w:r>
            <w:fldChar w:fldCharType="separate"/>
          </w:r>
          <w:r>
            <w:rPr>
              <w:color w:val="333333"/>
              <w:spacing w:val="-10"/>
              <w:sz w:val="20"/>
              <w:szCs w:val="20"/>
            </w:rPr>
            <w:t>Argentina Upstream Oil &amp; Gas Risk/R</w:t>
          </w:r>
          <w:r>
            <w:rPr>
              <w:color w:val="333333"/>
              <w:spacing w:val="-11"/>
              <w:sz w:val="20"/>
              <w:szCs w:val="20"/>
            </w:rPr>
            <w:t>eward Index</w:t>
          </w:r>
          <w:r>
            <w:rPr>
              <w:color w:val="333333"/>
              <w:sz w:val="20"/>
              <w:szCs w:val="20"/>
            </w:rPr>
            <w:tab/>
          </w:r>
          <w:r>
            <w:rPr>
              <w:color w:val="333333"/>
              <w:spacing w:val="1"/>
              <w:sz w:val="20"/>
              <w:szCs w:val="20"/>
            </w:rPr>
            <w:t>60</w:t>
          </w:r>
          <w:r>
            <w:rPr>
              <w:color w:val="333333"/>
              <w:spacing w:val="1"/>
              <w:sz w:val="20"/>
              <w:szCs w:val="20"/>
            </w:rPr>
            <w:fldChar w:fldCharType="end"/>
          </w:r>
        </w:p>
        <w:p w14:paraId="2B3A5B0D">
          <w:pPr>
            <w:pStyle w:val="4"/>
            <w:tabs>
              <w:tab w:val="right" w:leader="dot" w:pos="10564"/>
            </w:tabs>
            <w:spacing w:before="136" w:line="234" w:lineRule="auto"/>
            <w:ind w:left="359"/>
            <w:rPr>
              <w:sz w:val="20"/>
              <w:szCs w:val="20"/>
            </w:rPr>
          </w:pPr>
          <w:r>
            <w:fldChar w:fldCharType="begin"/>
          </w:r>
          <w:r>
            <w:instrText xml:space="preserve"> HYPERLINK \l "bookmark18" </w:instrText>
          </w:r>
          <w:r>
            <w:fldChar w:fldCharType="separate"/>
          </w:r>
          <w:r>
            <w:rPr>
              <w:color w:val="333333"/>
              <w:spacing w:val="-10"/>
              <w:sz w:val="20"/>
              <w:szCs w:val="20"/>
            </w:rPr>
            <w:t>Argentina Downstream Oil &amp; Gas Risk/Rew</w:t>
          </w:r>
          <w:r>
            <w:rPr>
              <w:color w:val="333333"/>
              <w:spacing w:val="-11"/>
              <w:sz w:val="20"/>
              <w:szCs w:val="20"/>
            </w:rPr>
            <w:t>ard Index</w:t>
          </w:r>
          <w:r>
            <w:rPr>
              <w:color w:val="333333"/>
              <w:sz w:val="20"/>
              <w:szCs w:val="20"/>
            </w:rPr>
            <w:tab/>
          </w:r>
          <w:r>
            <w:rPr>
              <w:color w:val="333333"/>
              <w:spacing w:val="1"/>
              <w:sz w:val="20"/>
              <w:szCs w:val="20"/>
            </w:rPr>
            <w:t>62</w:t>
          </w:r>
          <w:r>
            <w:rPr>
              <w:color w:val="333333"/>
              <w:spacing w:val="1"/>
              <w:sz w:val="20"/>
              <w:szCs w:val="20"/>
            </w:rPr>
            <w:fldChar w:fldCharType="end"/>
          </w:r>
        </w:p>
        <w:p w14:paraId="4F175822">
          <w:pPr>
            <w:pStyle w:val="4"/>
            <w:tabs>
              <w:tab w:val="right" w:leader="dot" w:pos="10564"/>
            </w:tabs>
            <w:spacing w:before="223" w:line="298" w:lineRule="exact"/>
            <w:ind w:left="376"/>
            <w:rPr>
              <w:sz w:val="22"/>
              <w:szCs w:val="22"/>
            </w:rPr>
          </w:pPr>
          <w:r>
            <w:fldChar w:fldCharType="begin"/>
          </w:r>
          <w:r>
            <w:instrText xml:space="preserve"> HYPERLINK \l "bookmark19" </w:instrText>
          </w:r>
          <w:r>
            <w:fldChar w:fldCharType="separate"/>
          </w:r>
          <w:r>
            <w:rPr>
              <w:b/>
              <w:bCs/>
              <w:color w:val="174174"/>
              <w:spacing w:val="-9"/>
              <w:position w:val="1"/>
              <w:sz w:val="22"/>
              <w:szCs w:val="22"/>
            </w:rPr>
            <w:t>Market Overview</w:t>
          </w:r>
          <w:r>
            <w:rPr>
              <w:b/>
              <w:bCs/>
              <w:color w:val="174174"/>
              <w:spacing w:val="-24"/>
              <w:position w:val="1"/>
              <w:sz w:val="22"/>
              <w:szCs w:val="22"/>
            </w:rPr>
            <w:t xml:space="preserve"> </w:t>
          </w:r>
          <w:r>
            <w:rPr>
              <w:b/>
              <w:bCs/>
              <w:color w:val="174174"/>
              <w:position w:val="1"/>
              <w:sz w:val="22"/>
              <w:szCs w:val="22"/>
            </w:rPr>
            <w:tab/>
          </w:r>
          <w:r>
            <w:rPr>
              <w:b/>
              <w:bCs/>
              <w:color w:val="174174"/>
              <w:spacing w:val="-1"/>
              <w:position w:val="1"/>
              <w:sz w:val="22"/>
              <w:szCs w:val="22"/>
            </w:rPr>
            <w:t>64</w:t>
          </w:r>
          <w:r>
            <w:rPr>
              <w:b/>
              <w:bCs/>
              <w:color w:val="174174"/>
              <w:spacing w:val="-1"/>
              <w:position w:val="1"/>
              <w:sz w:val="22"/>
              <w:szCs w:val="22"/>
            </w:rPr>
            <w:fldChar w:fldCharType="end"/>
          </w:r>
        </w:p>
        <w:p w14:paraId="517A7ADF">
          <w:pPr>
            <w:pStyle w:val="4"/>
            <w:tabs>
              <w:tab w:val="right" w:leader="dot" w:pos="10564"/>
            </w:tabs>
            <w:spacing w:before="83" w:line="263" w:lineRule="exact"/>
            <w:ind w:left="369"/>
            <w:rPr>
              <w:sz w:val="20"/>
              <w:szCs w:val="20"/>
            </w:rPr>
          </w:pPr>
          <w:r>
            <w:fldChar w:fldCharType="begin"/>
          </w:r>
          <w:r>
            <w:instrText xml:space="preserve"> HYPERLINK \l "bookmark20" </w:instrText>
          </w:r>
          <w:r>
            <w:fldChar w:fldCharType="separate"/>
          </w:r>
          <w:r>
            <w:rPr>
              <w:color w:val="333333"/>
              <w:spacing w:val="-12"/>
              <w:position w:val="1"/>
              <w:sz w:val="20"/>
              <w:szCs w:val="20"/>
            </w:rPr>
            <w:t>Oil &amp; Gas Market Ove</w:t>
          </w:r>
          <w:r>
            <w:rPr>
              <w:color w:val="333333"/>
              <w:spacing w:val="-13"/>
              <w:position w:val="1"/>
              <w:sz w:val="20"/>
              <w:szCs w:val="20"/>
            </w:rPr>
            <w:t>rview</w:t>
          </w:r>
          <w:r>
            <w:rPr>
              <w:color w:val="333333"/>
              <w:spacing w:val="-26"/>
              <w:position w:val="1"/>
              <w:sz w:val="20"/>
              <w:szCs w:val="20"/>
            </w:rPr>
            <w:t xml:space="preserve"> </w:t>
          </w:r>
          <w:r>
            <w:rPr>
              <w:color w:val="333333"/>
              <w:position w:val="1"/>
              <w:sz w:val="20"/>
              <w:szCs w:val="20"/>
            </w:rPr>
            <w:tab/>
          </w:r>
          <w:r>
            <w:rPr>
              <w:color w:val="333333"/>
              <w:spacing w:val="1"/>
              <w:position w:val="1"/>
              <w:sz w:val="20"/>
              <w:szCs w:val="20"/>
            </w:rPr>
            <w:t>64</w:t>
          </w:r>
          <w:r>
            <w:rPr>
              <w:color w:val="333333"/>
              <w:spacing w:val="1"/>
              <w:position w:val="1"/>
              <w:sz w:val="20"/>
              <w:szCs w:val="20"/>
            </w:rPr>
            <w:fldChar w:fldCharType="end"/>
          </w:r>
        </w:p>
        <w:p w14:paraId="5103BB94">
          <w:pPr>
            <w:pStyle w:val="4"/>
            <w:tabs>
              <w:tab w:val="right" w:leader="dot" w:pos="10564"/>
            </w:tabs>
            <w:spacing w:before="97" w:line="263" w:lineRule="exact"/>
            <w:ind w:left="369"/>
            <w:rPr>
              <w:sz w:val="20"/>
              <w:szCs w:val="20"/>
            </w:rPr>
          </w:pPr>
          <w:r>
            <w:fldChar w:fldCharType="begin"/>
          </w:r>
          <w:r>
            <w:instrText xml:space="preserve"> HYPERLINK \l "bookmark21" </w:instrText>
          </w:r>
          <w:r>
            <w:fldChar w:fldCharType="separate"/>
          </w:r>
          <w:r>
            <w:rPr>
              <w:color w:val="333333"/>
              <w:spacing w:val="-9"/>
              <w:position w:val="1"/>
              <w:sz w:val="20"/>
              <w:szCs w:val="20"/>
            </w:rPr>
            <w:t>Oil &amp; Gas Infrastruc</w:t>
          </w:r>
          <w:r>
            <w:rPr>
              <w:color w:val="333333"/>
              <w:spacing w:val="-10"/>
              <w:position w:val="1"/>
              <w:sz w:val="20"/>
              <w:szCs w:val="20"/>
            </w:rPr>
            <w:t>ture</w:t>
          </w:r>
          <w:r>
            <w:rPr>
              <w:color w:val="333333"/>
              <w:spacing w:val="-27"/>
              <w:position w:val="1"/>
              <w:sz w:val="20"/>
              <w:szCs w:val="20"/>
            </w:rPr>
            <w:t xml:space="preserve"> </w:t>
          </w:r>
          <w:r>
            <w:rPr>
              <w:color w:val="333333"/>
              <w:position w:val="1"/>
              <w:sz w:val="20"/>
              <w:szCs w:val="20"/>
            </w:rPr>
            <w:tab/>
          </w:r>
          <w:r>
            <w:rPr>
              <w:color w:val="333333"/>
              <w:spacing w:val="1"/>
              <w:position w:val="1"/>
              <w:sz w:val="20"/>
              <w:szCs w:val="20"/>
            </w:rPr>
            <w:t>69</w:t>
          </w:r>
          <w:r>
            <w:rPr>
              <w:color w:val="333333"/>
              <w:spacing w:val="1"/>
              <w:position w:val="1"/>
              <w:sz w:val="20"/>
              <w:szCs w:val="20"/>
            </w:rPr>
            <w:fldChar w:fldCharType="end"/>
          </w:r>
        </w:p>
        <w:p w14:paraId="5E312568">
          <w:pPr>
            <w:pStyle w:val="4"/>
            <w:tabs>
              <w:tab w:val="right" w:leader="dot" w:pos="10564"/>
            </w:tabs>
            <w:spacing w:before="185" w:line="256" w:lineRule="exact"/>
            <w:ind w:left="369"/>
            <w:rPr>
              <w:sz w:val="22"/>
              <w:szCs w:val="22"/>
            </w:rPr>
          </w:pPr>
          <w:r>
            <w:fldChar w:fldCharType="begin"/>
          </w:r>
          <w:r>
            <w:instrText xml:space="preserve"> HYPERLINK \l "bookmark22" </w:instrText>
          </w:r>
          <w:r>
            <w:fldChar w:fldCharType="separate"/>
          </w:r>
          <w:r>
            <w:rPr>
              <w:b/>
              <w:bCs/>
              <w:color w:val="174174"/>
              <w:spacing w:val="-10"/>
              <w:position w:val="2"/>
              <w:sz w:val="22"/>
              <w:szCs w:val="22"/>
            </w:rPr>
            <w:t>Competitive Landscape</w:t>
          </w:r>
          <w:r>
            <w:rPr>
              <w:b/>
              <w:bCs/>
              <w:color w:val="174174"/>
              <w:position w:val="2"/>
              <w:sz w:val="22"/>
              <w:szCs w:val="22"/>
            </w:rPr>
            <w:tab/>
          </w:r>
          <w:r>
            <w:rPr>
              <w:b/>
              <w:bCs/>
              <w:color w:val="174174"/>
              <w:spacing w:val="-1"/>
              <w:position w:val="2"/>
              <w:sz w:val="22"/>
              <w:szCs w:val="22"/>
            </w:rPr>
            <w:t>75</w:t>
          </w:r>
          <w:r>
            <w:rPr>
              <w:b/>
              <w:bCs/>
              <w:color w:val="174174"/>
              <w:spacing w:val="-1"/>
              <w:position w:val="2"/>
              <w:sz w:val="22"/>
              <w:szCs w:val="22"/>
            </w:rPr>
            <w:fldChar w:fldCharType="end"/>
          </w:r>
        </w:p>
        <w:p w14:paraId="296BFE60">
          <w:pPr>
            <w:pStyle w:val="4"/>
            <w:tabs>
              <w:tab w:val="right" w:leader="dot" w:pos="10564"/>
            </w:tabs>
            <w:spacing w:before="212" w:line="241" w:lineRule="auto"/>
            <w:ind w:left="369"/>
            <w:rPr>
              <w:sz w:val="22"/>
              <w:szCs w:val="22"/>
            </w:rPr>
          </w:pPr>
          <w:r>
            <w:fldChar w:fldCharType="begin"/>
          </w:r>
          <w:r>
            <w:instrText xml:space="preserve"> HYPERLINK \l "bookmark23" </w:instrText>
          </w:r>
          <w:r>
            <w:fldChar w:fldCharType="separate"/>
          </w:r>
          <w:r>
            <w:rPr>
              <w:b/>
              <w:bCs/>
              <w:color w:val="174174"/>
              <w:spacing w:val="-11"/>
              <w:sz w:val="22"/>
              <w:szCs w:val="22"/>
            </w:rPr>
            <w:t>Company Profile</w:t>
          </w:r>
          <w:r>
            <w:rPr>
              <w:b/>
              <w:bCs/>
              <w:color w:val="174174"/>
              <w:sz w:val="22"/>
              <w:szCs w:val="22"/>
            </w:rPr>
            <w:tab/>
          </w:r>
          <w:r>
            <w:rPr>
              <w:b/>
              <w:bCs/>
              <w:color w:val="174174"/>
              <w:spacing w:val="-1"/>
              <w:sz w:val="22"/>
              <w:szCs w:val="22"/>
            </w:rPr>
            <w:t>77</w:t>
          </w:r>
          <w:r>
            <w:rPr>
              <w:b/>
              <w:bCs/>
              <w:color w:val="174174"/>
              <w:spacing w:val="-1"/>
              <w:sz w:val="22"/>
              <w:szCs w:val="22"/>
            </w:rPr>
            <w:fldChar w:fldCharType="end"/>
          </w:r>
        </w:p>
        <w:p w14:paraId="0B120945">
          <w:pPr>
            <w:pStyle w:val="4"/>
            <w:tabs>
              <w:tab w:val="right" w:leader="dot" w:pos="10564"/>
            </w:tabs>
            <w:spacing w:before="127" w:line="266" w:lineRule="exact"/>
            <w:ind w:left="359"/>
            <w:rPr>
              <w:sz w:val="20"/>
              <w:szCs w:val="20"/>
            </w:rPr>
          </w:pPr>
          <w:r>
            <w:fldChar w:fldCharType="begin"/>
          </w:r>
          <w:r>
            <w:instrText xml:space="preserve"> HYPERLINK \l "bookmark24" </w:instrText>
          </w:r>
          <w:r>
            <w:fldChar w:fldCharType="separate"/>
          </w:r>
          <w:r>
            <w:rPr>
              <w:color w:val="333333"/>
              <w:spacing w:val="-15"/>
              <w:w w:val="91"/>
              <w:position w:val="1"/>
              <w:sz w:val="20"/>
              <w:szCs w:val="20"/>
            </w:rPr>
            <w:t>YPF</w:t>
          </w:r>
          <w:r>
            <w:rPr>
              <w:color w:val="333333"/>
              <w:position w:val="1"/>
              <w:sz w:val="20"/>
              <w:szCs w:val="20"/>
            </w:rPr>
            <w:tab/>
          </w:r>
          <w:r>
            <w:rPr>
              <w:color w:val="333333"/>
              <w:spacing w:val="1"/>
              <w:position w:val="1"/>
              <w:sz w:val="20"/>
              <w:szCs w:val="20"/>
            </w:rPr>
            <w:t>77</w:t>
          </w:r>
          <w:r>
            <w:rPr>
              <w:color w:val="333333"/>
              <w:spacing w:val="1"/>
              <w:position w:val="1"/>
              <w:sz w:val="20"/>
              <w:szCs w:val="20"/>
            </w:rPr>
            <w:fldChar w:fldCharType="end"/>
          </w:r>
        </w:p>
        <w:p w14:paraId="1F3686A0">
          <w:pPr>
            <w:pStyle w:val="4"/>
            <w:tabs>
              <w:tab w:val="right" w:leader="dot" w:pos="10564"/>
            </w:tabs>
            <w:spacing w:before="93" w:line="234" w:lineRule="auto"/>
            <w:ind w:left="369"/>
            <w:rPr>
              <w:sz w:val="20"/>
              <w:szCs w:val="20"/>
            </w:rPr>
          </w:pPr>
          <w:r>
            <w:fldChar w:fldCharType="begin"/>
          </w:r>
          <w:r>
            <w:instrText xml:space="preserve"> HYPERLINK \l "bookmark25" </w:instrText>
          </w:r>
          <w:r>
            <w:fldChar w:fldCharType="separate"/>
          </w:r>
          <w:r>
            <w:rPr>
              <w:color w:val="333333"/>
              <w:spacing w:val="-9"/>
              <w:sz w:val="20"/>
              <w:szCs w:val="20"/>
            </w:rPr>
            <w:t>Chevron</w:t>
          </w:r>
          <w:r>
            <w:rPr>
              <w:color w:val="333333"/>
              <w:spacing w:val="-4"/>
              <w:sz w:val="20"/>
              <w:szCs w:val="20"/>
            </w:rPr>
            <w:t xml:space="preserve"> </w:t>
          </w:r>
          <w:r>
            <w:rPr>
              <w:color w:val="333333"/>
              <w:spacing w:val="-9"/>
              <w:sz w:val="20"/>
              <w:szCs w:val="20"/>
            </w:rPr>
            <w:t>Argentina</w:t>
          </w:r>
          <w:r>
            <w:rPr>
              <w:color w:val="333333"/>
              <w:sz w:val="20"/>
              <w:szCs w:val="20"/>
            </w:rPr>
            <w:tab/>
          </w:r>
          <w:r>
            <w:rPr>
              <w:color w:val="333333"/>
              <w:spacing w:val="1"/>
              <w:sz w:val="20"/>
              <w:szCs w:val="20"/>
            </w:rPr>
            <w:t>79</w:t>
          </w:r>
          <w:r>
            <w:rPr>
              <w:color w:val="333333"/>
              <w:spacing w:val="1"/>
              <w:sz w:val="20"/>
              <w:szCs w:val="20"/>
            </w:rPr>
            <w:fldChar w:fldCharType="end"/>
          </w:r>
        </w:p>
        <w:p w14:paraId="20163640">
          <w:pPr>
            <w:pStyle w:val="4"/>
            <w:tabs>
              <w:tab w:val="right" w:leader="dot" w:pos="10564"/>
            </w:tabs>
            <w:spacing w:before="136" w:line="264" w:lineRule="exact"/>
            <w:ind w:left="376"/>
            <w:rPr>
              <w:sz w:val="20"/>
              <w:szCs w:val="20"/>
            </w:rPr>
          </w:pPr>
          <w:r>
            <w:fldChar w:fldCharType="begin"/>
          </w:r>
          <w:r>
            <w:instrText xml:space="preserve"> HYPERLINK \l "bookmark26" </w:instrText>
          </w:r>
          <w:r>
            <w:fldChar w:fldCharType="separate"/>
          </w:r>
          <w:r>
            <w:rPr>
              <w:color w:val="333333"/>
              <w:spacing w:val="-13"/>
              <w:position w:val="1"/>
              <w:sz w:val="20"/>
              <w:szCs w:val="20"/>
            </w:rPr>
            <w:t>ExxonMobil</w:t>
          </w:r>
          <w:r>
            <w:rPr>
              <w:color w:val="333333"/>
              <w:spacing w:val="-18"/>
              <w:position w:val="1"/>
              <w:sz w:val="20"/>
              <w:szCs w:val="20"/>
            </w:rPr>
            <w:t xml:space="preserve"> </w:t>
          </w:r>
          <w:r>
            <w:rPr>
              <w:color w:val="333333"/>
              <w:position w:val="1"/>
              <w:sz w:val="20"/>
              <w:szCs w:val="20"/>
            </w:rPr>
            <w:tab/>
          </w:r>
          <w:r>
            <w:rPr>
              <w:color w:val="333333"/>
              <w:spacing w:val="1"/>
              <w:position w:val="1"/>
              <w:sz w:val="20"/>
              <w:szCs w:val="20"/>
            </w:rPr>
            <w:t>81</w:t>
          </w:r>
          <w:r>
            <w:rPr>
              <w:color w:val="333333"/>
              <w:spacing w:val="1"/>
              <w:position w:val="1"/>
              <w:sz w:val="20"/>
              <w:szCs w:val="20"/>
            </w:rPr>
            <w:fldChar w:fldCharType="end"/>
          </w:r>
        </w:p>
        <w:p w14:paraId="647E4E0F">
          <w:pPr>
            <w:pStyle w:val="4"/>
            <w:tabs>
              <w:tab w:val="right" w:leader="dot" w:pos="10564"/>
            </w:tabs>
            <w:spacing w:before="183" w:line="241" w:lineRule="auto"/>
            <w:ind w:left="376"/>
            <w:rPr>
              <w:sz w:val="22"/>
              <w:szCs w:val="22"/>
            </w:rPr>
          </w:pPr>
          <w:r>
            <w:fldChar w:fldCharType="begin"/>
          </w:r>
          <w:r>
            <w:instrText xml:space="preserve"> HYPERLINK \l "bookmark27" </w:instrText>
          </w:r>
          <w:r>
            <w:fldChar w:fldCharType="separate"/>
          </w:r>
          <w:r>
            <w:rPr>
              <w:b/>
              <w:bCs/>
              <w:color w:val="174174"/>
              <w:spacing w:val="-11"/>
              <w:sz w:val="22"/>
              <w:szCs w:val="22"/>
            </w:rPr>
            <w:t>Regional Overview</w:t>
          </w:r>
          <w:r>
            <w:rPr>
              <w:b/>
              <w:bCs/>
              <w:color w:val="174174"/>
              <w:sz w:val="22"/>
              <w:szCs w:val="22"/>
            </w:rPr>
            <w:tab/>
          </w:r>
          <w:r>
            <w:rPr>
              <w:b/>
              <w:bCs/>
              <w:color w:val="174174"/>
              <w:spacing w:val="-1"/>
              <w:sz w:val="22"/>
              <w:szCs w:val="22"/>
            </w:rPr>
            <w:t>83</w:t>
          </w:r>
          <w:r>
            <w:rPr>
              <w:b/>
              <w:bCs/>
              <w:color w:val="174174"/>
              <w:spacing w:val="-1"/>
              <w:sz w:val="22"/>
              <w:szCs w:val="22"/>
            </w:rPr>
            <w:fldChar w:fldCharType="end"/>
          </w:r>
        </w:p>
        <w:p w14:paraId="779E4AF4">
          <w:pPr>
            <w:pStyle w:val="4"/>
            <w:tabs>
              <w:tab w:val="right" w:leader="dot" w:pos="10564"/>
            </w:tabs>
            <w:spacing w:before="127" w:line="234" w:lineRule="auto"/>
            <w:ind w:left="376"/>
            <w:rPr>
              <w:sz w:val="20"/>
              <w:szCs w:val="20"/>
            </w:rPr>
          </w:pPr>
          <w:r>
            <w:fldChar w:fldCharType="begin"/>
          </w:r>
          <w:r>
            <w:instrText xml:space="preserve"> HYPERLINK \l "bookmark28" </w:instrText>
          </w:r>
          <w:r>
            <w:fldChar w:fldCharType="separate"/>
          </w:r>
          <w:r>
            <w:rPr>
              <w:color w:val="333333"/>
              <w:spacing w:val="-11"/>
              <w:sz w:val="20"/>
              <w:szCs w:val="20"/>
            </w:rPr>
            <w:t>Latin</w:t>
          </w:r>
          <w:r>
            <w:rPr>
              <w:color w:val="333333"/>
              <w:spacing w:val="-15"/>
              <w:sz w:val="20"/>
              <w:szCs w:val="20"/>
            </w:rPr>
            <w:t xml:space="preserve"> </w:t>
          </w:r>
          <w:r>
            <w:rPr>
              <w:color w:val="333333"/>
              <w:spacing w:val="-11"/>
              <w:sz w:val="20"/>
              <w:szCs w:val="20"/>
            </w:rPr>
            <w:t>America Oil &amp; Gas Regional Ov</w:t>
          </w:r>
          <w:r>
            <w:rPr>
              <w:color w:val="333333"/>
              <w:spacing w:val="-12"/>
              <w:sz w:val="20"/>
              <w:szCs w:val="20"/>
            </w:rPr>
            <w:t>erview</w:t>
          </w:r>
          <w:r>
            <w:rPr>
              <w:color w:val="333333"/>
              <w:spacing w:val="-26"/>
              <w:sz w:val="20"/>
              <w:szCs w:val="20"/>
            </w:rPr>
            <w:t xml:space="preserve"> </w:t>
          </w:r>
          <w:r>
            <w:rPr>
              <w:color w:val="333333"/>
              <w:sz w:val="20"/>
              <w:szCs w:val="20"/>
            </w:rPr>
            <w:tab/>
          </w:r>
          <w:r>
            <w:rPr>
              <w:color w:val="333333"/>
              <w:spacing w:val="1"/>
              <w:sz w:val="20"/>
              <w:szCs w:val="20"/>
            </w:rPr>
            <w:t>83</w:t>
          </w:r>
          <w:r>
            <w:rPr>
              <w:color w:val="333333"/>
              <w:spacing w:val="1"/>
              <w:sz w:val="20"/>
              <w:szCs w:val="20"/>
            </w:rPr>
            <w:fldChar w:fldCharType="end"/>
          </w:r>
        </w:p>
        <w:p w14:paraId="36D50027">
          <w:pPr>
            <w:pStyle w:val="4"/>
            <w:tabs>
              <w:tab w:val="right" w:leader="dot" w:pos="10564"/>
            </w:tabs>
            <w:spacing w:before="223" w:line="241" w:lineRule="auto"/>
            <w:ind w:left="369"/>
            <w:rPr>
              <w:sz w:val="22"/>
              <w:szCs w:val="22"/>
            </w:rPr>
          </w:pPr>
          <w:r>
            <w:fldChar w:fldCharType="begin"/>
          </w:r>
          <w:r>
            <w:instrText xml:space="preserve"> HYPERLINK \l "bookmark29" </w:instrText>
          </w:r>
          <w:r>
            <w:fldChar w:fldCharType="separate"/>
          </w:r>
          <w:r>
            <w:rPr>
              <w:b/>
              <w:bCs/>
              <w:color w:val="174174"/>
              <w:spacing w:val="-15"/>
              <w:sz w:val="22"/>
              <w:szCs w:val="22"/>
            </w:rPr>
            <w:t>Oil &amp; Gas Glossary</w:t>
          </w:r>
          <w:r>
            <w:rPr>
              <w:b/>
              <w:bCs/>
              <w:color w:val="174174"/>
              <w:sz w:val="22"/>
              <w:szCs w:val="22"/>
            </w:rPr>
            <w:tab/>
          </w:r>
          <w:r>
            <w:rPr>
              <w:b/>
              <w:bCs/>
              <w:color w:val="174174"/>
              <w:spacing w:val="-1"/>
              <w:sz w:val="22"/>
              <w:szCs w:val="22"/>
            </w:rPr>
            <w:t>91</w:t>
          </w:r>
          <w:r>
            <w:rPr>
              <w:b/>
              <w:bCs/>
              <w:color w:val="174174"/>
              <w:spacing w:val="-1"/>
              <w:sz w:val="22"/>
              <w:szCs w:val="22"/>
            </w:rPr>
            <w:fldChar w:fldCharType="end"/>
          </w:r>
        </w:p>
        <w:p w14:paraId="00795F4F">
          <w:pPr>
            <w:pStyle w:val="4"/>
            <w:tabs>
              <w:tab w:val="right" w:leader="dot" w:pos="10564"/>
            </w:tabs>
            <w:spacing w:before="214" w:line="241" w:lineRule="auto"/>
            <w:ind w:left="369"/>
            <w:rPr>
              <w:sz w:val="22"/>
              <w:szCs w:val="22"/>
            </w:rPr>
          </w:pPr>
          <w:r>
            <w:fldChar w:fldCharType="begin"/>
          </w:r>
          <w:r>
            <w:instrText xml:space="preserve"> HYPERLINK \l "bookmark30" </w:instrText>
          </w:r>
          <w:r>
            <w:fldChar w:fldCharType="separate"/>
          </w:r>
          <w:r>
            <w:rPr>
              <w:b/>
              <w:bCs/>
              <w:color w:val="174174"/>
              <w:spacing w:val="-12"/>
              <w:sz w:val="22"/>
              <w:szCs w:val="22"/>
            </w:rPr>
            <w:t>Oil &amp; Gas Methodology</w:t>
          </w:r>
          <w:r>
            <w:rPr>
              <w:b/>
              <w:bCs/>
              <w:color w:val="174174"/>
              <w:sz w:val="22"/>
              <w:szCs w:val="22"/>
            </w:rPr>
            <w:tab/>
          </w:r>
          <w:r>
            <w:rPr>
              <w:b/>
              <w:bCs/>
              <w:color w:val="174174"/>
              <w:spacing w:val="-1"/>
              <w:sz w:val="22"/>
              <w:szCs w:val="22"/>
            </w:rPr>
            <w:t>92</w:t>
          </w:r>
          <w:r>
            <w:rPr>
              <w:b/>
              <w:bCs/>
              <w:color w:val="174174"/>
              <w:spacing w:val="-1"/>
              <w:sz w:val="22"/>
              <w:szCs w:val="22"/>
            </w:rPr>
            <w:fldChar w:fldCharType="end"/>
          </w:r>
        </w:p>
      </w:sdtContent>
    </w:sdt>
    <w:p w14:paraId="5F6BE7CF">
      <w:pPr>
        <w:pStyle w:val="4"/>
        <w:spacing w:line="265" w:lineRule="auto"/>
      </w:pPr>
    </w:p>
    <w:p w14:paraId="4CBAE6C9">
      <w:pPr>
        <w:pStyle w:val="4"/>
        <w:spacing w:line="265" w:lineRule="auto"/>
      </w:pPr>
    </w:p>
    <w:p w14:paraId="2632BC24">
      <w:pPr>
        <w:pStyle w:val="4"/>
        <w:spacing w:line="266" w:lineRule="auto"/>
      </w:pPr>
    </w:p>
    <w:p w14:paraId="4D1D2D43">
      <w:pPr>
        <w:pStyle w:val="4"/>
        <w:spacing w:line="266" w:lineRule="auto"/>
      </w:pPr>
    </w:p>
    <w:p w14:paraId="0032234C">
      <w:pPr>
        <w:pStyle w:val="4"/>
        <w:spacing w:line="266" w:lineRule="auto"/>
      </w:pPr>
    </w:p>
    <w:p w14:paraId="1E3AD769">
      <w:pPr>
        <w:pStyle w:val="4"/>
        <w:spacing w:line="266" w:lineRule="auto"/>
      </w:pPr>
    </w:p>
    <w:p w14:paraId="4204D5DC">
      <w:pPr>
        <w:pStyle w:val="4"/>
        <w:spacing w:before="30" w:line="124" w:lineRule="exact"/>
        <w:ind w:left="294"/>
        <w:rPr>
          <w:sz w:val="10"/>
          <w:szCs w:val="10"/>
        </w:rPr>
      </w:pP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9164DEB">
      <w:pPr>
        <w:pStyle w:val="4"/>
        <w:spacing w:before="36" w:line="124" w:lineRule="exact"/>
        <w:ind w:left="293"/>
        <w:rPr>
          <w:sz w:val="10"/>
          <w:szCs w:val="10"/>
        </w:rPr>
      </w:pPr>
      <w:r>
        <w:drawing>
          <wp:anchor distT="0" distB="0" distL="0" distR="0" simplePos="0" relativeHeight="251662336" behindDoc="0" locked="0" layoutInCell="1" allowOverlap="1">
            <wp:simplePos x="0" y="0"/>
            <wp:positionH relativeFrom="column">
              <wp:posOffset>0</wp:posOffset>
            </wp:positionH>
            <wp:positionV relativeFrom="paragraph">
              <wp:posOffset>104775</wp:posOffset>
            </wp:positionV>
            <wp:extent cx="19050" cy="377190"/>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10"/>
                    <a:stretch>
                      <a:fillRect/>
                    </a:stretch>
                  </pic:blipFill>
                  <pic:spPr>
                    <a:xfrm>
                      <a:off x="0" y="0"/>
                      <a:ext cx="19050" cy="377099"/>
                    </a:xfrm>
                    <a:prstGeom prst="rect">
                      <a:avLst/>
                    </a:prstGeom>
                  </pic:spPr>
                </pic:pic>
              </a:graphicData>
            </a:graphic>
          </wp:anchor>
        </w:drawing>
      </w:r>
      <w:r>
        <w:drawing>
          <wp:anchor distT="0" distB="0" distL="0" distR="0" simplePos="0" relativeHeight="251661312" behindDoc="0" locked="0" layoutInCell="1" allowOverlap="1">
            <wp:simplePos x="0" y="0"/>
            <wp:positionH relativeFrom="column">
              <wp:posOffset>6917690</wp:posOffset>
            </wp:positionH>
            <wp:positionV relativeFrom="paragraph">
              <wp:posOffset>104775</wp:posOffset>
            </wp:positionV>
            <wp:extent cx="19050" cy="37719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11"/>
                    <a:stretch>
                      <a:fillRect/>
                    </a:stretch>
                  </pic:blipFill>
                  <pic:spPr>
                    <a:xfrm>
                      <a:off x="0" y="0"/>
                      <a:ext cx="19050" cy="377099"/>
                    </a:xfrm>
                    <a:prstGeom prst="rect">
                      <a:avLst/>
                    </a:prstGeom>
                  </pic:spPr>
                </pic:pic>
              </a:graphicData>
            </a:graphic>
          </wp:anchor>
        </w:drawing>
      </w: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89593F0">
      <w:pPr>
        <w:pStyle w:val="4"/>
        <w:spacing w:before="15" w:line="232" w:lineRule="auto"/>
        <w:ind w:left="293"/>
        <w:rPr>
          <w:sz w:val="16"/>
          <w:szCs w:val="16"/>
        </w:rPr>
      </w:pPr>
      <w:r>
        <w:rPr>
          <w:b/>
          <w:bCs/>
          <w:color w:val="57585A"/>
          <w:spacing w:val="-5"/>
          <w:sz w:val="24"/>
          <w:szCs w:val="24"/>
        </w:rPr>
        <w:t>fitchsolutions.com/bmi</w:t>
      </w:r>
      <w:r>
        <w:rPr>
          <w:b/>
          <w:bCs/>
          <w:color w:val="57585A"/>
          <w:sz w:val="24"/>
          <w:szCs w:val="24"/>
        </w:rPr>
        <w:t xml:space="preserve">                                                                                                                    </w:t>
      </w:r>
      <w:r>
        <w:rPr>
          <w:color w:val="57585A"/>
          <w:spacing w:val="-5"/>
          <w:position w:val="2"/>
          <w:sz w:val="16"/>
          <w:szCs w:val="16"/>
        </w:rPr>
        <w:t>3</w:t>
      </w:r>
    </w:p>
    <w:p w14:paraId="0CB031CF">
      <w:pPr>
        <w:spacing w:line="232" w:lineRule="auto"/>
        <w:rPr>
          <w:sz w:val="16"/>
          <w:szCs w:val="16"/>
        </w:rPr>
        <w:sectPr>
          <w:pgSz w:w="11906" w:h="16838"/>
          <w:pgMar w:top="400" w:right="490" w:bottom="307" w:left="490" w:header="0" w:footer="0" w:gutter="0"/>
          <w:cols w:space="720" w:num="1"/>
        </w:sectPr>
      </w:pPr>
    </w:p>
    <w:p w14:paraId="3BED3FA3">
      <w:pPr>
        <w:pStyle w:val="4"/>
        <w:spacing w:before="73" w:line="241" w:lineRule="auto"/>
        <w:ind w:left="7372"/>
        <w:rPr>
          <w:sz w:val="20"/>
          <w:szCs w:val="20"/>
        </w:rPr>
      </w:pPr>
      <w:r>
        <w:drawing>
          <wp:anchor distT="0" distB="0" distL="0" distR="0" simplePos="0" relativeHeight="25166336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311150</wp:posOffset>
            </wp:positionH>
            <wp:positionV relativeFrom="page">
              <wp:posOffset>0</wp:posOffset>
            </wp:positionV>
            <wp:extent cx="19050" cy="814070"/>
            <wp:effectExtent l="0" t="0" r="0" b="0"/>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3C913BB">
      <w:pPr>
        <w:pStyle w:val="4"/>
        <w:spacing w:line="278" w:lineRule="auto"/>
      </w:pPr>
    </w:p>
    <w:p w14:paraId="1770E1C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BFBCEB9">
      <w:pPr>
        <w:pStyle w:val="4"/>
        <w:spacing w:line="241" w:lineRule="auto"/>
      </w:pPr>
    </w:p>
    <w:p w14:paraId="0F0E22A0">
      <w:pPr>
        <w:pStyle w:val="4"/>
        <w:spacing w:line="241" w:lineRule="auto"/>
      </w:pPr>
    </w:p>
    <w:p w14:paraId="14B743A5">
      <w:pPr>
        <w:pStyle w:val="4"/>
        <w:spacing w:line="241" w:lineRule="auto"/>
      </w:pPr>
    </w:p>
    <w:p w14:paraId="1AFBAFD1">
      <w:pPr>
        <w:pStyle w:val="4"/>
        <w:spacing w:line="241" w:lineRule="auto"/>
      </w:pPr>
    </w:p>
    <w:p w14:paraId="36D260E2">
      <w:pPr>
        <w:pStyle w:val="4"/>
        <w:spacing w:line="241" w:lineRule="auto"/>
      </w:pPr>
    </w:p>
    <w:p w14:paraId="788B5B75">
      <w:pPr>
        <w:pStyle w:val="4"/>
        <w:spacing w:line="241" w:lineRule="auto"/>
      </w:pPr>
    </w:p>
    <w:p w14:paraId="0F9B6789">
      <w:pPr>
        <w:pStyle w:val="4"/>
        <w:spacing w:line="241" w:lineRule="auto"/>
      </w:pPr>
    </w:p>
    <w:p w14:paraId="6F8237FA">
      <w:pPr>
        <w:pStyle w:val="4"/>
        <w:spacing w:line="241" w:lineRule="auto"/>
      </w:pPr>
    </w:p>
    <w:p w14:paraId="5FEFDF6C">
      <w:pPr>
        <w:pStyle w:val="4"/>
        <w:spacing w:line="241" w:lineRule="auto"/>
      </w:pPr>
    </w:p>
    <w:p w14:paraId="1B2CDC36">
      <w:pPr>
        <w:pStyle w:val="4"/>
        <w:spacing w:line="241" w:lineRule="auto"/>
      </w:pPr>
    </w:p>
    <w:p w14:paraId="5745949D">
      <w:pPr>
        <w:pStyle w:val="4"/>
        <w:spacing w:line="241" w:lineRule="auto"/>
      </w:pPr>
    </w:p>
    <w:p w14:paraId="3AA214FD">
      <w:pPr>
        <w:pStyle w:val="4"/>
        <w:spacing w:line="241" w:lineRule="auto"/>
      </w:pPr>
    </w:p>
    <w:p w14:paraId="1D23B3E5">
      <w:pPr>
        <w:pStyle w:val="4"/>
        <w:spacing w:line="241" w:lineRule="auto"/>
      </w:pPr>
    </w:p>
    <w:p w14:paraId="1809E30D">
      <w:pPr>
        <w:pStyle w:val="4"/>
        <w:spacing w:line="241" w:lineRule="auto"/>
      </w:pPr>
    </w:p>
    <w:p w14:paraId="1EB9DA57">
      <w:pPr>
        <w:pStyle w:val="4"/>
        <w:spacing w:line="241" w:lineRule="auto"/>
      </w:pPr>
    </w:p>
    <w:p w14:paraId="0CF98349">
      <w:pPr>
        <w:pStyle w:val="4"/>
        <w:spacing w:line="241" w:lineRule="auto"/>
      </w:pPr>
    </w:p>
    <w:p w14:paraId="25CC0A93">
      <w:pPr>
        <w:pStyle w:val="4"/>
        <w:spacing w:line="241" w:lineRule="auto"/>
      </w:pPr>
    </w:p>
    <w:p w14:paraId="0C432A0C">
      <w:pPr>
        <w:pStyle w:val="4"/>
        <w:spacing w:line="241" w:lineRule="auto"/>
      </w:pPr>
    </w:p>
    <w:p w14:paraId="5B894348">
      <w:pPr>
        <w:pStyle w:val="4"/>
        <w:spacing w:line="241" w:lineRule="auto"/>
      </w:pPr>
    </w:p>
    <w:p w14:paraId="6DAEA725">
      <w:pPr>
        <w:pStyle w:val="4"/>
        <w:spacing w:line="241" w:lineRule="auto"/>
      </w:pPr>
    </w:p>
    <w:p w14:paraId="5E0C3B5E">
      <w:pPr>
        <w:pStyle w:val="4"/>
        <w:spacing w:line="241" w:lineRule="auto"/>
      </w:pPr>
    </w:p>
    <w:p w14:paraId="355C5652">
      <w:pPr>
        <w:pStyle w:val="4"/>
        <w:spacing w:line="241" w:lineRule="auto"/>
      </w:pPr>
    </w:p>
    <w:p w14:paraId="1390D922">
      <w:pPr>
        <w:pStyle w:val="4"/>
        <w:spacing w:line="242" w:lineRule="auto"/>
      </w:pPr>
    </w:p>
    <w:p w14:paraId="7CC5E99B">
      <w:pPr>
        <w:pStyle w:val="4"/>
        <w:spacing w:line="242" w:lineRule="auto"/>
      </w:pPr>
    </w:p>
    <w:p w14:paraId="4A4AC5B6">
      <w:pPr>
        <w:pStyle w:val="4"/>
        <w:spacing w:line="242" w:lineRule="auto"/>
      </w:pPr>
    </w:p>
    <w:p w14:paraId="6EB507F6">
      <w:pPr>
        <w:pStyle w:val="4"/>
        <w:spacing w:line="242" w:lineRule="auto"/>
      </w:pPr>
    </w:p>
    <w:p w14:paraId="4C418138">
      <w:pPr>
        <w:pStyle w:val="4"/>
        <w:spacing w:line="242" w:lineRule="auto"/>
      </w:pPr>
    </w:p>
    <w:p w14:paraId="53913CF2">
      <w:pPr>
        <w:pStyle w:val="4"/>
        <w:spacing w:line="242" w:lineRule="auto"/>
      </w:pPr>
    </w:p>
    <w:p w14:paraId="6E5A3976">
      <w:pPr>
        <w:pStyle w:val="4"/>
        <w:spacing w:line="242" w:lineRule="auto"/>
      </w:pPr>
    </w:p>
    <w:p w14:paraId="57806900">
      <w:pPr>
        <w:pStyle w:val="4"/>
        <w:spacing w:line="242" w:lineRule="auto"/>
      </w:pPr>
    </w:p>
    <w:p w14:paraId="001ACCF6">
      <w:pPr>
        <w:pStyle w:val="4"/>
        <w:spacing w:line="242" w:lineRule="auto"/>
      </w:pPr>
    </w:p>
    <w:p w14:paraId="19F134B1">
      <w:pPr>
        <w:pStyle w:val="4"/>
        <w:spacing w:line="242" w:lineRule="auto"/>
      </w:pPr>
    </w:p>
    <w:p w14:paraId="5DC0557B">
      <w:pPr>
        <w:pStyle w:val="4"/>
        <w:spacing w:line="242" w:lineRule="auto"/>
      </w:pPr>
    </w:p>
    <w:p w14:paraId="5D6BC255">
      <w:pPr>
        <w:pStyle w:val="4"/>
        <w:spacing w:line="242" w:lineRule="auto"/>
      </w:pPr>
    </w:p>
    <w:p w14:paraId="5E383115">
      <w:pPr>
        <w:pStyle w:val="4"/>
        <w:spacing w:line="242" w:lineRule="auto"/>
      </w:pPr>
    </w:p>
    <w:p w14:paraId="193E04D7">
      <w:pPr>
        <w:pStyle w:val="4"/>
        <w:spacing w:line="242" w:lineRule="auto"/>
      </w:pPr>
    </w:p>
    <w:p w14:paraId="51D4C91A">
      <w:pPr>
        <w:pStyle w:val="4"/>
        <w:spacing w:line="242" w:lineRule="auto"/>
      </w:pPr>
    </w:p>
    <w:p w14:paraId="554BFD32">
      <w:pPr>
        <w:pStyle w:val="4"/>
        <w:spacing w:line="242" w:lineRule="auto"/>
      </w:pPr>
    </w:p>
    <w:p w14:paraId="602E7F99">
      <w:pPr>
        <w:pStyle w:val="4"/>
        <w:spacing w:line="242" w:lineRule="auto"/>
      </w:pPr>
    </w:p>
    <w:p w14:paraId="617FDE7C">
      <w:pPr>
        <w:pStyle w:val="4"/>
        <w:spacing w:line="242" w:lineRule="auto"/>
      </w:pPr>
    </w:p>
    <w:p w14:paraId="665BA981">
      <w:pPr>
        <w:pStyle w:val="4"/>
        <w:spacing w:line="242" w:lineRule="auto"/>
      </w:pPr>
    </w:p>
    <w:p w14:paraId="0D9695CD">
      <w:pPr>
        <w:pStyle w:val="4"/>
        <w:spacing w:line="242" w:lineRule="auto"/>
      </w:pPr>
    </w:p>
    <w:p w14:paraId="10AD2103">
      <w:pPr>
        <w:pStyle w:val="4"/>
        <w:spacing w:line="242" w:lineRule="auto"/>
      </w:pPr>
    </w:p>
    <w:p w14:paraId="18E7A96E">
      <w:pPr>
        <w:pStyle w:val="4"/>
        <w:spacing w:line="242" w:lineRule="auto"/>
      </w:pPr>
    </w:p>
    <w:p w14:paraId="6AE6A805">
      <w:pPr>
        <w:pStyle w:val="4"/>
        <w:spacing w:line="242" w:lineRule="auto"/>
      </w:pPr>
    </w:p>
    <w:p w14:paraId="5E90BFDD">
      <w:pPr>
        <w:pStyle w:val="4"/>
        <w:spacing w:line="242" w:lineRule="auto"/>
      </w:pPr>
    </w:p>
    <w:p w14:paraId="296934B6">
      <w:pPr>
        <w:pStyle w:val="4"/>
        <w:spacing w:line="242" w:lineRule="auto"/>
      </w:pPr>
    </w:p>
    <w:p w14:paraId="4FDD615C">
      <w:pPr>
        <w:pStyle w:val="4"/>
        <w:spacing w:before="34" w:line="149" w:lineRule="exact"/>
        <w:ind w:left="366"/>
        <w:rPr>
          <w:sz w:val="12"/>
          <w:szCs w:val="12"/>
        </w:rPr>
      </w:pPr>
      <w:r>
        <w:rPr>
          <w:color w:val="174174"/>
          <w:spacing w:val="6"/>
          <w:position w:val="1"/>
          <w:sz w:val="12"/>
          <w:szCs w:val="12"/>
        </w:rPr>
        <w:t>© 2025</w:t>
      </w:r>
      <w:r>
        <w:rPr>
          <w:color w:val="174174"/>
          <w:spacing w:val="15"/>
          <w:position w:val="1"/>
          <w:sz w:val="12"/>
          <w:szCs w:val="12"/>
        </w:rPr>
        <w:t xml:space="preserve"> </w:t>
      </w:r>
      <w:r>
        <w:rPr>
          <w:color w:val="174174"/>
          <w:spacing w:val="6"/>
          <w:position w:val="1"/>
          <w:sz w:val="12"/>
          <w:szCs w:val="12"/>
        </w:rPr>
        <w:t>Fitch Solutions Group</w:t>
      </w:r>
      <w:r>
        <w:rPr>
          <w:color w:val="174174"/>
          <w:spacing w:val="14"/>
          <w:w w:val="102"/>
          <w:position w:val="1"/>
          <w:sz w:val="12"/>
          <w:szCs w:val="12"/>
        </w:rPr>
        <w:t xml:space="preserve"> </w:t>
      </w:r>
      <w:r>
        <w:rPr>
          <w:color w:val="174174"/>
          <w:spacing w:val="6"/>
          <w:position w:val="1"/>
          <w:sz w:val="12"/>
          <w:szCs w:val="12"/>
        </w:rPr>
        <w:t>Limited. All</w:t>
      </w:r>
      <w:r>
        <w:rPr>
          <w:color w:val="174174"/>
          <w:spacing w:val="13"/>
          <w:position w:val="1"/>
          <w:sz w:val="12"/>
          <w:szCs w:val="12"/>
        </w:rPr>
        <w:t xml:space="preserve"> </w:t>
      </w:r>
      <w:r>
        <w:rPr>
          <w:color w:val="174174"/>
          <w:spacing w:val="6"/>
          <w:position w:val="1"/>
          <w:sz w:val="12"/>
          <w:szCs w:val="12"/>
        </w:rPr>
        <w:t>rights</w:t>
      </w:r>
      <w:r>
        <w:rPr>
          <w:color w:val="174174"/>
          <w:spacing w:val="13"/>
          <w:position w:val="1"/>
          <w:sz w:val="12"/>
          <w:szCs w:val="12"/>
        </w:rPr>
        <w:t xml:space="preserve"> </w:t>
      </w:r>
      <w:r>
        <w:rPr>
          <w:color w:val="174174"/>
          <w:spacing w:val="6"/>
          <w:position w:val="1"/>
          <w:sz w:val="12"/>
          <w:szCs w:val="12"/>
        </w:rPr>
        <w:t>re</w:t>
      </w:r>
      <w:r>
        <w:rPr>
          <w:color w:val="174174"/>
          <w:spacing w:val="5"/>
          <w:position w:val="1"/>
          <w:sz w:val="12"/>
          <w:szCs w:val="12"/>
        </w:rPr>
        <w:t>served.</w:t>
      </w:r>
    </w:p>
    <w:p w14:paraId="42379F46">
      <w:pPr>
        <w:pStyle w:val="4"/>
        <w:spacing w:line="262" w:lineRule="auto"/>
      </w:pPr>
    </w:p>
    <w:p w14:paraId="566C2FC7">
      <w:pPr>
        <w:pStyle w:val="4"/>
        <w:spacing w:before="35" w:line="272" w:lineRule="auto"/>
        <w:ind w:left="368" w:right="566" w:hanging="4"/>
        <w:rPr>
          <w:sz w:val="12"/>
          <w:szCs w:val="12"/>
        </w:rPr>
      </w:pPr>
      <w:r>
        <w:rPr>
          <w:color w:val="174174"/>
          <w:spacing w:val="6"/>
          <w:sz w:val="12"/>
          <w:szCs w:val="12"/>
        </w:rPr>
        <w:t>All</w:t>
      </w:r>
      <w:r>
        <w:rPr>
          <w:color w:val="174174"/>
          <w:spacing w:val="13"/>
          <w:w w:val="102"/>
          <w:sz w:val="12"/>
          <w:szCs w:val="12"/>
        </w:rPr>
        <w:t xml:space="preserve"> </w:t>
      </w:r>
      <w:r>
        <w:rPr>
          <w:color w:val="174174"/>
          <w:spacing w:val="6"/>
          <w:sz w:val="12"/>
          <w:szCs w:val="12"/>
        </w:rPr>
        <w:t>information, analysis, forecasts and data</w:t>
      </w:r>
      <w:r>
        <w:rPr>
          <w:color w:val="174174"/>
          <w:spacing w:val="13"/>
          <w:sz w:val="12"/>
          <w:szCs w:val="12"/>
        </w:rPr>
        <w:t xml:space="preserve"> </w:t>
      </w:r>
      <w:r>
        <w:rPr>
          <w:color w:val="174174"/>
          <w:spacing w:val="6"/>
          <w:sz w:val="12"/>
          <w:szCs w:val="12"/>
        </w:rPr>
        <w:t>provided</w:t>
      </w:r>
      <w:r>
        <w:rPr>
          <w:color w:val="174174"/>
          <w:spacing w:val="13"/>
          <w:sz w:val="12"/>
          <w:szCs w:val="12"/>
        </w:rPr>
        <w:t xml:space="preserve"> </w:t>
      </w:r>
      <w:r>
        <w:rPr>
          <w:color w:val="174174"/>
          <w:spacing w:val="6"/>
          <w:sz w:val="12"/>
          <w:szCs w:val="12"/>
        </w:rPr>
        <w:t>by</w:t>
      </w:r>
      <w:r>
        <w:rPr>
          <w:color w:val="174174"/>
          <w:spacing w:val="14"/>
          <w:w w:val="102"/>
          <w:sz w:val="12"/>
          <w:szCs w:val="12"/>
        </w:rPr>
        <w:t xml:space="preserve"> </w:t>
      </w:r>
      <w:r>
        <w:rPr>
          <w:color w:val="174174"/>
          <w:spacing w:val="6"/>
          <w:sz w:val="12"/>
          <w:szCs w:val="12"/>
        </w:rPr>
        <w:t>Fitch Solutions Group</w:t>
      </w:r>
      <w:r>
        <w:rPr>
          <w:color w:val="174174"/>
          <w:spacing w:val="14"/>
          <w:w w:val="101"/>
          <w:sz w:val="12"/>
          <w:szCs w:val="12"/>
        </w:rPr>
        <w:t xml:space="preserve"> </w:t>
      </w:r>
      <w:r>
        <w:rPr>
          <w:color w:val="174174"/>
          <w:spacing w:val="6"/>
          <w:sz w:val="12"/>
          <w:szCs w:val="12"/>
        </w:rPr>
        <w:t>Limited</w:t>
      </w:r>
      <w:r>
        <w:rPr>
          <w:color w:val="174174"/>
          <w:spacing w:val="8"/>
          <w:w w:val="101"/>
          <w:sz w:val="12"/>
          <w:szCs w:val="12"/>
        </w:rPr>
        <w:t xml:space="preserve"> </w:t>
      </w:r>
      <w:r>
        <w:rPr>
          <w:color w:val="174174"/>
          <w:spacing w:val="6"/>
          <w:sz w:val="12"/>
          <w:szCs w:val="12"/>
        </w:rPr>
        <w:t>are</w:t>
      </w:r>
      <w:r>
        <w:rPr>
          <w:color w:val="174174"/>
          <w:spacing w:val="8"/>
          <w:sz w:val="12"/>
          <w:szCs w:val="12"/>
        </w:rPr>
        <w:t xml:space="preserve"> </w:t>
      </w:r>
      <w:r>
        <w:rPr>
          <w:color w:val="174174"/>
          <w:spacing w:val="6"/>
          <w:sz w:val="12"/>
          <w:szCs w:val="12"/>
        </w:rPr>
        <w:t>for the</w:t>
      </w:r>
      <w:r>
        <w:rPr>
          <w:color w:val="174174"/>
          <w:spacing w:val="9"/>
          <w:sz w:val="12"/>
          <w:szCs w:val="12"/>
        </w:rPr>
        <w:t xml:space="preserve"> </w:t>
      </w:r>
      <w:r>
        <w:rPr>
          <w:color w:val="174174"/>
          <w:spacing w:val="6"/>
          <w:sz w:val="12"/>
          <w:szCs w:val="12"/>
        </w:rPr>
        <w:t>exclusive</w:t>
      </w:r>
      <w:r>
        <w:rPr>
          <w:color w:val="174174"/>
          <w:spacing w:val="12"/>
          <w:sz w:val="12"/>
          <w:szCs w:val="12"/>
        </w:rPr>
        <w:t xml:space="preserve"> </w:t>
      </w:r>
      <w:r>
        <w:rPr>
          <w:color w:val="174174"/>
          <w:spacing w:val="6"/>
          <w:sz w:val="12"/>
          <w:szCs w:val="12"/>
        </w:rPr>
        <w:t>use</w:t>
      </w:r>
      <w:r>
        <w:rPr>
          <w:color w:val="174174"/>
          <w:spacing w:val="9"/>
          <w:w w:val="101"/>
          <w:sz w:val="12"/>
          <w:szCs w:val="12"/>
        </w:rPr>
        <w:t xml:space="preserve"> </w:t>
      </w:r>
      <w:r>
        <w:rPr>
          <w:color w:val="174174"/>
          <w:spacing w:val="6"/>
          <w:sz w:val="12"/>
          <w:szCs w:val="12"/>
        </w:rPr>
        <w:t>of</w:t>
      </w:r>
      <w:r>
        <w:rPr>
          <w:color w:val="174174"/>
          <w:spacing w:val="7"/>
          <w:sz w:val="12"/>
          <w:szCs w:val="12"/>
        </w:rPr>
        <w:t xml:space="preserve"> </w:t>
      </w:r>
      <w:r>
        <w:rPr>
          <w:color w:val="174174"/>
          <w:spacing w:val="6"/>
          <w:sz w:val="12"/>
          <w:szCs w:val="12"/>
        </w:rPr>
        <w:t>subscribing</w:t>
      </w:r>
      <w:r>
        <w:rPr>
          <w:color w:val="174174"/>
          <w:spacing w:val="13"/>
          <w:w w:val="102"/>
          <w:sz w:val="12"/>
          <w:szCs w:val="12"/>
        </w:rPr>
        <w:t xml:space="preserve"> </w:t>
      </w:r>
      <w:r>
        <w:rPr>
          <w:color w:val="174174"/>
          <w:spacing w:val="6"/>
          <w:sz w:val="12"/>
          <w:szCs w:val="12"/>
        </w:rPr>
        <w:t>persons</w:t>
      </w:r>
      <w:r>
        <w:rPr>
          <w:color w:val="174174"/>
          <w:spacing w:val="9"/>
          <w:w w:val="101"/>
          <w:sz w:val="12"/>
          <w:szCs w:val="12"/>
        </w:rPr>
        <w:t xml:space="preserve"> </w:t>
      </w:r>
      <w:r>
        <w:rPr>
          <w:color w:val="174174"/>
          <w:spacing w:val="6"/>
          <w:sz w:val="12"/>
          <w:szCs w:val="12"/>
        </w:rPr>
        <w:t>or</w:t>
      </w:r>
      <w:r>
        <w:rPr>
          <w:color w:val="174174"/>
          <w:spacing w:val="9"/>
          <w:sz w:val="12"/>
          <w:szCs w:val="12"/>
        </w:rPr>
        <w:t xml:space="preserve"> </w:t>
      </w:r>
      <w:r>
        <w:rPr>
          <w:color w:val="174174"/>
          <w:spacing w:val="6"/>
          <w:sz w:val="12"/>
          <w:szCs w:val="12"/>
        </w:rPr>
        <w:t>organisations</w:t>
      </w:r>
      <w:r>
        <w:rPr>
          <w:color w:val="174174"/>
          <w:spacing w:val="11"/>
          <w:sz w:val="12"/>
          <w:szCs w:val="12"/>
        </w:rPr>
        <w:t xml:space="preserve"> </w:t>
      </w:r>
      <w:r>
        <w:rPr>
          <w:color w:val="174174"/>
          <w:spacing w:val="6"/>
          <w:sz w:val="12"/>
          <w:szCs w:val="12"/>
        </w:rPr>
        <w:t>(inclu</w:t>
      </w:r>
      <w:r>
        <w:rPr>
          <w:color w:val="174174"/>
          <w:spacing w:val="5"/>
          <w:sz w:val="12"/>
          <w:szCs w:val="12"/>
        </w:rPr>
        <w:t>ding</w:t>
      </w:r>
      <w:r>
        <w:rPr>
          <w:color w:val="174174"/>
          <w:spacing w:val="7"/>
          <w:sz w:val="12"/>
          <w:szCs w:val="12"/>
        </w:rPr>
        <w:t xml:space="preserve"> </w:t>
      </w:r>
      <w:r>
        <w:rPr>
          <w:color w:val="174174"/>
          <w:spacing w:val="5"/>
          <w:sz w:val="12"/>
          <w:szCs w:val="12"/>
        </w:rPr>
        <w:t>those</w:t>
      </w:r>
      <w:r>
        <w:rPr>
          <w:color w:val="174174"/>
          <w:sz w:val="12"/>
          <w:szCs w:val="12"/>
        </w:rPr>
        <w:t xml:space="preserve"> </w:t>
      </w:r>
      <w:r>
        <w:rPr>
          <w:color w:val="174174"/>
          <w:spacing w:val="6"/>
          <w:sz w:val="12"/>
          <w:szCs w:val="12"/>
        </w:rPr>
        <w:t>using the service on a trial</w:t>
      </w:r>
      <w:r>
        <w:rPr>
          <w:color w:val="174174"/>
          <w:spacing w:val="13"/>
          <w:w w:val="101"/>
          <w:sz w:val="12"/>
          <w:szCs w:val="12"/>
        </w:rPr>
        <w:t xml:space="preserve"> </w:t>
      </w:r>
      <w:r>
        <w:rPr>
          <w:color w:val="174174"/>
          <w:spacing w:val="6"/>
          <w:sz w:val="12"/>
          <w:szCs w:val="12"/>
        </w:rPr>
        <w:t>basis). All such</w:t>
      </w:r>
      <w:r>
        <w:rPr>
          <w:color w:val="174174"/>
          <w:spacing w:val="9"/>
          <w:w w:val="101"/>
          <w:sz w:val="12"/>
          <w:szCs w:val="12"/>
        </w:rPr>
        <w:t xml:space="preserve"> </w:t>
      </w:r>
      <w:r>
        <w:rPr>
          <w:color w:val="174174"/>
          <w:spacing w:val="6"/>
          <w:sz w:val="12"/>
          <w:szCs w:val="12"/>
        </w:rPr>
        <w:t>content</w:t>
      </w:r>
      <w:r>
        <w:rPr>
          <w:color w:val="174174"/>
          <w:spacing w:val="13"/>
          <w:sz w:val="12"/>
          <w:szCs w:val="12"/>
        </w:rPr>
        <w:t xml:space="preserve"> </w:t>
      </w:r>
      <w:r>
        <w:rPr>
          <w:color w:val="174174"/>
          <w:spacing w:val="6"/>
          <w:sz w:val="12"/>
          <w:szCs w:val="12"/>
        </w:rPr>
        <w:t>is</w:t>
      </w:r>
      <w:r>
        <w:rPr>
          <w:color w:val="174174"/>
          <w:spacing w:val="9"/>
          <w:w w:val="101"/>
          <w:sz w:val="12"/>
          <w:szCs w:val="12"/>
        </w:rPr>
        <w:t xml:space="preserve"> </w:t>
      </w:r>
      <w:r>
        <w:rPr>
          <w:color w:val="174174"/>
          <w:spacing w:val="6"/>
          <w:sz w:val="12"/>
          <w:szCs w:val="12"/>
        </w:rPr>
        <w:t>copyrighted</w:t>
      </w:r>
      <w:r>
        <w:rPr>
          <w:color w:val="174174"/>
          <w:spacing w:val="13"/>
          <w:sz w:val="12"/>
          <w:szCs w:val="12"/>
        </w:rPr>
        <w:t xml:space="preserve"> </w:t>
      </w:r>
      <w:r>
        <w:rPr>
          <w:color w:val="174174"/>
          <w:spacing w:val="6"/>
          <w:sz w:val="12"/>
          <w:szCs w:val="12"/>
        </w:rPr>
        <w:t>in the</w:t>
      </w:r>
      <w:r>
        <w:rPr>
          <w:color w:val="174174"/>
          <w:spacing w:val="13"/>
          <w:sz w:val="12"/>
          <w:szCs w:val="12"/>
        </w:rPr>
        <w:t xml:space="preserve"> </w:t>
      </w:r>
      <w:r>
        <w:rPr>
          <w:color w:val="174174"/>
          <w:spacing w:val="6"/>
          <w:sz w:val="12"/>
          <w:szCs w:val="12"/>
        </w:rPr>
        <w:t>name</w:t>
      </w:r>
      <w:r>
        <w:rPr>
          <w:color w:val="174174"/>
          <w:spacing w:val="9"/>
          <w:w w:val="101"/>
          <w:sz w:val="12"/>
          <w:szCs w:val="12"/>
        </w:rPr>
        <w:t xml:space="preserve"> </w:t>
      </w:r>
      <w:r>
        <w:rPr>
          <w:color w:val="174174"/>
          <w:spacing w:val="6"/>
          <w:sz w:val="12"/>
          <w:szCs w:val="12"/>
        </w:rPr>
        <w:t>of</w:t>
      </w:r>
      <w:r>
        <w:rPr>
          <w:color w:val="174174"/>
          <w:spacing w:val="14"/>
          <w:w w:val="101"/>
          <w:sz w:val="12"/>
          <w:szCs w:val="12"/>
        </w:rPr>
        <w:t xml:space="preserve"> </w:t>
      </w:r>
      <w:r>
        <w:rPr>
          <w:color w:val="174174"/>
          <w:spacing w:val="6"/>
          <w:sz w:val="12"/>
          <w:szCs w:val="12"/>
        </w:rPr>
        <w:t>Fitch</w:t>
      </w:r>
      <w:r>
        <w:rPr>
          <w:color w:val="174174"/>
          <w:spacing w:val="9"/>
          <w:w w:val="101"/>
          <w:sz w:val="12"/>
          <w:szCs w:val="12"/>
        </w:rPr>
        <w:t xml:space="preserve"> </w:t>
      </w:r>
      <w:r>
        <w:rPr>
          <w:color w:val="174174"/>
          <w:spacing w:val="6"/>
          <w:sz w:val="12"/>
          <w:szCs w:val="12"/>
        </w:rPr>
        <w:t>Solutions</w:t>
      </w:r>
      <w:r>
        <w:rPr>
          <w:color w:val="174174"/>
          <w:spacing w:val="10"/>
          <w:w w:val="102"/>
          <w:sz w:val="12"/>
          <w:szCs w:val="12"/>
        </w:rPr>
        <w:t xml:space="preserve"> </w:t>
      </w:r>
      <w:r>
        <w:rPr>
          <w:color w:val="174174"/>
          <w:spacing w:val="6"/>
          <w:sz w:val="12"/>
          <w:szCs w:val="12"/>
        </w:rPr>
        <w:t>Group</w:t>
      </w:r>
      <w:r>
        <w:rPr>
          <w:color w:val="174174"/>
          <w:spacing w:val="14"/>
          <w:w w:val="102"/>
          <w:sz w:val="12"/>
          <w:szCs w:val="12"/>
        </w:rPr>
        <w:t xml:space="preserve"> </w:t>
      </w:r>
      <w:r>
        <w:rPr>
          <w:color w:val="174174"/>
          <w:spacing w:val="6"/>
          <w:sz w:val="12"/>
          <w:szCs w:val="12"/>
        </w:rPr>
        <w:t>Limited</w:t>
      </w:r>
      <w:r>
        <w:rPr>
          <w:color w:val="174174"/>
          <w:spacing w:val="8"/>
          <w:w w:val="101"/>
          <w:sz w:val="12"/>
          <w:szCs w:val="12"/>
        </w:rPr>
        <w:t xml:space="preserve"> </w:t>
      </w:r>
      <w:r>
        <w:rPr>
          <w:color w:val="174174"/>
          <w:spacing w:val="6"/>
          <w:sz w:val="12"/>
          <w:szCs w:val="12"/>
        </w:rPr>
        <w:t>and</w:t>
      </w:r>
      <w:r>
        <w:rPr>
          <w:color w:val="174174"/>
          <w:spacing w:val="8"/>
          <w:sz w:val="12"/>
          <w:szCs w:val="12"/>
        </w:rPr>
        <w:t xml:space="preserve"> </w:t>
      </w:r>
      <w:r>
        <w:rPr>
          <w:color w:val="174174"/>
          <w:spacing w:val="6"/>
          <w:sz w:val="12"/>
          <w:szCs w:val="12"/>
        </w:rPr>
        <w:t>as</w:t>
      </w:r>
      <w:r>
        <w:rPr>
          <w:color w:val="174174"/>
          <w:spacing w:val="8"/>
          <w:sz w:val="12"/>
          <w:szCs w:val="12"/>
        </w:rPr>
        <w:t xml:space="preserve"> </w:t>
      </w:r>
      <w:r>
        <w:rPr>
          <w:color w:val="174174"/>
          <w:spacing w:val="6"/>
          <w:sz w:val="12"/>
          <w:szCs w:val="12"/>
        </w:rPr>
        <w:t>such</w:t>
      </w:r>
      <w:r>
        <w:rPr>
          <w:color w:val="174174"/>
          <w:spacing w:val="13"/>
          <w:sz w:val="12"/>
          <w:szCs w:val="12"/>
        </w:rPr>
        <w:t xml:space="preserve"> </w:t>
      </w:r>
      <w:r>
        <w:rPr>
          <w:color w:val="174174"/>
          <w:spacing w:val="6"/>
          <w:sz w:val="12"/>
          <w:szCs w:val="12"/>
        </w:rPr>
        <w:t>no</w:t>
      </w:r>
      <w:r>
        <w:rPr>
          <w:color w:val="174174"/>
          <w:spacing w:val="13"/>
          <w:sz w:val="12"/>
          <w:szCs w:val="12"/>
        </w:rPr>
        <w:t xml:space="preserve"> </w:t>
      </w:r>
      <w:r>
        <w:rPr>
          <w:color w:val="174174"/>
          <w:spacing w:val="6"/>
          <w:sz w:val="12"/>
          <w:szCs w:val="12"/>
        </w:rPr>
        <w:t>part</w:t>
      </w:r>
      <w:r>
        <w:rPr>
          <w:color w:val="174174"/>
          <w:spacing w:val="9"/>
          <w:sz w:val="12"/>
          <w:szCs w:val="12"/>
        </w:rPr>
        <w:t xml:space="preserve"> </w:t>
      </w:r>
      <w:r>
        <w:rPr>
          <w:color w:val="174174"/>
          <w:spacing w:val="6"/>
          <w:sz w:val="12"/>
          <w:szCs w:val="12"/>
        </w:rPr>
        <w:t>of</w:t>
      </w:r>
      <w:r>
        <w:rPr>
          <w:color w:val="174174"/>
          <w:spacing w:val="7"/>
          <w:sz w:val="12"/>
          <w:szCs w:val="12"/>
        </w:rPr>
        <w:t xml:space="preserve"> </w:t>
      </w:r>
      <w:r>
        <w:rPr>
          <w:color w:val="174174"/>
          <w:spacing w:val="6"/>
          <w:sz w:val="12"/>
          <w:szCs w:val="12"/>
        </w:rPr>
        <w:t>th</w:t>
      </w:r>
      <w:r>
        <w:rPr>
          <w:color w:val="174174"/>
          <w:spacing w:val="5"/>
          <w:sz w:val="12"/>
          <w:szCs w:val="12"/>
        </w:rPr>
        <w:t>is</w:t>
      </w:r>
      <w:r>
        <w:rPr>
          <w:color w:val="174174"/>
          <w:spacing w:val="9"/>
          <w:w w:val="102"/>
          <w:sz w:val="12"/>
          <w:szCs w:val="12"/>
        </w:rPr>
        <w:t xml:space="preserve"> </w:t>
      </w:r>
      <w:r>
        <w:rPr>
          <w:color w:val="174174"/>
          <w:spacing w:val="5"/>
          <w:sz w:val="12"/>
          <w:szCs w:val="12"/>
        </w:rPr>
        <w:t>content</w:t>
      </w:r>
      <w:r>
        <w:rPr>
          <w:color w:val="174174"/>
          <w:spacing w:val="13"/>
          <w:sz w:val="12"/>
          <w:szCs w:val="12"/>
        </w:rPr>
        <w:t xml:space="preserve"> </w:t>
      </w:r>
      <w:r>
        <w:rPr>
          <w:color w:val="174174"/>
          <w:spacing w:val="5"/>
          <w:sz w:val="12"/>
          <w:szCs w:val="12"/>
        </w:rPr>
        <w:t>may</w:t>
      </w:r>
      <w:r>
        <w:rPr>
          <w:color w:val="174174"/>
          <w:spacing w:val="13"/>
          <w:sz w:val="12"/>
          <w:szCs w:val="12"/>
        </w:rPr>
        <w:t xml:space="preserve"> </w:t>
      </w:r>
      <w:r>
        <w:rPr>
          <w:color w:val="174174"/>
          <w:spacing w:val="5"/>
          <w:sz w:val="12"/>
          <w:szCs w:val="12"/>
        </w:rPr>
        <w:t>be</w:t>
      </w:r>
      <w:r>
        <w:rPr>
          <w:color w:val="174174"/>
          <w:spacing w:val="13"/>
          <w:sz w:val="12"/>
          <w:szCs w:val="12"/>
        </w:rPr>
        <w:t xml:space="preserve"> </w:t>
      </w:r>
      <w:r>
        <w:rPr>
          <w:color w:val="174174"/>
          <w:spacing w:val="5"/>
          <w:sz w:val="12"/>
          <w:szCs w:val="12"/>
        </w:rPr>
        <w:t>reproduced,</w:t>
      </w:r>
      <w:r>
        <w:rPr>
          <w:color w:val="174174"/>
          <w:sz w:val="12"/>
          <w:szCs w:val="12"/>
        </w:rPr>
        <w:t xml:space="preserve">  </w:t>
      </w:r>
      <w:r>
        <w:rPr>
          <w:color w:val="174174"/>
          <w:spacing w:val="7"/>
          <w:sz w:val="12"/>
          <w:szCs w:val="12"/>
        </w:rPr>
        <w:t>repackaged, copied or redistributed without the express</w:t>
      </w:r>
      <w:r>
        <w:rPr>
          <w:color w:val="174174"/>
          <w:spacing w:val="9"/>
          <w:w w:val="102"/>
          <w:sz w:val="12"/>
          <w:szCs w:val="12"/>
        </w:rPr>
        <w:t xml:space="preserve"> </w:t>
      </w:r>
      <w:r>
        <w:rPr>
          <w:color w:val="174174"/>
          <w:spacing w:val="7"/>
          <w:sz w:val="12"/>
          <w:szCs w:val="12"/>
        </w:rPr>
        <w:t>conse</w:t>
      </w:r>
      <w:r>
        <w:rPr>
          <w:color w:val="174174"/>
          <w:spacing w:val="6"/>
          <w:sz w:val="12"/>
          <w:szCs w:val="12"/>
        </w:rPr>
        <w:t>nt</w:t>
      </w:r>
      <w:r>
        <w:rPr>
          <w:color w:val="174174"/>
          <w:spacing w:val="9"/>
          <w:w w:val="101"/>
          <w:sz w:val="12"/>
          <w:szCs w:val="12"/>
        </w:rPr>
        <w:t xml:space="preserve"> </w:t>
      </w:r>
      <w:r>
        <w:rPr>
          <w:color w:val="174174"/>
          <w:spacing w:val="6"/>
          <w:sz w:val="12"/>
          <w:szCs w:val="12"/>
        </w:rPr>
        <w:t>of</w:t>
      </w:r>
      <w:r>
        <w:rPr>
          <w:color w:val="174174"/>
          <w:spacing w:val="14"/>
          <w:w w:val="101"/>
          <w:sz w:val="12"/>
          <w:szCs w:val="12"/>
        </w:rPr>
        <w:t xml:space="preserve"> </w:t>
      </w:r>
      <w:r>
        <w:rPr>
          <w:color w:val="174174"/>
          <w:spacing w:val="6"/>
          <w:sz w:val="12"/>
          <w:szCs w:val="12"/>
        </w:rPr>
        <w:t>Fitch</w:t>
      </w:r>
      <w:r>
        <w:rPr>
          <w:color w:val="174174"/>
          <w:spacing w:val="9"/>
          <w:sz w:val="12"/>
          <w:szCs w:val="12"/>
        </w:rPr>
        <w:t xml:space="preserve"> </w:t>
      </w:r>
      <w:r>
        <w:rPr>
          <w:color w:val="174174"/>
          <w:spacing w:val="6"/>
          <w:sz w:val="12"/>
          <w:szCs w:val="12"/>
        </w:rPr>
        <w:t>Solutions</w:t>
      </w:r>
      <w:r>
        <w:rPr>
          <w:color w:val="174174"/>
          <w:spacing w:val="11"/>
          <w:sz w:val="12"/>
          <w:szCs w:val="12"/>
        </w:rPr>
        <w:t xml:space="preserve"> </w:t>
      </w:r>
      <w:r>
        <w:rPr>
          <w:color w:val="174174"/>
          <w:spacing w:val="6"/>
          <w:sz w:val="12"/>
          <w:szCs w:val="12"/>
        </w:rPr>
        <w:t>Group</w:t>
      </w:r>
      <w:r>
        <w:rPr>
          <w:color w:val="174174"/>
          <w:spacing w:val="14"/>
          <w:w w:val="102"/>
          <w:sz w:val="12"/>
          <w:szCs w:val="12"/>
        </w:rPr>
        <w:t xml:space="preserve"> </w:t>
      </w:r>
      <w:r>
        <w:rPr>
          <w:color w:val="174174"/>
          <w:spacing w:val="6"/>
          <w:sz w:val="12"/>
          <w:szCs w:val="12"/>
        </w:rPr>
        <w:t>Limited.</w:t>
      </w:r>
    </w:p>
    <w:p w14:paraId="246F1B6D">
      <w:pPr>
        <w:pStyle w:val="4"/>
        <w:spacing w:line="262" w:lineRule="auto"/>
      </w:pPr>
    </w:p>
    <w:p w14:paraId="2F17EAAF">
      <w:pPr>
        <w:pStyle w:val="4"/>
        <w:spacing w:before="35" w:line="272" w:lineRule="auto"/>
        <w:ind w:left="364" w:right="575"/>
        <w:jc w:val="both"/>
        <w:rPr>
          <w:sz w:val="12"/>
          <w:szCs w:val="12"/>
        </w:rPr>
      </w:pPr>
      <w:r>
        <w:rPr>
          <w:color w:val="174174"/>
          <w:spacing w:val="6"/>
          <w:sz w:val="12"/>
          <w:szCs w:val="12"/>
        </w:rPr>
        <w:t>All content,</w:t>
      </w:r>
      <w:r>
        <w:rPr>
          <w:color w:val="174174"/>
          <w:spacing w:val="13"/>
          <w:w w:val="101"/>
          <w:sz w:val="12"/>
          <w:szCs w:val="12"/>
        </w:rPr>
        <w:t xml:space="preserve"> </w:t>
      </w:r>
      <w:r>
        <w:rPr>
          <w:color w:val="174174"/>
          <w:spacing w:val="6"/>
          <w:sz w:val="12"/>
          <w:szCs w:val="12"/>
        </w:rPr>
        <w:t>including forecasts, analysis and opinion,</w:t>
      </w:r>
      <w:r>
        <w:rPr>
          <w:color w:val="174174"/>
          <w:spacing w:val="13"/>
          <w:sz w:val="12"/>
          <w:szCs w:val="12"/>
        </w:rPr>
        <w:t xml:space="preserve"> </w:t>
      </w:r>
      <w:r>
        <w:rPr>
          <w:color w:val="174174"/>
          <w:spacing w:val="6"/>
          <w:sz w:val="12"/>
          <w:szCs w:val="12"/>
        </w:rPr>
        <w:t>is</w:t>
      </w:r>
      <w:r>
        <w:rPr>
          <w:color w:val="174174"/>
          <w:spacing w:val="13"/>
          <w:sz w:val="12"/>
          <w:szCs w:val="12"/>
        </w:rPr>
        <w:t xml:space="preserve"> </w:t>
      </w:r>
      <w:r>
        <w:rPr>
          <w:color w:val="174174"/>
          <w:spacing w:val="6"/>
          <w:sz w:val="12"/>
          <w:szCs w:val="12"/>
        </w:rPr>
        <w:t>based on</w:t>
      </w:r>
      <w:r>
        <w:rPr>
          <w:color w:val="174174"/>
          <w:spacing w:val="13"/>
          <w:w w:val="101"/>
          <w:sz w:val="12"/>
          <w:szCs w:val="12"/>
        </w:rPr>
        <w:t xml:space="preserve"> </w:t>
      </w:r>
      <w:r>
        <w:rPr>
          <w:color w:val="174174"/>
          <w:spacing w:val="6"/>
          <w:sz w:val="12"/>
          <w:szCs w:val="12"/>
        </w:rPr>
        <w:t>information and</w:t>
      </w:r>
      <w:r>
        <w:rPr>
          <w:color w:val="174174"/>
          <w:spacing w:val="8"/>
          <w:sz w:val="12"/>
          <w:szCs w:val="12"/>
        </w:rPr>
        <w:t xml:space="preserve"> </w:t>
      </w:r>
      <w:r>
        <w:rPr>
          <w:color w:val="174174"/>
          <w:spacing w:val="6"/>
          <w:sz w:val="12"/>
          <w:szCs w:val="12"/>
        </w:rPr>
        <w:t>sources</w:t>
      </w:r>
      <w:r>
        <w:rPr>
          <w:color w:val="174174"/>
          <w:spacing w:val="12"/>
          <w:w w:val="102"/>
          <w:sz w:val="12"/>
          <w:szCs w:val="12"/>
        </w:rPr>
        <w:t xml:space="preserve"> </w:t>
      </w:r>
      <w:r>
        <w:rPr>
          <w:color w:val="174174"/>
          <w:spacing w:val="6"/>
          <w:sz w:val="12"/>
          <w:szCs w:val="12"/>
        </w:rPr>
        <w:t>believed</w:t>
      </w:r>
      <w:r>
        <w:rPr>
          <w:color w:val="174174"/>
          <w:spacing w:val="7"/>
          <w:sz w:val="12"/>
          <w:szCs w:val="12"/>
        </w:rPr>
        <w:t xml:space="preserve"> </w:t>
      </w:r>
      <w:r>
        <w:rPr>
          <w:color w:val="174174"/>
          <w:spacing w:val="6"/>
          <w:sz w:val="12"/>
          <w:szCs w:val="12"/>
        </w:rPr>
        <w:t>to</w:t>
      </w:r>
      <w:r>
        <w:rPr>
          <w:color w:val="174174"/>
          <w:spacing w:val="13"/>
          <w:w w:val="102"/>
          <w:sz w:val="12"/>
          <w:szCs w:val="12"/>
        </w:rPr>
        <w:t xml:space="preserve"> </w:t>
      </w:r>
      <w:r>
        <w:rPr>
          <w:color w:val="174174"/>
          <w:spacing w:val="6"/>
          <w:sz w:val="12"/>
          <w:szCs w:val="12"/>
        </w:rPr>
        <w:t>be</w:t>
      </w:r>
      <w:r>
        <w:rPr>
          <w:color w:val="174174"/>
          <w:spacing w:val="8"/>
          <w:w w:val="101"/>
          <w:sz w:val="12"/>
          <w:szCs w:val="12"/>
        </w:rPr>
        <w:t xml:space="preserve"> </w:t>
      </w:r>
      <w:r>
        <w:rPr>
          <w:color w:val="174174"/>
          <w:spacing w:val="6"/>
          <w:sz w:val="12"/>
          <w:szCs w:val="12"/>
        </w:rPr>
        <w:t>accurate</w:t>
      </w:r>
      <w:r>
        <w:rPr>
          <w:color w:val="174174"/>
          <w:spacing w:val="8"/>
          <w:w w:val="101"/>
          <w:sz w:val="12"/>
          <w:szCs w:val="12"/>
        </w:rPr>
        <w:t xml:space="preserve"> </w:t>
      </w:r>
      <w:r>
        <w:rPr>
          <w:color w:val="174174"/>
          <w:spacing w:val="6"/>
          <w:sz w:val="12"/>
          <w:szCs w:val="12"/>
        </w:rPr>
        <w:t>and</w:t>
      </w:r>
      <w:r>
        <w:rPr>
          <w:color w:val="174174"/>
          <w:spacing w:val="13"/>
          <w:sz w:val="12"/>
          <w:szCs w:val="12"/>
        </w:rPr>
        <w:t xml:space="preserve"> </w:t>
      </w:r>
      <w:r>
        <w:rPr>
          <w:color w:val="174174"/>
          <w:spacing w:val="6"/>
          <w:sz w:val="12"/>
          <w:szCs w:val="12"/>
        </w:rPr>
        <w:t>r</w:t>
      </w:r>
      <w:r>
        <w:rPr>
          <w:color w:val="174174"/>
          <w:spacing w:val="5"/>
          <w:sz w:val="12"/>
          <w:szCs w:val="12"/>
        </w:rPr>
        <w:t>eliable</w:t>
      </w:r>
      <w:r>
        <w:rPr>
          <w:color w:val="174174"/>
          <w:spacing w:val="8"/>
          <w:w w:val="101"/>
          <w:sz w:val="12"/>
          <w:szCs w:val="12"/>
        </w:rPr>
        <w:t xml:space="preserve"> </w:t>
      </w:r>
      <w:r>
        <w:rPr>
          <w:color w:val="174174"/>
          <w:spacing w:val="5"/>
          <w:sz w:val="12"/>
          <w:szCs w:val="12"/>
        </w:rPr>
        <w:t>at</w:t>
      </w:r>
      <w:r>
        <w:rPr>
          <w:color w:val="174174"/>
          <w:spacing w:val="7"/>
          <w:sz w:val="12"/>
          <w:szCs w:val="12"/>
        </w:rPr>
        <w:t xml:space="preserve"> </w:t>
      </w:r>
      <w:r>
        <w:rPr>
          <w:color w:val="174174"/>
          <w:spacing w:val="5"/>
          <w:sz w:val="12"/>
          <w:szCs w:val="12"/>
        </w:rPr>
        <w:t>the</w:t>
      </w:r>
      <w:r>
        <w:rPr>
          <w:color w:val="174174"/>
          <w:spacing w:val="8"/>
          <w:sz w:val="12"/>
          <w:szCs w:val="12"/>
        </w:rPr>
        <w:t xml:space="preserve"> </w:t>
      </w:r>
      <w:r>
        <w:rPr>
          <w:color w:val="174174"/>
          <w:spacing w:val="5"/>
          <w:sz w:val="12"/>
          <w:szCs w:val="12"/>
        </w:rPr>
        <w:t>time</w:t>
      </w:r>
      <w:r>
        <w:rPr>
          <w:color w:val="174174"/>
          <w:spacing w:val="9"/>
          <w:w w:val="101"/>
          <w:sz w:val="12"/>
          <w:szCs w:val="12"/>
        </w:rPr>
        <w:t xml:space="preserve"> </w:t>
      </w:r>
      <w:r>
        <w:rPr>
          <w:color w:val="174174"/>
          <w:spacing w:val="5"/>
          <w:sz w:val="12"/>
          <w:szCs w:val="12"/>
        </w:rPr>
        <w:t>of</w:t>
      </w:r>
      <w:r>
        <w:rPr>
          <w:color w:val="174174"/>
          <w:spacing w:val="13"/>
          <w:sz w:val="12"/>
          <w:szCs w:val="12"/>
        </w:rPr>
        <w:t xml:space="preserve"> </w:t>
      </w:r>
      <w:r>
        <w:rPr>
          <w:color w:val="174174"/>
          <w:spacing w:val="5"/>
          <w:sz w:val="12"/>
          <w:szCs w:val="12"/>
        </w:rPr>
        <w:t>publishing.</w:t>
      </w:r>
      <w:r>
        <w:rPr>
          <w:color w:val="174174"/>
          <w:spacing w:val="14"/>
          <w:w w:val="101"/>
          <w:sz w:val="12"/>
          <w:szCs w:val="12"/>
        </w:rPr>
        <w:t xml:space="preserve"> </w:t>
      </w:r>
      <w:r>
        <w:rPr>
          <w:color w:val="174174"/>
          <w:spacing w:val="5"/>
          <w:sz w:val="12"/>
          <w:szCs w:val="12"/>
        </w:rPr>
        <w:t>Fitch</w:t>
      </w:r>
      <w:r>
        <w:rPr>
          <w:color w:val="174174"/>
          <w:spacing w:val="9"/>
          <w:sz w:val="12"/>
          <w:szCs w:val="12"/>
        </w:rPr>
        <w:t xml:space="preserve"> </w:t>
      </w:r>
      <w:r>
        <w:rPr>
          <w:color w:val="174174"/>
          <w:spacing w:val="5"/>
          <w:sz w:val="12"/>
          <w:szCs w:val="12"/>
        </w:rPr>
        <w:t>Solutions</w:t>
      </w:r>
      <w:r>
        <w:rPr>
          <w:color w:val="174174"/>
          <w:sz w:val="12"/>
          <w:szCs w:val="12"/>
        </w:rPr>
        <w:t xml:space="preserve"> </w:t>
      </w:r>
      <w:r>
        <w:rPr>
          <w:color w:val="174174"/>
          <w:spacing w:val="7"/>
          <w:sz w:val="12"/>
          <w:szCs w:val="12"/>
        </w:rPr>
        <w:t>Group</w:t>
      </w:r>
      <w:r>
        <w:rPr>
          <w:color w:val="174174"/>
          <w:spacing w:val="14"/>
          <w:w w:val="102"/>
          <w:sz w:val="12"/>
          <w:szCs w:val="12"/>
        </w:rPr>
        <w:t xml:space="preserve"> </w:t>
      </w:r>
      <w:r>
        <w:rPr>
          <w:color w:val="174174"/>
          <w:spacing w:val="7"/>
          <w:sz w:val="12"/>
          <w:szCs w:val="12"/>
        </w:rPr>
        <w:t>Limited</w:t>
      </w:r>
      <w:r>
        <w:rPr>
          <w:color w:val="174174"/>
          <w:spacing w:val="13"/>
          <w:sz w:val="12"/>
          <w:szCs w:val="12"/>
        </w:rPr>
        <w:t xml:space="preserve"> </w:t>
      </w:r>
      <w:r>
        <w:rPr>
          <w:color w:val="174174"/>
          <w:spacing w:val="7"/>
          <w:sz w:val="12"/>
          <w:szCs w:val="12"/>
        </w:rPr>
        <w:t>makes</w:t>
      </w:r>
      <w:r>
        <w:rPr>
          <w:color w:val="174174"/>
          <w:spacing w:val="13"/>
          <w:sz w:val="12"/>
          <w:szCs w:val="12"/>
        </w:rPr>
        <w:t xml:space="preserve"> </w:t>
      </w:r>
      <w:r>
        <w:rPr>
          <w:color w:val="174174"/>
          <w:spacing w:val="7"/>
          <w:sz w:val="12"/>
          <w:szCs w:val="12"/>
        </w:rPr>
        <w:t>no</w:t>
      </w:r>
      <w:r>
        <w:rPr>
          <w:color w:val="174174"/>
          <w:spacing w:val="13"/>
          <w:sz w:val="12"/>
          <w:szCs w:val="12"/>
        </w:rPr>
        <w:t xml:space="preserve"> </w:t>
      </w:r>
      <w:r>
        <w:rPr>
          <w:color w:val="174174"/>
          <w:spacing w:val="7"/>
          <w:sz w:val="12"/>
          <w:szCs w:val="12"/>
        </w:rPr>
        <w:t>representation or warranty of any kind</w:t>
      </w:r>
      <w:r>
        <w:rPr>
          <w:color w:val="174174"/>
          <w:spacing w:val="6"/>
          <w:sz w:val="12"/>
          <w:szCs w:val="12"/>
        </w:rPr>
        <w:t xml:space="preserve"> as</w:t>
      </w:r>
      <w:r>
        <w:rPr>
          <w:color w:val="174174"/>
          <w:spacing w:val="7"/>
          <w:sz w:val="12"/>
          <w:szCs w:val="12"/>
        </w:rPr>
        <w:t xml:space="preserve"> </w:t>
      </w:r>
      <w:r>
        <w:rPr>
          <w:color w:val="174174"/>
          <w:spacing w:val="6"/>
          <w:sz w:val="12"/>
          <w:szCs w:val="12"/>
        </w:rPr>
        <w:t>to</w:t>
      </w:r>
      <w:r>
        <w:rPr>
          <w:color w:val="174174"/>
          <w:spacing w:val="8"/>
          <w:w w:val="101"/>
          <w:sz w:val="12"/>
          <w:szCs w:val="12"/>
        </w:rPr>
        <w:t xml:space="preserve"> </w:t>
      </w:r>
      <w:r>
        <w:rPr>
          <w:color w:val="174174"/>
          <w:spacing w:val="6"/>
          <w:sz w:val="12"/>
          <w:szCs w:val="12"/>
        </w:rPr>
        <w:t>the</w:t>
      </w:r>
      <w:r>
        <w:rPr>
          <w:color w:val="174174"/>
          <w:spacing w:val="8"/>
          <w:sz w:val="12"/>
          <w:szCs w:val="12"/>
        </w:rPr>
        <w:t xml:space="preserve"> </w:t>
      </w:r>
      <w:r>
        <w:rPr>
          <w:color w:val="174174"/>
          <w:spacing w:val="6"/>
          <w:sz w:val="12"/>
          <w:szCs w:val="12"/>
        </w:rPr>
        <w:t>accuracy</w:t>
      </w:r>
      <w:r>
        <w:rPr>
          <w:color w:val="174174"/>
          <w:spacing w:val="9"/>
          <w:w w:val="101"/>
          <w:sz w:val="12"/>
          <w:szCs w:val="12"/>
        </w:rPr>
        <w:t xml:space="preserve"> </w:t>
      </w:r>
      <w:r>
        <w:rPr>
          <w:color w:val="174174"/>
          <w:spacing w:val="6"/>
          <w:sz w:val="12"/>
          <w:szCs w:val="12"/>
        </w:rPr>
        <w:t>or</w:t>
      </w:r>
      <w:r>
        <w:rPr>
          <w:color w:val="174174"/>
          <w:spacing w:val="9"/>
          <w:sz w:val="12"/>
          <w:szCs w:val="12"/>
        </w:rPr>
        <w:t xml:space="preserve"> </w:t>
      </w:r>
      <w:r>
        <w:rPr>
          <w:color w:val="174174"/>
          <w:spacing w:val="6"/>
          <w:sz w:val="12"/>
          <w:szCs w:val="12"/>
        </w:rPr>
        <w:t>completeness</w:t>
      </w:r>
      <w:r>
        <w:rPr>
          <w:color w:val="174174"/>
          <w:spacing w:val="9"/>
          <w:w w:val="101"/>
          <w:sz w:val="12"/>
          <w:szCs w:val="12"/>
        </w:rPr>
        <w:t xml:space="preserve"> </w:t>
      </w:r>
      <w:r>
        <w:rPr>
          <w:color w:val="174174"/>
          <w:spacing w:val="6"/>
          <w:sz w:val="12"/>
          <w:szCs w:val="12"/>
        </w:rPr>
        <w:t>of</w:t>
      </w:r>
      <w:r>
        <w:rPr>
          <w:color w:val="174174"/>
          <w:spacing w:val="8"/>
          <w:w w:val="101"/>
          <w:sz w:val="12"/>
          <w:szCs w:val="12"/>
        </w:rPr>
        <w:t xml:space="preserve"> </w:t>
      </w:r>
      <w:r>
        <w:rPr>
          <w:color w:val="174174"/>
          <w:spacing w:val="6"/>
          <w:sz w:val="12"/>
          <w:szCs w:val="12"/>
        </w:rPr>
        <w:t>any</w:t>
      </w:r>
      <w:r>
        <w:rPr>
          <w:color w:val="174174"/>
          <w:spacing w:val="13"/>
          <w:sz w:val="12"/>
          <w:szCs w:val="12"/>
        </w:rPr>
        <w:t xml:space="preserve"> </w:t>
      </w:r>
      <w:r>
        <w:rPr>
          <w:color w:val="174174"/>
          <w:spacing w:val="6"/>
          <w:sz w:val="12"/>
          <w:szCs w:val="12"/>
        </w:rPr>
        <w:t>information</w:t>
      </w:r>
      <w:r>
        <w:rPr>
          <w:color w:val="174174"/>
          <w:spacing w:val="13"/>
          <w:sz w:val="12"/>
          <w:szCs w:val="12"/>
        </w:rPr>
        <w:t xml:space="preserve"> </w:t>
      </w:r>
      <w:r>
        <w:rPr>
          <w:color w:val="174174"/>
          <w:spacing w:val="6"/>
          <w:sz w:val="12"/>
          <w:szCs w:val="12"/>
        </w:rPr>
        <w:t>provided,</w:t>
      </w:r>
      <w:r>
        <w:rPr>
          <w:color w:val="174174"/>
          <w:spacing w:val="8"/>
          <w:w w:val="101"/>
          <w:sz w:val="12"/>
          <w:szCs w:val="12"/>
        </w:rPr>
        <w:t xml:space="preserve"> </w:t>
      </w:r>
      <w:r>
        <w:rPr>
          <w:color w:val="174174"/>
          <w:spacing w:val="6"/>
          <w:sz w:val="12"/>
          <w:szCs w:val="12"/>
        </w:rPr>
        <w:t>and</w:t>
      </w:r>
      <w:r>
        <w:rPr>
          <w:color w:val="174174"/>
          <w:spacing w:val="8"/>
          <w:w w:val="101"/>
          <w:sz w:val="12"/>
          <w:szCs w:val="12"/>
        </w:rPr>
        <w:t xml:space="preserve"> </w:t>
      </w:r>
      <w:r>
        <w:rPr>
          <w:color w:val="174174"/>
          <w:spacing w:val="6"/>
          <w:sz w:val="12"/>
          <w:szCs w:val="12"/>
        </w:rPr>
        <w:t>accepts</w:t>
      </w:r>
      <w:r>
        <w:rPr>
          <w:color w:val="174174"/>
          <w:spacing w:val="13"/>
          <w:sz w:val="12"/>
          <w:szCs w:val="12"/>
        </w:rPr>
        <w:t xml:space="preserve"> </w:t>
      </w:r>
      <w:r>
        <w:rPr>
          <w:color w:val="174174"/>
          <w:spacing w:val="6"/>
          <w:sz w:val="12"/>
          <w:szCs w:val="12"/>
        </w:rPr>
        <w:t>no</w:t>
      </w:r>
      <w:r>
        <w:rPr>
          <w:color w:val="174174"/>
          <w:spacing w:val="13"/>
          <w:w w:val="102"/>
          <w:sz w:val="12"/>
          <w:szCs w:val="12"/>
        </w:rPr>
        <w:t xml:space="preserve"> </w:t>
      </w:r>
      <w:r>
        <w:rPr>
          <w:color w:val="174174"/>
          <w:spacing w:val="6"/>
          <w:sz w:val="12"/>
          <w:szCs w:val="12"/>
        </w:rPr>
        <w:t>liability</w:t>
      </w:r>
      <w:r>
        <w:rPr>
          <w:color w:val="174174"/>
          <w:spacing w:val="8"/>
          <w:sz w:val="12"/>
          <w:szCs w:val="12"/>
        </w:rPr>
        <w:t xml:space="preserve"> </w:t>
      </w:r>
      <w:r>
        <w:rPr>
          <w:color w:val="174174"/>
          <w:spacing w:val="6"/>
          <w:sz w:val="12"/>
          <w:szCs w:val="12"/>
        </w:rPr>
        <w:t>whatsoever</w:t>
      </w:r>
      <w:r>
        <w:rPr>
          <w:color w:val="174174"/>
          <w:spacing w:val="7"/>
          <w:sz w:val="12"/>
          <w:szCs w:val="12"/>
        </w:rPr>
        <w:t xml:space="preserve"> </w:t>
      </w:r>
      <w:r>
        <w:rPr>
          <w:color w:val="174174"/>
          <w:spacing w:val="6"/>
          <w:sz w:val="12"/>
          <w:szCs w:val="12"/>
        </w:rPr>
        <w:t>for</w:t>
      </w:r>
      <w:r>
        <w:rPr>
          <w:color w:val="174174"/>
          <w:sz w:val="12"/>
          <w:szCs w:val="12"/>
        </w:rPr>
        <w:t xml:space="preserve"> </w:t>
      </w:r>
      <w:r>
        <w:rPr>
          <w:color w:val="174174"/>
          <w:spacing w:val="6"/>
          <w:sz w:val="12"/>
          <w:szCs w:val="12"/>
        </w:rPr>
        <w:t>any</w:t>
      </w:r>
      <w:r>
        <w:rPr>
          <w:color w:val="174174"/>
          <w:spacing w:val="14"/>
          <w:w w:val="102"/>
          <w:sz w:val="12"/>
          <w:szCs w:val="12"/>
        </w:rPr>
        <w:t xml:space="preserve"> </w:t>
      </w:r>
      <w:r>
        <w:rPr>
          <w:color w:val="174174"/>
          <w:spacing w:val="6"/>
          <w:sz w:val="12"/>
          <w:szCs w:val="12"/>
        </w:rPr>
        <w:t>loss or damage</w:t>
      </w:r>
      <w:r>
        <w:rPr>
          <w:color w:val="174174"/>
          <w:spacing w:val="13"/>
          <w:sz w:val="12"/>
          <w:szCs w:val="12"/>
        </w:rPr>
        <w:t xml:space="preserve"> </w:t>
      </w:r>
      <w:r>
        <w:rPr>
          <w:color w:val="174174"/>
          <w:spacing w:val="6"/>
          <w:sz w:val="12"/>
          <w:szCs w:val="12"/>
        </w:rPr>
        <w:t>resulting from opinion, errors,</w:t>
      </w:r>
      <w:r>
        <w:rPr>
          <w:color w:val="174174"/>
          <w:spacing w:val="13"/>
          <w:w w:val="101"/>
          <w:sz w:val="12"/>
          <w:szCs w:val="12"/>
        </w:rPr>
        <w:t xml:space="preserve"> </w:t>
      </w:r>
      <w:r>
        <w:rPr>
          <w:color w:val="174174"/>
          <w:spacing w:val="6"/>
          <w:sz w:val="12"/>
          <w:szCs w:val="12"/>
        </w:rPr>
        <w:t>inaccuracies or</w:t>
      </w:r>
      <w:r>
        <w:rPr>
          <w:color w:val="174174"/>
          <w:spacing w:val="9"/>
          <w:sz w:val="12"/>
          <w:szCs w:val="12"/>
        </w:rPr>
        <w:t xml:space="preserve"> </w:t>
      </w:r>
      <w:r>
        <w:rPr>
          <w:color w:val="174174"/>
          <w:spacing w:val="6"/>
          <w:sz w:val="12"/>
          <w:szCs w:val="12"/>
        </w:rPr>
        <w:t>omissions</w:t>
      </w:r>
      <w:r>
        <w:rPr>
          <w:color w:val="174174"/>
          <w:spacing w:val="8"/>
          <w:w w:val="101"/>
          <w:sz w:val="12"/>
          <w:szCs w:val="12"/>
        </w:rPr>
        <w:t xml:space="preserve"> </w:t>
      </w:r>
      <w:r>
        <w:rPr>
          <w:color w:val="174174"/>
          <w:spacing w:val="6"/>
          <w:sz w:val="12"/>
          <w:szCs w:val="12"/>
        </w:rPr>
        <w:t>affecting</w:t>
      </w:r>
      <w:r>
        <w:rPr>
          <w:color w:val="174174"/>
          <w:spacing w:val="8"/>
          <w:w w:val="101"/>
          <w:sz w:val="12"/>
          <w:szCs w:val="12"/>
        </w:rPr>
        <w:t xml:space="preserve"> </w:t>
      </w:r>
      <w:r>
        <w:rPr>
          <w:color w:val="174174"/>
          <w:spacing w:val="6"/>
          <w:sz w:val="12"/>
          <w:szCs w:val="12"/>
        </w:rPr>
        <w:t>any</w:t>
      </w:r>
      <w:r>
        <w:rPr>
          <w:color w:val="174174"/>
          <w:spacing w:val="13"/>
          <w:sz w:val="12"/>
          <w:szCs w:val="12"/>
        </w:rPr>
        <w:t xml:space="preserve"> </w:t>
      </w:r>
      <w:r>
        <w:rPr>
          <w:color w:val="174174"/>
          <w:spacing w:val="6"/>
          <w:sz w:val="12"/>
          <w:szCs w:val="12"/>
        </w:rPr>
        <w:t>part</w:t>
      </w:r>
      <w:r>
        <w:rPr>
          <w:color w:val="174174"/>
          <w:spacing w:val="9"/>
          <w:sz w:val="12"/>
          <w:szCs w:val="12"/>
        </w:rPr>
        <w:t xml:space="preserve"> </w:t>
      </w:r>
      <w:r>
        <w:rPr>
          <w:color w:val="174174"/>
          <w:spacing w:val="6"/>
          <w:sz w:val="12"/>
          <w:szCs w:val="12"/>
        </w:rPr>
        <w:t>of</w:t>
      </w:r>
      <w:r>
        <w:rPr>
          <w:color w:val="174174"/>
          <w:spacing w:val="7"/>
          <w:sz w:val="12"/>
          <w:szCs w:val="12"/>
        </w:rPr>
        <w:t xml:space="preserve"> </w:t>
      </w:r>
      <w:r>
        <w:rPr>
          <w:color w:val="174174"/>
          <w:spacing w:val="6"/>
          <w:sz w:val="12"/>
          <w:szCs w:val="12"/>
        </w:rPr>
        <w:t>the</w:t>
      </w:r>
      <w:r>
        <w:rPr>
          <w:color w:val="174174"/>
          <w:spacing w:val="10"/>
          <w:sz w:val="12"/>
          <w:szCs w:val="12"/>
        </w:rPr>
        <w:t xml:space="preserve"> </w:t>
      </w:r>
      <w:r>
        <w:rPr>
          <w:color w:val="174174"/>
          <w:spacing w:val="6"/>
          <w:sz w:val="12"/>
          <w:szCs w:val="12"/>
        </w:rPr>
        <w:t>content.</w:t>
      </w:r>
    </w:p>
    <w:p w14:paraId="50602E80">
      <w:pPr>
        <w:pStyle w:val="4"/>
        <w:spacing w:line="263" w:lineRule="auto"/>
      </w:pPr>
    </w:p>
    <w:p w14:paraId="19A695C9">
      <w:pPr>
        <w:pStyle w:val="4"/>
        <w:spacing w:before="35" w:line="268" w:lineRule="auto"/>
        <w:ind w:left="371" w:right="447" w:hanging="6"/>
        <w:rPr>
          <w:sz w:val="12"/>
          <w:szCs w:val="12"/>
        </w:rPr>
      </w:pPr>
      <w:r>
        <w:rPr>
          <w:color w:val="174174"/>
          <w:spacing w:val="6"/>
          <w:sz w:val="12"/>
          <w:szCs w:val="12"/>
        </w:rPr>
        <w:t>This</w:t>
      </w:r>
      <w:r>
        <w:rPr>
          <w:color w:val="174174"/>
          <w:spacing w:val="13"/>
          <w:w w:val="102"/>
          <w:sz w:val="12"/>
          <w:szCs w:val="12"/>
        </w:rPr>
        <w:t xml:space="preserve"> </w:t>
      </w:r>
      <w:r>
        <w:rPr>
          <w:color w:val="174174"/>
          <w:spacing w:val="6"/>
          <w:sz w:val="12"/>
          <w:szCs w:val="12"/>
        </w:rPr>
        <w:t>report from</w:t>
      </w:r>
      <w:r>
        <w:rPr>
          <w:color w:val="174174"/>
          <w:spacing w:val="14"/>
          <w:w w:val="102"/>
          <w:sz w:val="12"/>
          <w:szCs w:val="12"/>
        </w:rPr>
        <w:t xml:space="preserve"> </w:t>
      </w:r>
      <w:r>
        <w:rPr>
          <w:color w:val="174174"/>
          <w:spacing w:val="6"/>
          <w:sz w:val="12"/>
          <w:szCs w:val="12"/>
        </w:rPr>
        <w:t>BMI – A</w:t>
      </w:r>
      <w:r>
        <w:rPr>
          <w:color w:val="174174"/>
          <w:spacing w:val="14"/>
          <w:w w:val="101"/>
          <w:sz w:val="12"/>
          <w:szCs w:val="12"/>
        </w:rPr>
        <w:t xml:space="preserve"> </w:t>
      </w:r>
      <w:r>
        <w:rPr>
          <w:color w:val="174174"/>
          <w:spacing w:val="6"/>
          <w:sz w:val="12"/>
          <w:szCs w:val="12"/>
        </w:rPr>
        <w:t>Fitch Solutions Company</w:t>
      </w:r>
      <w:r>
        <w:rPr>
          <w:color w:val="174174"/>
          <w:spacing w:val="13"/>
          <w:w w:val="101"/>
          <w:sz w:val="12"/>
          <w:szCs w:val="12"/>
        </w:rPr>
        <w:t xml:space="preserve"> </w:t>
      </w:r>
      <w:r>
        <w:rPr>
          <w:color w:val="174174"/>
          <w:spacing w:val="6"/>
          <w:sz w:val="12"/>
          <w:szCs w:val="12"/>
        </w:rPr>
        <w:t>is a</w:t>
      </w:r>
      <w:r>
        <w:rPr>
          <w:color w:val="174174"/>
          <w:spacing w:val="13"/>
          <w:sz w:val="12"/>
          <w:szCs w:val="12"/>
        </w:rPr>
        <w:t xml:space="preserve"> </w:t>
      </w:r>
      <w:r>
        <w:rPr>
          <w:color w:val="174174"/>
          <w:spacing w:val="6"/>
          <w:sz w:val="12"/>
          <w:szCs w:val="12"/>
        </w:rPr>
        <w:t>product</w:t>
      </w:r>
      <w:r>
        <w:rPr>
          <w:color w:val="174174"/>
          <w:spacing w:val="9"/>
          <w:sz w:val="12"/>
          <w:szCs w:val="12"/>
        </w:rPr>
        <w:t xml:space="preserve"> </w:t>
      </w:r>
      <w:r>
        <w:rPr>
          <w:color w:val="174174"/>
          <w:spacing w:val="6"/>
          <w:sz w:val="12"/>
          <w:szCs w:val="12"/>
        </w:rPr>
        <w:t>of</w:t>
      </w:r>
      <w:r>
        <w:rPr>
          <w:color w:val="174174"/>
          <w:spacing w:val="14"/>
          <w:w w:val="102"/>
          <w:sz w:val="12"/>
          <w:szCs w:val="12"/>
        </w:rPr>
        <w:t xml:space="preserve"> </w:t>
      </w:r>
      <w:r>
        <w:rPr>
          <w:color w:val="174174"/>
          <w:spacing w:val="6"/>
          <w:sz w:val="12"/>
          <w:szCs w:val="12"/>
        </w:rPr>
        <w:t>Fitch</w:t>
      </w:r>
      <w:r>
        <w:rPr>
          <w:color w:val="174174"/>
          <w:spacing w:val="9"/>
          <w:sz w:val="12"/>
          <w:szCs w:val="12"/>
        </w:rPr>
        <w:t xml:space="preserve"> </w:t>
      </w:r>
      <w:r>
        <w:rPr>
          <w:color w:val="174174"/>
          <w:spacing w:val="6"/>
          <w:sz w:val="12"/>
          <w:szCs w:val="12"/>
        </w:rPr>
        <w:t>Solutions</w:t>
      </w:r>
      <w:r>
        <w:rPr>
          <w:color w:val="174174"/>
          <w:spacing w:val="10"/>
          <w:w w:val="102"/>
          <w:sz w:val="12"/>
          <w:szCs w:val="12"/>
        </w:rPr>
        <w:t xml:space="preserve"> </w:t>
      </w:r>
      <w:r>
        <w:rPr>
          <w:color w:val="174174"/>
          <w:spacing w:val="6"/>
          <w:sz w:val="12"/>
          <w:szCs w:val="12"/>
        </w:rPr>
        <w:t>Group</w:t>
      </w:r>
      <w:r>
        <w:rPr>
          <w:color w:val="174174"/>
          <w:spacing w:val="14"/>
          <w:w w:val="102"/>
          <w:sz w:val="12"/>
          <w:szCs w:val="12"/>
        </w:rPr>
        <w:t xml:space="preserve"> </w:t>
      </w:r>
      <w:r>
        <w:rPr>
          <w:color w:val="174174"/>
          <w:spacing w:val="6"/>
          <w:sz w:val="12"/>
          <w:szCs w:val="12"/>
        </w:rPr>
        <w:t>Limited;</w:t>
      </w:r>
      <w:r>
        <w:rPr>
          <w:color w:val="174174"/>
          <w:spacing w:val="13"/>
          <w:w w:val="101"/>
          <w:sz w:val="12"/>
          <w:szCs w:val="12"/>
        </w:rPr>
        <w:t xml:space="preserve"> </w:t>
      </w:r>
      <w:r>
        <w:rPr>
          <w:color w:val="174174"/>
          <w:spacing w:val="6"/>
          <w:sz w:val="12"/>
          <w:szCs w:val="12"/>
        </w:rPr>
        <w:t>UK</w:t>
      </w:r>
      <w:r>
        <w:rPr>
          <w:color w:val="174174"/>
          <w:spacing w:val="10"/>
          <w:w w:val="102"/>
          <w:sz w:val="12"/>
          <w:szCs w:val="12"/>
        </w:rPr>
        <w:t xml:space="preserve"> </w:t>
      </w:r>
      <w:r>
        <w:rPr>
          <w:color w:val="174174"/>
          <w:spacing w:val="6"/>
          <w:sz w:val="12"/>
          <w:szCs w:val="12"/>
        </w:rPr>
        <w:t>Compa</w:t>
      </w:r>
      <w:r>
        <w:rPr>
          <w:color w:val="174174"/>
          <w:spacing w:val="5"/>
          <w:sz w:val="12"/>
          <w:szCs w:val="12"/>
        </w:rPr>
        <w:t>ny</w:t>
      </w:r>
      <w:r>
        <w:rPr>
          <w:color w:val="174174"/>
          <w:spacing w:val="13"/>
          <w:sz w:val="12"/>
          <w:szCs w:val="12"/>
        </w:rPr>
        <w:t xml:space="preserve"> </w:t>
      </w:r>
      <w:r>
        <w:rPr>
          <w:color w:val="174174"/>
          <w:spacing w:val="5"/>
          <w:sz w:val="12"/>
          <w:szCs w:val="12"/>
        </w:rPr>
        <w:t>registration</w:t>
      </w:r>
      <w:r>
        <w:rPr>
          <w:color w:val="174174"/>
          <w:spacing w:val="13"/>
          <w:sz w:val="12"/>
          <w:szCs w:val="12"/>
        </w:rPr>
        <w:t xml:space="preserve"> </w:t>
      </w:r>
      <w:r>
        <w:rPr>
          <w:color w:val="174174"/>
          <w:spacing w:val="5"/>
          <w:sz w:val="12"/>
          <w:szCs w:val="12"/>
        </w:rPr>
        <w:t>number</w:t>
      </w:r>
      <w:r>
        <w:rPr>
          <w:color w:val="174174"/>
          <w:spacing w:val="10"/>
          <w:sz w:val="12"/>
          <w:szCs w:val="12"/>
        </w:rPr>
        <w:t xml:space="preserve"> </w:t>
      </w:r>
      <w:r>
        <w:rPr>
          <w:color w:val="174174"/>
          <w:spacing w:val="5"/>
          <w:sz w:val="12"/>
          <w:szCs w:val="12"/>
        </w:rPr>
        <w:t>08789939</w:t>
      </w:r>
      <w:r>
        <w:rPr>
          <w:color w:val="174174"/>
          <w:spacing w:val="11"/>
          <w:sz w:val="12"/>
          <w:szCs w:val="12"/>
        </w:rPr>
        <w:t xml:space="preserve"> </w:t>
      </w:r>
      <w:r>
        <w:rPr>
          <w:color w:val="174174"/>
          <w:spacing w:val="5"/>
          <w:sz w:val="12"/>
          <w:szCs w:val="12"/>
        </w:rPr>
        <w:t>('FSG').</w:t>
      </w:r>
      <w:r>
        <w:rPr>
          <w:color w:val="174174"/>
          <w:spacing w:val="14"/>
          <w:w w:val="101"/>
          <w:sz w:val="12"/>
          <w:szCs w:val="12"/>
        </w:rPr>
        <w:t xml:space="preserve"> </w:t>
      </w:r>
      <w:r>
        <w:rPr>
          <w:color w:val="174174"/>
          <w:spacing w:val="5"/>
          <w:sz w:val="12"/>
          <w:szCs w:val="12"/>
        </w:rPr>
        <w:t>FSG</w:t>
      </w:r>
      <w:r>
        <w:rPr>
          <w:color w:val="174174"/>
          <w:spacing w:val="13"/>
          <w:w w:val="101"/>
          <w:sz w:val="12"/>
          <w:szCs w:val="12"/>
        </w:rPr>
        <w:t xml:space="preserve"> </w:t>
      </w:r>
      <w:r>
        <w:rPr>
          <w:color w:val="174174"/>
          <w:spacing w:val="5"/>
          <w:sz w:val="12"/>
          <w:szCs w:val="12"/>
        </w:rPr>
        <w:t>is</w:t>
      </w:r>
      <w:r>
        <w:rPr>
          <w:color w:val="174174"/>
          <w:spacing w:val="8"/>
          <w:w w:val="101"/>
          <w:sz w:val="12"/>
          <w:szCs w:val="12"/>
        </w:rPr>
        <w:t xml:space="preserve"> </w:t>
      </w:r>
      <w:r>
        <w:rPr>
          <w:color w:val="174174"/>
          <w:spacing w:val="5"/>
          <w:sz w:val="12"/>
          <w:szCs w:val="12"/>
        </w:rPr>
        <w:t>an</w:t>
      </w:r>
      <w:r>
        <w:rPr>
          <w:color w:val="174174"/>
          <w:spacing w:val="8"/>
          <w:w w:val="101"/>
          <w:sz w:val="12"/>
          <w:szCs w:val="12"/>
        </w:rPr>
        <w:t xml:space="preserve"> </w:t>
      </w:r>
      <w:r>
        <w:rPr>
          <w:color w:val="174174"/>
          <w:spacing w:val="5"/>
          <w:sz w:val="12"/>
          <w:szCs w:val="12"/>
        </w:rPr>
        <w:t>affiliate</w:t>
      </w:r>
      <w:r>
        <w:rPr>
          <w:color w:val="174174"/>
          <w:spacing w:val="9"/>
          <w:sz w:val="12"/>
          <w:szCs w:val="12"/>
        </w:rPr>
        <w:t xml:space="preserve"> </w:t>
      </w:r>
      <w:r>
        <w:rPr>
          <w:color w:val="174174"/>
          <w:spacing w:val="5"/>
          <w:sz w:val="12"/>
          <w:szCs w:val="12"/>
        </w:rPr>
        <w:t>of</w:t>
      </w:r>
      <w:r>
        <w:rPr>
          <w:color w:val="174174"/>
          <w:sz w:val="12"/>
          <w:szCs w:val="12"/>
        </w:rPr>
        <w:t xml:space="preserve"> </w:t>
      </w:r>
      <w:r>
        <w:rPr>
          <w:color w:val="174174"/>
          <w:spacing w:val="6"/>
          <w:sz w:val="12"/>
          <w:szCs w:val="12"/>
        </w:rPr>
        <w:t>Fitch</w:t>
      </w:r>
      <w:r>
        <w:rPr>
          <w:color w:val="174174"/>
          <w:spacing w:val="15"/>
          <w:sz w:val="12"/>
          <w:szCs w:val="12"/>
        </w:rPr>
        <w:t xml:space="preserve"> </w:t>
      </w:r>
      <w:r>
        <w:rPr>
          <w:color w:val="174174"/>
          <w:spacing w:val="6"/>
          <w:sz w:val="12"/>
          <w:szCs w:val="12"/>
        </w:rPr>
        <w:t>Ratings</w:t>
      </w:r>
      <w:r>
        <w:rPr>
          <w:color w:val="174174"/>
          <w:spacing w:val="15"/>
          <w:w w:val="101"/>
          <w:sz w:val="12"/>
          <w:szCs w:val="12"/>
        </w:rPr>
        <w:t xml:space="preserve"> </w:t>
      </w:r>
      <w:r>
        <w:rPr>
          <w:color w:val="174174"/>
          <w:spacing w:val="6"/>
          <w:sz w:val="12"/>
          <w:szCs w:val="12"/>
        </w:rPr>
        <w:t>Inc. ('Fitch</w:t>
      </w:r>
      <w:r>
        <w:rPr>
          <w:color w:val="174174"/>
          <w:spacing w:val="14"/>
          <w:w w:val="102"/>
          <w:sz w:val="12"/>
          <w:szCs w:val="12"/>
        </w:rPr>
        <w:t xml:space="preserve"> </w:t>
      </w:r>
      <w:r>
        <w:rPr>
          <w:color w:val="174174"/>
          <w:spacing w:val="6"/>
          <w:sz w:val="12"/>
          <w:szCs w:val="12"/>
        </w:rPr>
        <w:t>Ratings').</w:t>
      </w:r>
      <w:r>
        <w:rPr>
          <w:color w:val="174174"/>
          <w:spacing w:val="14"/>
          <w:w w:val="101"/>
          <w:sz w:val="12"/>
          <w:szCs w:val="12"/>
        </w:rPr>
        <w:t xml:space="preserve"> </w:t>
      </w:r>
      <w:r>
        <w:rPr>
          <w:color w:val="174174"/>
          <w:spacing w:val="6"/>
          <w:sz w:val="12"/>
          <w:szCs w:val="12"/>
        </w:rPr>
        <w:t>FSG</w:t>
      </w:r>
      <w:r>
        <w:rPr>
          <w:color w:val="174174"/>
          <w:spacing w:val="13"/>
          <w:w w:val="101"/>
          <w:sz w:val="12"/>
          <w:szCs w:val="12"/>
        </w:rPr>
        <w:t xml:space="preserve"> </w:t>
      </w:r>
      <w:r>
        <w:rPr>
          <w:color w:val="174174"/>
          <w:spacing w:val="6"/>
          <w:sz w:val="12"/>
          <w:szCs w:val="12"/>
        </w:rPr>
        <w:t>is solely</w:t>
      </w:r>
      <w:r>
        <w:rPr>
          <w:color w:val="174174"/>
          <w:spacing w:val="13"/>
          <w:sz w:val="12"/>
          <w:szCs w:val="12"/>
        </w:rPr>
        <w:t xml:space="preserve"> </w:t>
      </w:r>
      <w:r>
        <w:rPr>
          <w:color w:val="174174"/>
          <w:spacing w:val="6"/>
          <w:sz w:val="12"/>
          <w:szCs w:val="12"/>
        </w:rPr>
        <w:t>responsible for the content of this</w:t>
      </w:r>
      <w:r>
        <w:rPr>
          <w:color w:val="174174"/>
          <w:spacing w:val="13"/>
          <w:sz w:val="12"/>
          <w:szCs w:val="12"/>
        </w:rPr>
        <w:t xml:space="preserve"> </w:t>
      </w:r>
      <w:r>
        <w:rPr>
          <w:color w:val="174174"/>
          <w:spacing w:val="6"/>
          <w:sz w:val="12"/>
          <w:szCs w:val="12"/>
        </w:rPr>
        <w:t>repo</w:t>
      </w:r>
      <w:r>
        <w:rPr>
          <w:color w:val="174174"/>
          <w:spacing w:val="5"/>
          <w:sz w:val="12"/>
          <w:szCs w:val="12"/>
        </w:rPr>
        <w:t>rt,</w:t>
      </w:r>
      <w:r>
        <w:rPr>
          <w:color w:val="174174"/>
          <w:spacing w:val="7"/>
          <w:sz w:val="12"/>
          <w:szCs w:val="12"/>
        </w:rPr>
        <w:t xml:space="preserve"> </w:t>
      </w:r>
      <w:r>
        <w:rPr>
          <w:color w:val="174174"/>
          <w:spacing w:val="5"/>
          <w:sz w:val="12"/>
          <w:szCs w:val="12"/>
        </w:rPr>
        <w:t>without</w:t>
      </w:r>
      <w:r>
        <w:rPr>
          <w:color w:val="174174"/>
          <w:spacing w:val="9"/>
          <w:sz w:val="12"/>
          <w:szCs w:val="12"/>
        </w:rPr>
        <w:t xml:space="preserve"> </w:t>
      </w:r>
      <w:r>
        <w:rPr>
          <w:color w:val="174174"/>
          <w:spacing w:val="5"/>
          <w:sz w:val="12"/>
          <w:szCs w:val="12"/>
        </w:rPr>
        <w:t>any</w:t>
      </w:r>
      <w:r>
        <w:rPr>
          <w:color w:val="174174"/>
          <w:spacing w:val="13"/>
          <w:sz w:val="12"/>
          <w:szCs w:val="12"/>
        </w:rPr>
        <w:t xml:space="preserve"> </w:t>
      </w:r>
      <w:r>
        <w:rPr>
          <w:color w:val="174174"/>
          <w:spacing w:val="5"/>
          <w:sz w:val="12"/>
          <w:szCs w:val="12"/>
        </w:rPr>
        <w:t>input</w:t>
      </w:r>
      <w:r>
        <w:rPr>
          <w:color w:val="174174"/>
          <w:spacing w:val="8"/>
          <w:sz w:val="12"/>
          <w:szCs w:val="12"/>
        </w:rPr>
        <w:t xml:space="preserve"> </w:t>
      </w:r>
      <w:r>
        <w:rPr>
          <w:color w:val="174174"/>
          <w:spacing w:val="5"/>
          <w:sz w:val="12"/>
          <w:szCs w:val="12"/>
        </w:rPr>
        <w:t>from</w:t>
      </w:r>
      <w:r>
        <w:rPr>
          <w:color w:val="174174"/>
          <w:spacing w:val="14"/>
          <w:w w:val="102"/>
          <w:sz w:val="12"/>
          <w:szCs w:val="12"/>
        </w:rPr>
        <w:t xml:space="preserve"> </w:t>
      </w:r>
      <w:r>
        <w:rPr>
          <w:color w:val="174174"/>
          <w:spacing w:val="5"/>
          <w:sz w:val="12"/>
          <w:szCs w:val="12"/>
        </w:rPr>
        <w:t>Fitch</w:t>
      </w:r>
      <w:r>
        <w:rPr>
          <w:color w:val="174174"/>
          <w:spacing w:val="14"/>
          <w:w w:val="101"/>
          <w:sz w:val="12"/>
          <w:szCs w:val="12"/>
        </w:rPr>
        <w:t xml:space="preserve"> </w:t>
      </w:r>
      <w:r>
        <w:rPr>
          <w:color w:val="174174"/>
          <w:spacing w:val="5"/>
          <w:sz w:val="12"/>
          <w:szCs w:val="12"/>
        </w:rPr>
        <w:t>Ratings.</w:t>
      </w:r>
    </w:p>
    <w:p w14:paraId="32D320DA">
      <w:pPr>
        <w:pStyle w:val="4"/>
        <w:spacing w:line="263" w:lineRule="auto"/>
      </w:pPr>
    </w:p>
    <w:p w14:paraId="2FA75593">
      <w:pPr>
        <w:pStyle w:val="4"/>
        <w:spacing w:before="34" w:line="149" w:lineRule="exact"/>
        <w:ind w:left="368"/>
        <w:rPr>
          <w:sz w:val="12"/>
          <w:szCs w:val="12"/>
        </w:rPr>
      </w:pPr>
      <w:r>
        <w:rPr>
          <w:color w:val="174174"/>
          <w:spacing w:val="7"/>
          <w:position w:val="1"/>
          <w:sz w:val="12"/>
          <w:szCs w:val="12"/>
        </w:rPr>
        <w:t>Copyright © 2025</w:t>
      </w:r>
      <w:r>
        <w:rPr>
          <w:color w:val="174174"/>
          <w:spacing w:val="14"/>
          <w:w w:val="102"/>
          <w:position w:val="1"/>
          <w:sz w:val="12"/>
          <w:szCs w:val="12"/>
        </w:rPr>
        <w:t xml:space="preserve"> </w:t>
      </w:r>
      <w:r>
        <w:rPr>
          <w:color w:val="174174"/>
          <w:spacing w:val="7"/>
          <w:position w:val="1"/>
          <w:sz w:val="12"/>
          <w:szCs w:val="12"/>
        </w:rPr>
        <w:t>Fitch Solutions</w:t>
      </w:r>
      <w:r>
        <w:rPr>
          <w:color w:val="174174"/>
          <w:spacing w:val="6"/>
          <w:position w:val="1"/>
          <w:sz w:val="12"/>
          <w:szCs w:val="12"/>
        </w:rPr>
        <w:t xml:space="preserve"> Group</w:t>
      </w:r>
      <w:r>
        <w:rPr>
          <w:color w:val="174174"/>
          <w:spacing w:val="14"/>
          <w:w w:val="102"/>
          <w:position w:val="1"/>
          <w:sz w:val="12"/>
          <w:szCs w:val="12"/>
        </w:rPr>
        <w:t xml:space="preserve"> </w:t>
      </w:r>
      <w:r>
        <w:rPr>
          <w:color w:val="174174"/>
          <w:spacing w:val="6"/>
          <w:position w:val="1"/>
          <w:sz w:val="12"/>
          <w:szCs w:val="12"/>
        </w:rPr>
        <w:t>Limited.</w:t>
      </w:r>
    </w:p>
    <w:p w14:paraId="5E776FA8">
      <w:pPr>
        <w:spacing w:line="149" w:lineRule="exact"/>
        <w:rPr>
          <w:sz w:val="12"/>
          <w:szCs w:val="12"/>
        </w:rPr>
        <w:sectPr>
          <w:footerReference r:id="rId7" w:type="default"/>
          <w:pgSz w:w="11906" w:h="16838"/>
          <w:pgMar w:top="400" w:right="490" w:bottom="883" w:left="490" w:header="0" w:footer="0" w:gutter="0"/>
          <w:cols w:space="720" w:num="1"/>
        </w:sectPr>
      </w:pPr>
    </w:p>
    <w:p w14:paraId="58AF6C3D">
      <w:pPr>
        <w:pStyle w:val="4"/>
        <w:spacing w:before="73" w:line="241" w:lineRule="auto"/>
        <w:ind w:left="7372"/>
        <w:rPr>
          <w:sz w:val="20"/>
          <w:szCs w:val="20"/>
        </w:rPr>
      </w:pPr>
      <w:r>
        <w:drawing>
          <wp:anchor distT="0" distB="0" distL="0" distR="0" simplePos="0" relativeHeight="25166745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68480" behindDoc="0" locked="0" layoutInCell="0" allowOverlap="1">
            <wp:simplePos x="0" y="0"/>
            <wp:positionH relativeFrom="page">
              <wp:posOffset>311150</wp:posOffset>
            </wp:positionH>
            <wp:positionV relativeFrom="page">
              <wp:posOffset>0</wp:posOffset>
            </wp:positionV>
            <wp:extent cx="19050" cy="814070"/>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B9927C9">
      <w:pPr>
        <w:pStyle w:val="4"/>
        <w:spacing w:line="278" w:lineRule="auto"/>
      </w:pPr>
    </w:p>
    <w:p w14:paraId="5D25F15A">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62179F2">
      <w:pPr>
        <w:pStyle w:val="4"/>
        <w:spacing w:line="476" w:lineRule="auto"/>
      </w:pPr>
    </w:p>
    <w:p w14:paraId="45E04497">
      <w:pPr>
        <w:pStyle w:val="4"/>
        <w:spacing w:before="127" w:line="181" w:lineRule="auto"/>
        <w:ind w:left="395"/>
        <w:outlineLvl w:val="0"/>
        <w:rPr>
          <w:sz w:val="44"/>
          <w:szCs w:val="44"/>
        </w:rPr>
      </w:pPr>
      <w:bookmarkStart w:id="0" w:name="bookmark1"/>
      <w:bookmarkEnd w:id="0"/>
      <w:bookmarkStart w:id="1" w:name="bookmark31"/>
      <w:bookmarkEnd w:id="1"/>
      <w:r>
        <w:rPr>
          <w:color w:val="174174"/>
          <w:spacing w:val="-25"/>
          <w:w w:val="98"/>
          <w:sz w:val="44"/>
          <w:szCs w:val="44"/>
        </w:rPr>
        <w:t>Key</w:t>
      </w:r>
      <w:r>
        <w:rPr>
          <w:color w:val="174174"/>
          <w:spacing w:val="-28"/>
          <w:sz w:val="44"/>
          <w:szCs w:val="44"/>
        </w:rPr>
        <w:t xml:space="preserve"> </w:t>
      </w:r>
      <w:r>
        <w:rPr>
          <w:color w:val="174174"/>
          <w:spacing w:val="-25"/>
          <w:w w:val="98"/>
          <w:sz w:val="44"/>
          <w:szCs w:val="44"/>
        </w:rPr>
        <w:t>View</w:t>
      </w:r>
    </w:p>
    <w:p w14:paraId="2A72923C">
      <w:pPr>
        <w:pStyle w:val="4"/>
        <w:spacing w:line="250" w:lineRule="auto"/>
      </w:pPr>
    </w:p>
    <w:p w14:paraId="1E4E1368">
      <w:pPr>
        <w:pStyle w:val="4"/>
        <w:spacing w:before="57" w:line="283" w:lineRule="auto"/>
        <w:ind w:left="373" w:right="604" w:firstLine="13"/>
        <w:rPr>
          <w:sz w:val="20"/>
          <w:szCs w:val="20"/>
        </w:rPr>
      </w:pPr>
      <w:r>
        <w:rPr>
          <w:b/>
          <w:bCs/>
          <w:i/>
          <w:iCs/>
          <w:color w:val="57585A"/>
          <w:spacing w:val="-7"/>
          <w:w w:val="97"/>
          <w:sz w:val="20"/>
          <w:szCs w:val="20"/>
        </w:rPr>
        <w:t>Key View:</w:t>
      </w:r>
      <w:r>
        <w:rPr>
          <w:b/>
          <w:bCs/>
          <w:i/>
          <w:iCs/>
          <w:color w:val="57585A"/>
          <w:spacing w:val="-24"/>
          <w:sz w:val="20"/>
          <w:szCs w:val="20"/>
        </w:rPr>
        <w:t xml:space="preserve"> </w:t>
      </w:r>
      <w:r>
        <w:rPr>
          <w:i/>
          <w:iCs/>
          <w:color w:val="57585A"/>
          <w:spacing w:val="-7"/>
          <w:w w:val="97"/>
          <w:sz w:val="20"/>
          <w:szCs w:val="20"/>
        </w:rPr>
        <w:t>Argentina will</w:t>
      </w:r>
      <w:r>
        <w:rPr>
          <w:i/>
          <w:iCs/>
          <w:color w:val="57585A"/>
          <w:spacing w:val="-20"/>
          <w:sz w:val="20"/>
          <w:szCs w:val="20"/>
        </w:rPr>
        <w:t xml:space="preserve"> </w:t>
      </w:r>
      <w:r>
        <w:rPr>
          <w:i/>
          <w:iCs/>
          <w:color w:val="57585A"/>
          <w:spacing w:val="-7"/>
          <w:w w:val="97"/>
          <w:sz w:val="20"/>
          <w:szCs w:val="20"/>
        </w:rPr>
        <w:t>see strong oil</w:t>
      </w:r>
      <w:r>
        <w:rPr>
          <w:i/>
          <w:iCs/>
          <w:color w:val="57585A"/>
          <w:spacing w:val="-17"/>
          <w:sz w:val="20"/>
          <w:szCs w:val="20"/>
        </w:rPr>
        <w:t xml:space="preserve"> </w:t>
      </w:r>
      <w:r>
        <w:rPr>
          <w:i/>
          <w:iCs/>
          <w:color w:val="57585A"/>
          <w:spacing w:val="-7"/>
          <w:w w:val="97"/>
          <w:sz w:val="20"/>
          <w:szCs w:val="20"/>
        </w:rPr>
        <w:t>and</w:t>
      </w:r>
      <w:r>
        <w:rPr>
          <w:i/>
          <w:iCs/>
          <w:color w:val="57585A"/>
          <w:spacing w:val="-26"/>
          <w:sz w:val="20"/>
          <w:szCs w:val="20"/>
        </w:rPr>
        <w:t xml:space="preserve"> </w:t>
      </w:r>
      <w:r>
        <w:rPr>
          <w:i/>
          <w:iCs/>
          <w:color w:val="57585A"/>
          <w:spacing w:val="-7"/>
          <w:w w:val="97"/>
          <w:sz w:val="20"/>
          <w:szCs w:val="20"/>
        </w:rPr>
        <w:t>gas</w:t>
      </w:r>
      <w:r>
        <w:rPr>
          <w:i/>
          <w:iCs/>
          <w:color w:val="57585A"/>
          <w:spacing w:val="-20"/>
          <w:sz w:val="20"/>
          <w:szCs w:val="20"/>
        </w:rPr>
        <w:t xml:space="preserve"> </w:t>
      </w:r>
      <w:r>
        <w:rPr>
          <w:i/>
          <w:iCs/>
          <w:color w:val="57585A"/>
          <w:spacing w:val="-7"/>
          <w:w w:val="97"/>
          <w:sz w:val="20"/>
          <w:szCs w:val="20"/>
        </w:rPr>
        <w:t>production growth, both in the sh</w:t>
      </w:r>
      <w:r>
        <w:rPr>
          <w:i/>
          <w:iCs/>
          <w:color w:val="57585A"/>
          <w:spacing w:val="-8"/>
          <w:w w:val="97"/>
          <w:sz w:val="20"/>
          <w:szCs w:val="20"/>
        </w:rPr>
        <w:t>ort-and-long term as midstream infrastructure</w:t>
      </w:r>
      <w:r>
        <w:rPr>
          <w:i/>
          <w:iCs/>
          <w:color w:val="57585A"/>
          <w:sz w:val="20"/>
          <w:szCs w:val="20"/>
        </w:rPr>
        <w:t xml:space="preserve"> </w:t>
      </w:r>
      <w:r>
        <w:rPr>
          <w:i/>
          <w:iCs/>
          <w:color w:val="57585A"/>
          <w:spacing w:val="-10"/>
          <w:w w:val="99"/>
          <w:sz w:val="20"/>
          <w:szCs w:val="20"/>
        </w:rPr>
        <w:t>comes online.</w:t>
      </w:r>
      <w:r>
        <w:rPr>
          <w:i/>
          <w:iCs/>
          <w:color w:val="57585A"/>
          <w:spacing w:val="21"/>
          <w:sz w:val="20"/>
          <w:szCs w:val="20"/>
        </w:rPr>
        <w:t xml:space="preserve"> </w:t>
      </w:r>
      <w:r>
        <w:rPr>
          <w:i/>
          <w:iCs/>
          <w:color w:val="57585A"/>
          <w:spacing w:val="-10"/>
          <w:w w:val="99"/>
          <w:sz w:val="20"/>
          <w:szCs w:val="20"/>
        </w:rPr>
        <w:t>The sector</w:t>
      </w:r>
      <w:r>
        <w:rPr>
          <w:i/>
          <w:iCs/>
          <w:color w:val="57585A"/>
          <w:spacing w:val="-23"/>
          <w:sz w:val="20"/>
          <w:szCs w:val="20"/>
        </w:rPr>
        <w:t xml:space="preserve"> </w:t>
      </w:r>
      <w:r>
        <w:rPr>
          <w:i/>
          <w:iCs/>
          <w:color w:val="57585A"/>
          <w:spacing w:val="-10"/>
          <w:w w:val="99"/>
          <w:sz w:val="20"/>
          <w:szCs w:val="20"/>
        </w:rPr>
        <w:t>is being</w:t>
      </w:r>
      <w:r>
        <w:rPr>
          <w:i/>
          <w:iCs/>
          <w:color w:val="57585A"/>
          <w:spacing w:val="-16"/>
          <w:sz w:val="20"/>
          <w:szCs w:val="20"/>
        </w:rPr>
        <w:t xml:space="preserve"> </w:t>
      </w:r>
      <w:r>
        <w:rPr>
          <w:i/>
          <w:iCs/>
          <w:color w:val="57585A"/>
          <w:spacing w:val="-10"/>
          <w:w w:val="99"/>
          <w:sz w:val="20"/>
          <w:szCs w:val="20"/>
        </w:rPr>
        <w:t>boosted</w:t>
      </w:r>
      <w:r>
        <w:rPr>
          <w:i/>
          <w:iCs/>
          <w:color w:val="57585A"/>
          <w:spacing w:val="-16"/>
          <w:sz w:val="20"/>
          <w:szCs w:val="20"/>
        </w:rPr>
        <w:t xml:space="preserve"> </w:t>
      </w:r>
      <w:r>
        <w:rPr>
          <w:i/>
          <w:iCs/>
          <w:color w:val="57585A"/>
          <w:spacing w:val="-10"/>
          <w:w w:val="99"/>
          <w:sz w:val="20"/>
          <w:szCs w:val="20"/>
        </w:rPr>
        <w:t>by</w:t>
      </w:r>
      <w:r>
        <w:rPr>
          <w:i/>
          <w:iCs/>
          <w:color w:val="57585A"/>
          <w:spacing w:val="-24"/>
          <w:sz w:val="20"/>
          <w:szCs w:val="20"/>
        </w:rPr>
        <w:t xml:space="preserve"> </w:t>
      </w:r>
      <w:r>
        <w:rPr>
          <w:i/>
          <w:iCs/>
          <w:color w:val="57585A"/>
          <w:spacing w:val="-10"/>
          <w:w w:val="99"/>
          <w:sz w:val="20"/>
          <w:szCs w:val="20"/>
        </w:rPr>
        <w:t>recent</w:t>
      </w:r>
      <w:r>
        <w:rPr>
          <w:i/>
          <w:iCs/>
          <w:color w:val="57585A"/>
          <w:spacing w:val="-26"/>
          <w:sz w:val="20"/>
          <w:szCs w:val="20"/>
        </w:rPr>
        <w:t xml:space="preserve"> </w:t>
      </w:r>
      <w:r>
        <w:rPr>
          <w:i/>
          <w:iCs/>
          <w:color w:val="57585A"/>
          <w:spacing w:val="-10"/>
          <w:w w:val="99"/>
          <w:sz w:val="20"/>
          <w:szCs w:val="20"/>
        </w:rPr>
        <w:t>policy</w:t>
      </w:r>
      <w:r>
        <w:rPr>
          <w:i/>
          <w:iCs/>
          <w:color w:val="57585A"/>
          <w:spacing w:val="-19"/>
          <w:sz w:val="20"/>
          <w:szCs w:val="20"/>
        </w:rPr>
        <w:t xml:space="preserve"> </w:t>
      </w:r>
      <w:r>
        <w:rPr>
          <w:i/>
          <w:iCs/>
          <w:color w:val="57585A"/>
          <w:spacing w:val="-10"/>
          <w:w w:val="99"/>
          <w:sz w:val="20"/>
          <w:szCs w:val="20"/>
        </w:rPr>
        <w:t>changes and</w:t>
      </w:r>
      <w:r>
        <w:rPr>
          <w:i/>
          <w:iCs/>
          <w:color w:val="57585A"/>
          <w:spacing w:val="-13"/>
          <w:sz w:val="20"/>
          <w:szCs w:val="20"/>
        </w:rPr>
        <w:t xml:space="preserve"> </w:t>
      </w:r>
      <w:r>
        <w:rPr>
          <w:i/>
          <w:iCs/>
          <w:color w:val="57585A"/>
          <w:spacing w:val="-10"/>
          <w:w w:val="99"/>
          <w:sz w:val="20"/>
          <w:szCs w:val="20"/>
        </w:rPr>
        <w:t>deregulation which are favourable to private investment</w:t>
      </w:r>
      <w:r>
        <w:rPr>
          <w:i/>
          <w:iCs/>
          <w:color w:val="57585A"/>
          <w:sz w:val="20"/>
          <w:szCs w:val="20"/>
        </w:rPr>
        <w:t xml:space="preserve"> </w:t>
      </w:r>
      <w:r>
        <w:rPr>
          <w:i/>
          <w:iCs/>
          <w:color w:val="57585A"/>
          <w:spacing w:val="-9"/>
          <w:w w:val="98"/>
          <w:sz w:val="20"/>
          <w:szCs w:val="20"/>
        </w:rPr>
        <w:t>and favouring upstream investments, with notable efforts being</w:t>
      </w:r>
      <w:r>
        <w:rPr>
          <w:i/>
          <w:iCs/>
          <w:color w:val="57585A"/>
          <w:spacing w:val="-17"/>
          <w:sz w:val="20"/>
          <w:szCs w:val="20"/>
        </w:rPr>
        <w:t xml:space="preserve"> </w:t>
      </w:r>
      <w:r>
        <w:rPr>
          <w:i/>
          <w:iCs/>
          <w:color w:val="57585A"/>
          <w:spacing w:val="-9"/>
          <w:w w:val="98"/>
          <w:sz w:val="20"/>
          <w:szCs w:val="20"/>
        </w:rPr>
        <w:t>made to develop unconventional</w:t>
      </w:r>
      <w:r>
        <w:rPr>
          <w:i/>
          <w:iCs/>
          <w:color w:val="57585A"/>
          <w:spacing w:val="-16"/>
          <w:sz w:val="20"/>
          <w:szCs w:val="20"/>
        </w:rPr>
        <w:t xml:space="preserve"> </w:t>
      </w:r>
      <w:r>
        <w:rPr>
          <w:i/>
          <w:iCs/>
          <w:color w:val="57585A"/>
          <w:spacing w:val="-9"/>
          <w:w w:val="98"/>
          <w:sz w:val="20"/>
          <w:szCs w:val="20"/>
        </w:rPr>
        <w:t xml:space="preserve">resources </w:t>
      </w:r>
      <w:r>
        <w:rPr>
          <w:i/>
          <w:iCs/>
          <w:color w:val="57585A"/>
          <w:spacing w:val="-10"/>
          <w:w w:val="98"/>
          <w:sz w:val="20"/>
          <w:szCs w:val="20"/>
        </w:rPr>
        <w:t>(notably</w:t>
      </w:r>
      <w:r>
        <w:rPr>
          <w:i/>
          <w:iCs/>
          <w:color w:val="57585A"/>
          <w:spacing w:val="-24"/>
          <w:sz w:val="20"/>
          <w:szCs w:val="20"/>
        </w:rPr>
        <w:t xml:space="preserve"> </w:t>
      </w:r>
      <w:r>
        <w:rPr>
          <w:i/>
          <w:iCs/>
          <w:color w:val="57585A"/>
          <w:spacing w:val="-10"/>
          <w:w w:val="98"/>
          <w:sz w:val="20"/>
          <w:szCs w:val="20"/>
        </w:rPr>
        <w:t>in the</w:t>
      </w:r>
      <w:r>
        <w:rPr>
          <w:i/>
          <w:iCs/>
          <w:color w:val="57585A"/>
          <w:spacing w:val="9"/>
          <w:sz w:val="20"/>
          <w:szCs w:val="20"/>
        </w:rPr>
        <w:t xml:space="preserve"> </w:t>
      </w:r>
      <w:r>
        <w:rPr>
          <w:i/>
          <w:iCs/>
          <w:color w:val="57585A"/>
          <w:spacing w:val="-10"/>
          <w:w w:val="98"/>
          <w:sz w:val="20"/>
          <w:szCs w:val="20"/>
        </w:rPr>
        <w:t>Vaca</w:t>
      </w:r>
      <w:r>
        <w:rPr>
          <w:i/>
          <w:iCs/>
          <w:color w:val="57585A"/>
          <w:sz w:val="20"/>
          <w:szCs w:val="20"/>
        </w:rPr>
        <w:t xml:space="preserve"> </w:t>
      </w:r>
      <w:r>
        <w:rPr>
          <w:i/>
          <w:iCs/>
          <w:color w:val="57585A"/>
          <w:spacing w:val="-6"/>
          <w:w w:val="96"/>
          <w:sz w:val="20"/>
          <w:szCs w:val="20"/>
        </w:rPr>
        <w:t>Muerta). In addition, the completion of</w:t>
      </w:r>
      <w:r>
        <w:rPr>
          <w:i/>
          <w:iCs/>
          <w:color w:val="57585A"/>
          <w:spacing w:val="-35"/>
          <w:sz w:val="20"/>
          <w:szCs w:val="20"/>
        </w:rPr>
        <w:t xml:space="preserve"> </w:t>
      </w:r>
      <w:r>
        <w:rPr>
          <w:i/>
          <w:iCs/>
          <w:color w:val="57585A"/>
          <w:spacing w:val="-6"/>
          <w:w w:val="96"/>
          <w:sz w:val="20"/>
          <w:szCs w:val="20"/>
        </w:rPr>
        <w:t>critical oil</w:t>
      </w:r>
      <w:r>
        <w:rPr>
          <w:i/>
          <w:iCs/>
          <w:color w:val="57585A"/>
          <w:spacing w:val="-17"/>
          <w:sz w:val="20"/>
          <w:szCs w:val="20"/>
        </w:rPr>
        <w:t xml:space="preserve"> </w:t>
      </w:r>
      <w:r>
        <w:rPr>
          <w:i/>
          <w:iCs/>
          <w:color w:val="57585A"/>
          <w:spacing w:val="-6"/>
          <w:w w:val="96"/>
          <w:sz w:val="20"/>
          <w:szCs w:val="20"/>
        </w:rPr>
        <w:t>and</w:t>
      </w:r>
      <w:r>
        <w:rPr>
          <w:i/>
          <w:iCs/>
          <w:color w:val="57585A"/>
          <w:spacing w:val="-26"/>
          <w:sz w:val="20"/>
          <w:szCs w:val="20"/>
        </w:rPr>
        <w:t xml:space="preserve"> </w:t>
      </w:r>
      <w:r>
        <w:rPr>
          <w:i/>
          <w:iCs/>
          <w:color w:val="57585A"/>
          <w:spacing w:val="-6"/>
          <w:w w:val="96"/>
          <w:sz w:val="20"/>
          <w:szCs w:val="20"/>
        </w:rPr>
        <w:t>g</w:t>
      </w:r>
      <w:r>
        <w:rPr>
          <w:i/>
          <w:iCs/>
          <w:color w:val="57585A"/>
          <w:spacing w:val="-7"/>
          <w:w w:val="96"/>
          <w:sz w:val="20"/>
          <w:szCs w:val="20"/>
        </w:rPr>
        <w:t>as transportation infrastructure is also allowing</w:t>
      </w:r>
      <w:r>
        <w:rPr>
          <w:i/>
          <w:iCs/>
          <w:color w:val="57585A"/>
          <w:spacing w:val="-17"/>
          <w:sz w:val="20"/>
          <w:szCs w:val="20"/>
        </w:rPr>
        <w:t xml:space="preserve"> </w:t>
      </w:r>
      <w:r>
        <w:rPr>
          <w:i/>
          <w:iCs/>
          <w:color w:val="57585A"/>
          <w:spacing w:val="-7"/>
          <w:w w:val="96"/>
          <w:sz w:val="20"/>
          <w:szCs w:val="20"/>
        </w:rPr>
        <w:t>a significant</w:t>
      </w:r>
      <w:r>
        <w:rPr>
          <w:i/>
          <w:iCs/>
          <w:color w:val="57585A"/>
          <w:spacing w:val="-18"/>
          <w:sz w:val="20"/>
          <w:szCs w:val="20"/>
        </w:rPr>
        <w:t xml:space="preserve"> </w:t>
      </w:r>
      <w:r>
        <w:rPr>
          <w:i/>
          <w:iCs/>
          <w:color w:val="57585A"/>
          <w:spacing w:val="-7"/>
          <w:w w:val="96"/>
          <w:sz w:val="20"/>
          <w:szCs w:val="20"/>
        </w:rPr>
        <w:t>increase in</w:t>
      </w:r>
    </w:p>
    <w:p w14:paraId="3ACFC4D3">
      <w:pPr>
        <w:pStyle w:val="4"/>
        <w:spacing w:before="37" w:line="233" w:lineRule="auto"/>
        <w:ind w:left="378"/>
        <w:rPr>
          <w:sz w:val="20"/>
          <w:szCs w:val="20"/>
        </w:rPr>
      </w:pPr>
      <w:r>
        <w:rPr>
          <w:i/>
          <w:iCs/>
          <w:color w:val="57585A"/>
          <w:spacing w:val="-9"/>
          <w:sz w:val="20"/>
          <w:szCs w:val="20"/>
        </w:rPr>
        <w:t>output, with further</w:t>
      </w:r>
      <w:r>
        <w:rPr>
          <w:i/>
          <w:iCs/>
          <w:color w:val="57585A"/>
          <w:spacing w:val="-31"/>
          <w:sz w:val="20"/>
          <w:szCs w:val="20"/>
        </w:rPr>
        <w:t xml:space="preserve"> </w:t>
      </w:r>
      <w:r>
        <w:rPr>
          <w:i/>
          <w:iCs/>
          <w:color w:val="57585A"/>
          <w:spacing w:val="-9"/>
          <w:sz w:val="20"/>
          <w:szCs w:val="20"/>
        </w:rPr>
        <w:t>gains to come in the coming quarter</w:t>
      </w:r>
      <w:r>
        <w:rPr>
          <w:i/>
          <w:iCs/>
          <w:color w:val="57585A"/>
          <w:spacing w:val="-10"/>
          <w:sz w:val="20"/>
          <w:szCs w:val="20"/>
        </w:rPr>
        <w:t>s.</w:t>
      </w:r>
    </w:p>
    <w:p w14:paraId="1CFF16F8">
      <w:pPr>
        <w:pStyle w:val="4"/>
        <w:spacing w:line="326" w:lineRule="auto"/>
      </w:pPr>
    </w:p>
    <w:p w14:paraId="3E681F5C">
      <w:pPr>
        <w:pStyle w:val="4"/>
        <w:spacing w:line="326" w:lineRule="auto"/>
      </w:pPr>
    </w:p>
    <w:p w14:paraId="4BF61539">
      <w:pPr>
        <w:pStyle w:val="4"/>
        <w:spacing w:before="70" w:line="234" w:lineRule="auto"/>
        <w:ind w:left="427"/>
        <w:outlineLvl w:val="1"/>
        <w:rPr>
          <w:sz w:val="24"/>
          <w:szCs w:val="24"/>
        </w:rPr>
      </w:pPr>
      <w:r>
        <w:rPr>
          <w:color w:val="174174"/>
          <w:spacing w:val="-10"/>
          <w:sz w:val="24"/>
          <w:szCs w:val="24"/>
        </w:rPr>
        <w:t>Headline Forecasts (Argentina 2023-2029)</w:t>
      </w:r>
    </w:p>
    <w:p w14:paraId="3EC8DCC8">
      <w:pPr>
        <w:spacing w:line="42"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510"/>
        <w:gridCol w:w="712"/>
        <w:gridCol w:w="776"/>
        <w:gridCol w:w="733"/>
        <w:gridCol w:w="868"/>
        <w:gridCol w:w="868"/>
        <w:gridCol w:w="869"/>
        <w:gridCol w:w="868"/>
      </w:tblGrid>
      <w:tr w14:paraId="6195CE9F">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4510" w:type="dxa"/>
            <w:tcBorders>
              <w:left w:val="nil"/>
            </w:tcBorders>
            <w:vAlign w:val="top"/>
          </w:tcPr>
          <w:p w14:paraId="3BA02B2A">
            <w:pPr>
              <w:pStyle w:val="8"/>
              <w:spacing w:before="75" w:line="243" w:lineRule="exact"/>
              <w:ind w:left="13"/>
            </w:pPr>
            <w:r>
              <w:rPr>
                <w:b/>
                <w:bCs/>
                <w:color w:val="5F6A72"/>
                <w:spacing w:val="-6"/>
                <w:position w:val="1"/>
              </w:rPr>
              <w:t>Indicator</w:t>
            </w:r>
          </w:p>
        </w:tc>
        <w:tc>
          <w:tcPr>
            <w:tcW w:w="712" w:type="dxa"/>
            <w:tcBorders>
              <w:right w:val="nil"/>
            </w:tcBorders>
            <w:vAlign w:val="top"/>
          </w:tcPr>
          <w:p w14:paraId="434D881E">
            <w:pPr>
              <w:pStyle w:val="8"/>
              <w:spacing w:before="75" w:line="243" w:lineRule="exact"/>
              <w:ind w:left="250"/>
            </w:pPr>
            <w:r>
              <w:rPr>
                <w:b/>
                <w:bCs/>
                <w:color w:val="5F6A72"/>
                <w:spacing w:val="-4"/>
                <w:position w:val="1"/>
              </w:rPr>
              <w:t>2023</w:t>
            </w:r>
          </w:p>
        </w:tc>
        <w:tc>
          <w:tcPr>
            <w:tcW w:w="776" w:type="dxa"/>
            <w:tcBorders>
              <w:left w:val="nil"/>
              <w:right w:val="nil"/>
            </w:tcBorders>
            <w:vAlign w:val="top"/>
          </w:tcPr>
          <w:p w14:paraId="3F519CB3">
            <w:pPr>
              <w:pStyle w:val="8"/>
              <w:spacing w:before="75" w:line="243" w:lineRule="exact"/>
              <w:ind w:left="224"/>
            </w:pPr>
            <w:r>
              <w:rPr>
                <w:b/>
                <w:bCs/>
                <w:color w:val="5F6A72"/>
                <w:spacing w:val="-4"/>
                <w:position w:val="1"/>
              </w:rPr>
              <w:t>2024e</w:t>
            </w:r>
          </w:p>
        </w:tc>
        <w:tc>
          <w:tcPr>
            <w:tcW w:w="733" w:type="dxa"/>
            <w:tcBorders>
              <w:left w:val="nil"/>
              <w:right w:val="nil"/>
            </w:tcBorders>
            <w:vAlign w:val="top"/>
          </w:tcPr>
          <w:p w14:paraId="2283E734">
            <w:pPr>
              <w:pStyle w:val="8"/>
              <w:spacing w:before="75" w:line="243" w:lineRule="exact"/>
              <w:ind w:left="216"/>
            </w:pPr>
            <w:r>
              <w:rPr>
                <w:b/>
                <w:bCs/>
                <w:color w:val="5F6A72"/>
                <w:spacing w:val="-1"/>
                <w:position w:val="1"/>
              </w:rPr>
              <w:t>2025f</w:t>
            </w:r>
          </w:p>
        </w:tc>
        <w:tc>
          <w:tcPr>
            <w:tcW w:w="868" w:type="dxa"/>
            <w:tcBorders>
              <w:left w:val="nil"/>
              <w:right w:val="nil"/>
            </w:tcBorders>
            <w:vAlign w:val="top"/>
          </w:tcPr>
          <w:p w14:paraId="57072391">
            <w:pPr>
              <w:pStyle w:val="8"/>
              <w:spacing w:before="75" w:line="243" w:lineRule="exact"/>
              <w:ind w:left="351"/>
            </w:pPr>
            <w:r>
              <w:rPr>
                <w:b/>
                <w:bCs/>
                <w:color w:val="5F6A72"/>
                <w:spacing w:val="-1"/>
                <w:position w:val="1"/>
              </w:rPr>
              <w:t>2026f</w:t>
            </w:r>
          </w:p>
        </w:tc>
        <w:tc>
          <w:tcPr>
            <w:tcW w:w="868" w:type="dxa"/>
            <w:tcBorders>
              <w:left w:val="nil"/>
              <w:right w:val="nil"/>
            </w:tcBorders>
            <w:vAlign w:val="top"/>
          </w:tcPr>
          <w:p w14:paraId="015F6D33">
            <w:pPr>
              <w:pStyle w:val="8"/>
              <w:spacing w:before="75" w:line="243" w:lineRule="exact"/>
              <w:ind w:left="352"/>
            </w:pPr>
            <w:r>
              <w:rPr>
                <w:b/>
                <w:bCs/>
                <w:color w:val="5F6A72"/>
                <w:spacing w:val="-1"/>
                <w:position w:val="1"/>
              </w:rPr>
              <w:t>2027f</w:t>
            </w:r>
          </w:p>
        </w:tc>
        <w:tc>
          <w:tcPr>
            <w:tcW w:w="869" w:type="dxa"/>
            <w:tcBorders>
              <w:left w:val="nil"/>
              <w:right w:val="nil"/>
            </w:tcBorders>
            <w:vAlign w:val="top"/>
          </w:tcPr>
          <w:p w14:paraId="08DB950B">
            <w:pPr>
              <w:pStyle w:val="8"/>
              <w:spacing w:before="75" w:line="243" w:lineRule="exact"/>
              <w:ind w:left="352"/>
            </w:pPr>
            <w:r>
              <w:rPr>
                <w:b/>
                <w:bCs/>
                <w:color w:val="5F6A72"/>
                <w:spacing w:val="-1"/>
                <w:position w:val="1"/>
              </w:rPr>
              <w:t>2028f</w:t>
            </w:r>
          </w:p>
        </w:tc>
        <w:tc>
          <w:tcPr>
            <w:tcW w:w="868" w:type="dxa"/>
            <w:tcBorders>
              <w:left w:val="nil"/>
              <w:right w:val="nil"/>
            </w:tcBorders>
            <w:vAlign w:val="top"/>
          </w:tcPr>
          <w:p w14:paraId="61772C2A">
            <w:pPr>
              <w:pStyle w:val="8"/>
              <w:spacing w:before="75" w:line="243" w:lineRule="exact"/>
              <w:ind w:left="352"/>
            </w:pPr>
            <w:r>
              <w:rPr>
                <w:b/>
                <w:bCs/>
                <w:color w:val="5F6A72"/>
                <w:spacing w:val="-1"/>
                <w:position w:val="1"/>
              </w:rPr>
              <w:t>2029f</w:t>
            </w:r>
          </w:p>
        </w:tc>
      </w:tr>
      <w:tr w14:paraId="4A060853">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510" w:type="dxa"/>
            <w:tcBorders>
              <w:left w:val="nil"/>
            </w:tcBorders>
            <w:vAlign w:val="top"/>
          </w:tcPr>
          <w:p w14:paraId="57EED791">
            <w:pPr>
              <w:pStyle w:val="8"/>
              <w:spacing w:before="71" w:line="236" w:lineRule="auto"/>
              <w:ind w:left="12"/>
            </w:pPr>
            <w:r>
              <w:rPr>
                <w:color w:val="2A8ABF"/>
                <w:spacing w:val="-7"/>
              </w:rPr>
              <w:t>Crude, NGPL &amp; other liquids p</w:t>
            </w:r>
            <w:r>
              <w:rPr>
                <w:color w:val="2A8ABF"/>
                <w:spacing w:val="-8"/>
              </w:rPr>
              <w:t>rod,</w:t>
            </w:r>
            <w:r>
              <w:rPr>
                <w:color w:val="2A8ABF"/>
                <w:spacing w:val="-12"/>
              </w:rPr>
              <w:t xml:space="preserve"> </w:t>
            </w:r>
            <w:r>
              <w:rPr>
                <w:color w:val="2A8ABF"/>
                <w:spacing w:val="-8"/>
              </w:rPr>
              <w:t>000b/d</w:t>
            </w:r>
          </w:p>
        </w:tc>
        <w:tc>
          <w:tcPr>
            <w:tcW w:w="712" w:type="dxa"/>
            <w:tcBorders>
              <w:right w:val="nil"/>
            </w:tcBorders>
            <w:vAlign w:val="top"/>
          </w:tcPr>
          <w:p w14:paraId="07286A40">
            <w:pPr>
              <w:pStyle w:val="8"/>
              <w:spacing w:before="71" w:line="237" w:lineRule="exact"/>
              <w:ind w:left="221"/>
            </w:pPr>
            <w:r>
              <w:rPr>
                <w:color w:val="5F6A72"/>
                <w:spacing w:val="-6"/>
                <w:position w:val="1"/>
              </w:rPr>
              <w:t>806.7</w:t>
            </w:r>
          </w:p>
        </w:tc>
        <w:tc>
          <w:tcPr>
            <w:tcW w:w="776" w:type="dxa"/>
            <w:tcBorders>
              <w:left w:val="nil"/>
              <w:right w:val="nil"/>
            </w:tcBorders>
            <w:vAlign w:val="top"/>
          </w:tcPr>
          <w:p w14:paraId="7627B893">
            <w:pPr>
              <w:pStyle w:val="8"/>
              <w:spacing w:before="71" w:line="237" w:lineRule="exact"/>
              <w:ind w:left="290"/>
            </w:pPr>
            <w:r>
              <w:rPr>
                <w:color w:val="5F6A72"/>
                <w:spacing w:val="-6"/>
                <w:position w:val="1"/>
              </w:rPr>
              <w:t>879.1</w:t>
            </w:r>
          </w:p>
        </w:tc>
        <w:tc>
          <w:tcPr>
            <w:tcW w:w="733" w:type="dxa"/>
            <w:tcBorders>
              <w:left w:val="nil"/>
              <w:right w:val="nil"/>
            </w:tcBorders>
            <w:vAlign w:val="top"/>
          </w:tcPr>
          <w:p w14:paraId="1EC9DBAF">
            <w:pPr>
              <w:pStyle w:val="8"/>
              <w:spacing w:before="71" w:line="237" w:lineRule="exact"/>
              <w:ind w:left="247"/>
            </w:pPr>
            <w:r>
              <w:rPr>
                <w:color w:val="5F6A72"/>
                <w:spacing w:val="-6"/>
                <w:position w:val="1"/>
              </w:rPr>
              <w:t>986.7</w:t>
            </w:r>
          </w:p>
        </w:tc>
        <w:tc>
          <w:tcPr>
            <w:tcW w:w="868" w:type="dxa"/>
            <w:tcBorders>
              <w:left w:val="nil"/>
              <w:right w:val="nil"/>
            </w:tcBorders>
            <w:vAlign w:val="top"/>
          </w:tcPr>
          <w:p w14:paraId="38C9E50D">
            <w:pPr>
              <w:pStyle w:val="8"/>
              <w:spacing w:before="71" w:line="214" w:lineRule="exact"/>
              <w:ind w:left="252"/>
            </w:pPr>
            <w:r>
              <w:rPr>
                <w:color w:val="5F6A72"/>
                <w:spacing w:val="-8"/>
                <w:position w:val="1"/>
              </w:rPr>
              <w:t>1,012.8</w:t>
            </w:r>
          </w:p>
        </w:tc>
        <w:tc>
          <w:tcPr>
            <w:tcW w:w="868" w:type="dxa"/>
            <w:tcBorders>
              <w:left w:val="nil"/>
              <w:right w:val="nil"/>
            </w:tcBorders>
            <w:vAlign w:val="top"/>
          </w:tcPr>
          <w:p w14:paraId="5A1CC2AC">
            <w:pPr>
              <w:pStyle w:val="8"/>
              <w:spacing w:before="71" w:line="214" w:lineRule="exact"/>
              <w:ind w:left="252"/>
            </w:pPr>
            <w:r>
              <w:rPr>
                <w:color w:val="5F6A72"/>
                <w:spacing w:val="-8"/>
                <w:position w:val="1"/>
              </w:rPr>
              <w:t>1,039.7</w:t>
            </w:r>
          </w:p>
        </w:tc>
        <w:tc>
          <w:tcPr>
            <w:tcW w:w="869" w:type="dxa"/>
            <w:tcBorders>
              <w:left w:val="nil"/>
              <w:right w:val="nil"/>
            </w:tcBorders>
            <w:vAlign w:val="top"/>
          </w:tcPr>
          <w:p w14:paraId="580294B4">
            <w:pPr>
              <w:pStyle w:val="8"/>
              <w:spacing w:before="71" w:line="214" w:lineRule="exact"/>
              <w:ind w:left="253"/>
            </w:pPr>
            <w:r>
              <w:rPr>
                <w:color w:val="5F6A72"/>
                <w:spacing w:val="-8"/>
                <w:position w:val="1"/>
              </w:rPr>
              <w:t>1,058.7</w:t>
            </w:r>
          </w:p>
        </w:tc>
        <w:tc>
          <w:tcPr>
            <w:tcW w:w="868" w:type="dxa"/>
            <w:tcBorders>
              <w:left w:val="nil"/>
              <w:right w:val="nil"/>
            </w:tcBorders>
            <w:vAlign w:val="top"/>
          </w:tcPr>
          <w:p w14:paraId="2CCD0AFF">
            <w:pPr>
              <w:pStyle w:val="8"/>
              <w:spacing w:before="71" w:line="214" w:lineRule="exact"/>
              <w:ind w:left="252"/>
            </w:pPr>
            <w:r>
              <w:rPr>
                <w:color w:val="5F6A72"/>
                <w:spacing w:val="-8"/>
                <w:position w:val="1"/>
              </w:rPr>
              <w:t>1,078.1</w:t>
            </w:r>
          </w:p>
        </w:tc>
      </w:tr>
      <w:tr w14:paraId="457EBF57">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39" w:hRule="atLeast"/>
        </w:trPr>
        <w:tc>
          <w:tcPr>
            <w:tcW w:w="4510" w:type="dxa"/>
            <w:tcBorders>
              <w:left w:val="nil"/>
            </w:tcBorders>
            <w:shd w:val="clear" w:color="auto" w:fill="EAF9FF"/>
            <w:vAlign w:val="top"/>
          </w:tcPr>
          <w:p w14:paraId="44057662">
            <w:pPr>
              <w:pStyle w:val="8"/>
              <w:spacing w:before="72" w:line="236" w:lineRule="auto"/>
              <w:ind w:left="18"/>
            </w:pPr>
            <w:r>
              <w:rPr>
                <w:color w:val="2A8ABF"/>
                <w:spacing w:val="-5"/>
              </w:rPr>
              <w:t>Refined products production,</w:t>
            </w:r>
            <w:r>
              <w:rPr>
                <w:color w:val="2A8ABF"/>
                <w:spacing w:val="-1"/>
              </w:rPr>
              <w:t xml:space="preserve"> </w:t>
            </w:r>
            <w:r>
              <w:rPr>
                <w:color w:val="2A8ABF"/>
                <w:spacing w:val="-5"/>
              </w:rPr>
              <w:t>000b/d</w:t>
            </w:r>
          </w:p>
        </w:tc>
        <w:tc>
          <w:tcPr>
            <w:tcW w:w="712" w:type="dxa"/>
            <w:tcBorders>
              <w:right w:val="nil"/>
            </w:tcBorders>
            <w:shd w:val="clear" w:color="auto" w:fill="EAF9FF"/>
            <w:vAlign w:val="top"/>
          </w:tcPr>
          <w:p w14:paraId="577BE2AB">
            <w:pPr>
              <w:pStyle w:val="8"/>
              <w:spacing w:before="72" w:line="237" w:lineRule="exact"/>
              <w:ind w:left="222"/>
            </w:pPr>
            <w:r>
              <w:rPr>
                <w:color w:val="5F6A72"/>
                <w:spacing w:val="-6"/>
                <w:position w:val="1"/>
              </w:rPr>
              <w:t>519.0</w:t>
            </w:r>
          </w:p>
        </w:tc>
        <w:tc>
          <w:tcPr>
            <w:tcW w:w="776" w:type="dxa"/>
            <w:tcBorders>
              <w:left w:val="nil"/>
              <w:right w:val="nil"/>
            </w:tcBorders>
            <w:shd w:val="clear" w:color="auto" w:fill="EAF9FF"/>
            <w:vAlign w:val="top"/>
          </w:tcPr>
          <w:p w14:paraId="1330474C">
            <w:pPr>
              <w:pStyle w:val="8"/>
              <w:spacing w:before="72" w:line="237" w:lineRule="exact"/>
              <w:ind w:left="290"/>
            </w:pPr>
            <w:r>
              <w:rPr>
                <w:color w:val="5F6A72"/>
                <w:spacing w:val="-6"/>
                <w:position w:val="1"/>
              </w:rPr>
              <w:t>526.8</w:t>
            </w:r>
          </w:p>
        </w:tc>
        <w:tc>
          <w:tcPr>
            <w:tcW w:w="733" w:type="dxa"/>
            <w:tcBorders>
              <w:left w:val="nil"/>
              <w:right w:val="nil"/>
            </w:tcBorders>
            <w:shd w:val="clear" w:color="auto" w:fill="EAF9FF"/>
            <w:vAlign w:val="top"/>
          </w:tcPr>
          <w:p w14:paraId="676D7B72">
            <w:pPr>
              <w:pStyle w:val="8"/>
              <w:spacing w:before="72" w:line="237" w:lineRule="exact"/>
              <w:ind w:left="248"/>
            </w:pPr>
            <w:r>
              <w:rPr>
                <w:color w:val="5F6A72"/>
                <w:spacing w:val="-6"/>
                <w:position w:val="1"/>
              </w:rPr>
              <w:t>529.4</w:t>
            </w:r>
          </w:p>
        </w:tc>
        <w:tc>
          <w:tcPr>
            <w:tcW w:w="868" w:type="dxa"/>
            <w:tcBorders>
              <w:left w:val="nil"/>
              <w:right w:val="nil"/>
            </w:tcBorders>
            <w:shd w:val="clear" w:color="auto" w:fill="EAF9FF"/>
            <w:vAlign w:val="top"/>
          </w:tcPr>
          <w:p w14:paraId="6FDC24AC">
            <w:pPr>
              <w:pStyle w:val="8"/>
              <w:spacing w:before="72" w:line="237" w:lineRule="exact"/>
              <w:ind w:left="383"/>
            </w:pPr>
            <w:r>
              <w:rPr>
                <w:color w:val="5F6A72"/>
                <w:spacing w:val="-6"/>
                <w:position w:val="1"/>
              </w:rPr>
              <w:t>534.7</w:t>
            </w:r>
          </w:p>
        </w:tc>
        <w:tc>
          <w:tcPr>
            <w:tcW w:w="868" w:type="dxa"/>
            <w:tcBorders>
              <w:left w:val="nil"/>
              <w:right w:val="nil"/>
            </w:tcBorders>
            <w:shd w:val="clear" w:color="auto" w:fill="EAF9FF"/>
            <w:vAlign w:val="top"/>
          </w:tcPr>
          <w:p w14:paraId="45DF0852">
            <w:pPr>
              <w:pStyle w:val="8"/>
              <w:spacing w:before="72" w:line="237" w:lineRule="exact"/>
              <w:ind w:left="383"/>
            </w:pPr>
            <w:r>
              <w:rPr>
                <w:color w:val="5F6A72"/>
                <w:spacing w:val="-6"/>
                <w:position w:val="1"/>
              </w:rPr>
              <w:t>540.1</w:t>
            </w:r>
          </w:p>
        </w:tc>
        <w:tc>
          <w:tcPr>
            <w:tcW w:w="869" w:type="dxa"/>
            <w:tcBorders>
              <w:left w:val="nil"/>
              <w:right w:val="nil"/>
            </w:tcBorders>
            <w:shd w:val="clear" w:color="auto" w:fill="EAF9FF"/>
            <w:vAlign w:val="top"/>
          </w:tcPr>
          <w:p w14:paraId="430520F2">
            <w:pPr>
              <w:pStyle w:val="8"/>
              <w:spacing w:before="72" w:line="237" w:lineRule="exact"/>
              <w:ind w:left="384"/>
            </w:pPr>
            <w:r>
              <w:rPr>
                <w:color w:val="5F6A72"/>
                <w:spacing w:val="-6"/>
                <w:position w:val="1"/>
              </w:rPr>
              <w:t>545.5</w:t>
            </w:r>
          </w:p>
        </w:tc>
        <w:tc>
          <w:tcPr>
            <w:tcW w:w="868" w:type="dxa"/>
            <w:tcBorders>
              <w:left w:val="nil"/>
              <w:right w:val="nil"/>
            </w:tcBorders>
            <w:shd w:val="clear" w:color="auto" w:fill="EAF9FF"/>
            <w:vAlign w:val="top"/>
          </w:tcPr>
          <w:p w14:paraId="64B10A54">
            <w:pPr>
              <w:pStyle w:val="8"/>
              <w:spacing w:before="72" w:line="237" w:lineRule="exact"/>
              <w:ind w:left="383"/>
            </w:pPr>
            <w:r>
              <w:rPr>
                <w:color w:val="5F6A72"/>
                <w:spacing w:val="-6"/>
                <w:position w:val="1"/>
              </w:rPr>
              <w:t>550.9</w:t>
            </w:r>
          </w:p>
        </w:tc>
      </w:tr>
      <w:tr w14:paraId="77F9B981">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510" w:type="dxa"/>
            <w:tcBorders>
              <w:left w:val="nil"/>
            </w:tcBorders>
            <w:vAlign w:val="top"/>
          </w:tcPr>
          <w:p w14:paraId="65CDE152">
            <w:pPr>
              <w:pStyle w:val="8"/>
              <w:spacing w:before="74" w:line="236" w:lineRule="auto"/>
              <w:ind w:left="18"/>
            </w:pPr>
            <w:r>
              <w:rPr>
                <w:color w:val="2A8ABF"/>
                <w:spacing w:val="-5"/>
              </w:rPr>
              <w:t>Refined products consumption &amp;</w:t>
            </w:r>
            <w:r>
              <w:rPr>
                <w:color w:val="2A8ABF"/>
                <w:spacing w:val="-9"/>
              </w:rPr>
              <w:t xml:space="preserve"> </w:t>
            </w:r>
            <w:r>
              <w:rPr>
                <w:color w:val="2A8ABF"/>
                <w:spacing w:val="-5"/>
              </w:rPr>
              <w:t>ethanol,</w:t>
            </w:r>
            <w:r>
              <w:rPr>
                <w:color w:val="2A8ABF"/>
                <w:spacing w:val="-12"/>
              </w:rPr>
              <w:t xml:space="preserve"> </w:t>
            </w:r>
            <w:r>
              <w:rPr>
                <w:color w:val="2A8ABF"/>
                <w:spacing w:val="-5"/>
              </w:rPr>
              <w:t>00</w:t>
            </w:r>
            <w:r>
              <w:rPr>
                <w:color w:val="2A8ABF"/>
                <w:spacing w:val="-6"/>
              </w:rPr>
              <w:t>0b/d</w:t>
            </w:r>
          </w:p>
        </w:tc>
        <w:tc>
          <w:tcPr>
            <w:tcW w:w="712" w:type="dxa"/>
            <w:tcBorders>
              <w:right w:val="nil"/>
            </w:tcBorders>
            <w:vAlign w:val="top"/>
          </w:tcPr>
          <w:p w14:paraId="4CC93B85">
            <w:pPr>
              <w:pStyle w:val="8"/>
              <w:spacing w:before="74" w:line="237" w:lineRule="exact"/>
              <w:ind w:left="217"/>
            </w:pPr>
            <w:r>
              <w:rPr>
                <w:color w:val="5F6A72"/>
                <w:spacing w:val="-6"/>
                <w:position w:val="1"/>
              </w:rPr>
              <w:t>782.7</w:t>
            </w:r>
          </w:p>
        </w:tc>
        <w:tc>
          <w:tcPr>
            <w:tcW w:w="776" w:type="dxa"/>
            <w:tcBorders>
              <w:left w:val="nil"/>
              <w:right w:val="nil"/>
            </w:tcBorders>
            <w:vAlign w:val="top"/>
          </w:tcPr>
          <w:p w14:paraId="7A2C831D">
            <w:pPr>
              <w:pStyle w:val="8"/>
              <w:spacing w:before="74" w:line="237" w:lineRule="exact"/>
              <w:ind w:left="286"/>
            </w:pPr>
            <w:r>
              <w:rPr>
                <w:color w:val="5F6A72"/>
                <w:spacing w:val="-6"/>
                <w:position w:val="1"/>
              </w:rPr>
              <w:t>757.8</w:t>
            </w:r>
          </w:p>
        </w:tc>
        <w:tc>
          <w:tcPr>
            <w:tcW w:w="733" w:type="dxa"/>
            <w:tcBorders>
              <w:left w:val="nil"/>
              <w:right w:val="nil"/>
            </w:tcBorders>
            <w:vAlign w:val="top"/>
          </w:tcPr>
          <w:p w14:paraId="52CFD6D0">
            <w:pPr>
              <w:pStyle w:val="8"/>
              <w:spacing w:before="74" w:line="237" w:lineRule="exact"/>
              <w:ind w:left="243"/>
            </w:pPr>
            <w:r>
              <w:rPr>
                <w:color w:val="5F6A72"/>
                <w:spacing w:val="-6"/>
                <w:position w:val="1"/>
              </w:rPr>
              <w:t>776.7</w:t>
            </w:r>
          </w:p>
        </w:tc>
        <w:tc>
          <w:tcPr>
            <w:tcW w:w="868" w:type="dxa"/>
            <w:tcBorders>
              <w:left w:val="nil"/>
              <w:right w:val="nil"/>
            </w:tcBorders>
            <w:vAlign w:val="top"/>
          </w:tcPr>
          <w:p w14:paraId="3C2245B7">
            <w:pPr>
              <w:pStyle w:val="8"/>
              <w:spacing w:before="74" w:line="237" w:lineRule="exact"/>
              <w:ind w:left="378"/>
            </w:pPr>
            <w:r>
              <w:rPr>
                <w:color w:val="5F6A72"/>
                <w:spacing w:val="-6"/>
                <w:position w:val="1"/>
              </w:rPr>
              <w:t>792.0</w:t>
            </w:r>
          </w:p>
        </w:tc>
        <w:tc>
          <w:tcPr>
            <w:tcW w:w="868" w:type="dxa"/>
            <w:tcBorders>
              <w:left w:val="nil"/>
              <w:right w:val="nil"/>
            </w:tcBorders>
            <w:vAlign w:val="top"/>
          </w:tcPr>
          <w:p w14:paraId="171B4968">
            <w:pPr>
              <w:pStyle w:val="8"/>
              <w:spacing w:before="74" w:line="237" w:lineRule="exact"/>
              <w:ind w:left="383"/>
            </w:pPr>
            <w:r>
              <w:rPr>
                <w:color w:val="5F6A72"/>
                <w:spacing w:val="-6"/>
                <w:position w:val="1"/>
              </w:rPr>
              <w:t>805.3</w:t>
            </w:r>
          </w:p>
        </w:tc>
        <w:tc>
          <w:tcPr>
            <w:tcW w:w="869" w:type="dxa"/>
            <w:tcBorders>
              <w:left w:val="nil"/>
              <w:right w:val="nil"/>
            </w:tcBorders>
            <w:vAlign w:val="top"/>
          </w:tcPr>
          <w:p w14:paraId="3A2B6BCA">
            <w:pPr>
              <w:pStyle w:val="8"/>
              <w:spacing w:before="74" w:line="237" w:lineRule="exact"/>
              <w:ind w:left="383"/>
            </w:pPr>
            <w:r>
              <w:rPr>
                <w:color w:val="5F6A72"/>
                <w:spacing w:val="-6"/>
                <w:position w:val="1"/>
              </w:rPr>
              <w:t>817.0</w:t>
            </w:r>
          </w:p>
        </w:tc>
        <w:tc>
          <w:tcPr>
            <w:tcW w:w="868" w:type="dxa"/>
            <w:tcBorders>
              <w:left w:val="nil"/>
              <w:right w:val="nil"/>
            </w:tcBorders>
            <w:vAlign w:val="top"/>
          </w:tcPr>
          <w:p w14:paraId="7F84D1F6">
            <w:pPr>
              <w:pStyle w:val="8"/>
              <w:spacing w:before="74" w:line="237" w:lineRule="exact"/>
              <w:ind w:left="383"/>
            </w:pPr>
            <w:r>
              <w:rPr>
                <w:color w:val="5F6A72"/>
                <w:spacing w:val="-6"/>
                <w:position w:val="1"/>
              </w:rPr>
              <w:t>827.2</w:t>
            </w:r>
          </w:p>
        </w:tc>
      </w:tr>
      <w:tr w14:paraId="588867B9">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39" w:hRule="atLeast"/>
        </w:trPr>
        <w:tc>
          <w:tcPr>
            <w:tcW w:w="4510" w:type="dxa"/>
            <w:tcBorders>
              <w:left w:val="nil"/>
            </w:tcBorders>
            <w:shd w:val="clear" w:color="auto" w:fill="EAF9FF"/>
            <w:vAlign w:val="top"/>
          </w:tcPr>
          <w:p w14:paraId="3F602456">
            <w:pPr>
              <w:pStyle w:val="8"/>
              <w:spacing w:before="75" w:line="234" w:lineRule="auto"/>
              <w:ind w:left="18"/>
            </w:pPr>
            <w:r>
              <w:rPr>
                <w:color w:val="2A8ABF"/>
                <w:spacing w:val="-7"/>
              </w:rPr>
              <w:t xml:space="preserve">Dry natural gas production, </w:t>
            </w:r>
            <w:r>
              <w:rPr>
                <w:color w:val="2A8ABF"/>
                <w:spacing w:val="-8"/>
              </w:rPr>
              <w:t>bcm</w:t>
            </w:r>
          </w:p>
        </w:tc>
        <w:tc>
          <w:tcPr>
            <w:tcW w:w="712" w:type="dxa"/>
            <w:tcBorders>
              <w:right w:val="nil"/>
            </w:tcBorders>
            <w:shd w:val="clear" w:color="auto" w:fill="EAF9FF"/>
            <w:vAlign w:val="top"/>
          </w:tcPr>
          <w:p w14:paraId="5D970ACF">
            <w:pPr>
              <w:pStyle w:val="8"/>
              <w:spacing w:before="75" w:line="237" w:lineRule="exact"/>
              <w:ind w:left="314"/>
            </w:pPr>
            <w:r>
              <w:rPr>
                <w:color w:val="5F6A72"/>
                <w:spacing w:val="-6"/>
                <w:position w:val="1"/>
              </w:rPr>
              <w:t>43.7</w:t>
            </w:r>
          </w:p>
        </w:tc>
        <w:tc>
          <w:tcPr>
            <w:tcW w:w="776" w:type="dxa"/>
            <w:tcBorders>
              <w:left w:val="nil"/>
              <w:right w:val="nil"/>
            </w:tcBorders>
            <w:shd w:val="clear" w:color="auto" w:fill="EAF9FF"/>
            <w:vAlign w:val="top"/>
          </w:tcPr>
          <w:p w14:paraId="43337164">
            <w:pPr>
              <w:pStyle w:val="8"/>
              <w:spacing w:before="75" w:line="238" w:lineRule="exact"/>
              <w:ind w:left="383"/>
            </w:pPr>
            <w:r>
              <w:rPr>
                <w:color w:val="5F6A72"/>
                <w:spacing w:val="-6"/>
                <w:position w:val="1"/>
              </w:rPr>
              <w:t>46.0</w:t>
            </w:r>
          </w:p>
        </w:tc>
        <w:tc>
          <w:tcPr>
            <w:tcW w:w="733" w:type="dxa"/>
            <w:tcBorders>
              <w:left w:val="nil"/>
              <w:right w:val="nil"/>
            </w:tcBorders>
            <w:shd w:val="clear" w:color="auto" w:fill="EAF9FF"/>
            <w:vAlign w:val="top"/>
          </w:tcPr>
          <w:p w14:paraId="0BDC554D">
            <w:pPr>
              <w:pStyle w:val="8"/>
              <w:spacing w:before="75" w:line="238" w:lineRule="exact"/>
              <w:ind w:left="340"/>
            </w:pPr>
            <w:r>
              <w:rPr>
                <w:color w:val="5F6A72"/>
                <w:spacing w:val="-6"/>
                <w:position w:val="1"/>
              </w:rPr>
              <w:t>49.5</w:t>
            </w:r>
          </w:p>
        </w:tc>
        <w:tc>
          <w:tcPr>
            <w:tcW w:w="868" w:type="dxa"/>
            <w:tcBorders>
              <w:left w:val="nil"/>
              <w:right w:val="nil"/>
            </w:tcBorders>
            <w:shd w:val="clear" w:color="auto" w:fill="EAF9FF"/>
            <w:vAlign w:val="top"/>
          </w:tcPr>
          <w:p w14:paraId="2043D86D">
            <w:pPr>
              <w:pStyle w:val="8"/>
              <w:spacing w:before="75" w:line="238" w:lineRule="exact"/>
              <w:ind w:left="480"/>
            </w:pPr>
            <w:r>
              <w:rPr>
                <w:color w:val="5F6A72"/>
                <w:spacing w:val="-7"/>
                <w:position w:val="1"/>
              </w:rPr>
              <w:t>50.9</w:t>
            </w:r>
          </w:p>
        </w:tc>
        <w:tc>
          <w:tcPr>
            <w:tcW w:w="868" w:type="dxa"/>
            <w:tcBorders>
              <w:left w:val="nil"/>
              <w:right w:val="nil"/>
            </w:tcBorders>
            <w:shd w:val="clear" w:color="auto" w:fill="EAF9FF"/>
            <w:vAlign w:val="top"/>
          </w:tcPr>
          <w:p w14:paraId="34FEFA69">
            <w:pPr>
              <w:pStyle w:val="8"/>
              <w:spacing w:before="75" w:line="237" w:lineRule="exact"/>
              <w:ind w:left="481"/>
            </w:pPr>
            <w:r>
              <w:rPr>
                <w:color w:val="5F6A72"/>
                <w:spacing w:val="-7"/>
                <w:position w:val="1"/>
              </w:rPr>
              <w:t>53.7</w:t>
            </w:r>
          </w:p>
        </w:tc>
        <w:tc>
          <w:tcPr>
            <w:tcW w:w="869" w:type="dxa"/>
            <w:tcBorders>
              <w:left w:val="nil"/>
              <w:right w:val="nil"/>
            </w:tcBorders>
            <w:shd w:val="clear" w:color="auto" w:fill="EAF9FF"/>
            <w:vAlign w:val="top"/>
          </w:tcPr>
          <w:p w14:paraId="6EE22FA9">
            <w:pPr>
              <w:pStyle w:val="8"/>
              <w:spacing w:before="75" w:line="238" w:lineRule="exact"/>
              <w:ind w:left="481"/>
            </w:pPr>
            <w:r>
              <w:rPr>
                <w:color w:val="5F6A72"/>
                <w:spacing w:val="-7"/>
                <w:position w:val="1"/>
              </w:rPr>
              <w:t>55.4</w:t>
            </w:r>
          </w:p>
        </w:tc>
        <w:tc>
          <w:tcPr>
            <w:tcW w:w="868" w:type="dxa"/>
            <w:tcBorders>
              <w:left w:val="nil"/>
              <w:right w:val="nil"/>
            </w:tcBorders>
            <w:shd w:val="clear" w:color="auto" w:fill="EAF9FF"/>
            <w:vAlign w:val="top"/>
          </w:tcPr>
          <w:p w14:paraId="252D4954">
            <w:pPr>
              <w:pStyle w:val="8"/>
              <w:spacing w:before="75" w:line="237" w:lineRule="exact"/>
              <w:ind w:left="481"/>
            </w:pPr>
            <w:r>
              <w:rPr>
                <w:color w:val="5F6A72"/>
                <w:spacing w:val="-7"/>
                <w:position w:val="1"/>
              </w:rPr>
              <w:t>57.3</w:t>
            </w:r>
          </w:p>
        </w:tc>
      </w:tr>
      <w:tr w14:paraId="5987D9EE">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510" w:type="dxa"/>
            <w:tcBorders>
              <w:left w:val="nil"/>
            </w:tcBorders>
            <w:vAlign w:val="top"/>
          </w:tcPr>
          <w:p w14:paraId="46A43661">
            <w:pPr>
              <w:pStyle w:val="8"/>
              <w:spacing w:before="77" w:line="234" w:lineRule="auto"/>
              <w:ind w:left="18"/>
            </w:pPr>
            <w:r>
              <w:rPr>
                <w:color w:val="2A8ABF"/>
                <w:spacing w:val="-7"/>
              </w:rPr>
              <w:t>Dry natural gas</w:t>
            </w:r>
            <w:r>
              <w:rPr>
                <w:color w:val="2A8ABF"/>
                <w:spacing w:val="-10"/>
              </w:rPr>
              <w:t xml:space="preserve"> </w:t>
            </w:r>
            <w:r>
              <w:rPr>
                <w:color w:val="2A8ABF"/>
                <w:spacing w:val="-7"/>
              </w:rPr>
              <w:t>consumption,</w:t>
            </w:r>
            <w:r>
              <w:rPr>
                <w:color w:val="2A8ABF"/>
                <w:spacing w:val="-8"/>
              </w:rPr>
              <w:t xml:space="preserve"> bcm</w:t>
            </w:r>
          </w:p>
        </w:tc>
        <w:tc>
          <w:tcPr>
            <w:tcW w:w="712" w:type="dxa"/>
            <w:tcBorders>
              <w:right w:val="nil"/>
            </w:tcBorders>
            <w:vAlign w:val="top"/>
          </w:tcPr>
          <w:p w14:paraId="35159A45">
            <w:pPr>
              <w:pStyle w:val="8"/>
              <w:spacing w:before="77" w:line="238" w:lineRule="exact"/>
              <w:ind w:left="314"/>
            </w:pPr>
            <w:r>
              <w:rPr>
                <w:color w:val="5F6A72"/>
                <w:spacing w:val="-6"/>
                <w:position w:val="1"/>
              </w:rPr>
              <w:t>46.0</w:t>
            </w:r>
          </w:p>
        </w:tc>
        <w:tc>
          <w:tcPr>
            <w:tcW w:w="776" w:type="dxa"/>
            <w:tcBorders>
              <w:left w:val="nil"/>
              <w:right w:val="nil"/>
            </w:tcBorders>
            <w:vAlign w:val="top"/>
          </w:tcPr>
          <w:p w14:paraId="3E2F2A4E">
            <w:pPr>
              <w:pStyle w:val="8"/>
              <w:spacing w:before="77" w:line="238" w:lineRule="exact"/>
              <w:ind w:left="383"/>
            </w:pPr>
            <w:r>
              <w:rPr>
                <w:color w:val="5F6A72"/>
                <w:spacing w:val="-6"/>
                <w:position w:val="1"/>
              </w:rPr>
              <w:t>46.9</w:t>
            </w:r>
          </w:p>
        </w:tc>
        <w:tc>
          <w:tcPr>
            <w:tcW w:w="733" w:type="dxa"/>
            <w:tcBorders>
              <w:left w:val="nil"/>
              <w:right w:val="nil"/>
            </w:tcBorders>
            <w:vAlign w:val="top"/>
          </w:tcPr>
          <w:p w14:paraId="7D14F72D">
            <w:pPr>
              <w:pStyle w:val="8"/>
              <w:spacing w:before="77" w:line="238" w:lineRule="exact"/>
              <w:ind w:left="340"/>
            </w:pPr>
            <w:r>
              <w:rPr>
                <w:color w:val="5F6A72"/>
                <w:spacing w:val="-6"/>
                <w:position w:val="1"/>
              </w:rPr>
              <w:t>48.1</w:t>
            </w:r>
          </w:p>
        </w:tc>
        <w:tc>
          <w:tcPr>
            <w:tcW w:w="868" w:type="dxa"/>
            <w:tcBorders>
              <w:left w:val="nil"/>
              <w:right w:val="nil"/>
            </w:tcBorders>
            <w:vAlign w:val="top"/>
          </w:tcPr>
          <w:p w14:paraId="5B88063E">
            <w:pPr>
              <w:pStyle w:val="8"/>
              <w:spacing w:before="77" w:line="238" w:lineRule="exact"/>
              <w:ind w:left="476"/>
            </w:pPr>
            <w:r>
              <w:rPr>
                <w:color w:val="5F6A72"/>
                <w:spacing w:val="-6"/>
                <w:position w:val="1"/>
              </w:rPr>
              <w:t>49.6</w:t>
            </w:r>
          </w:p>
        </w:tc>
        <w:tc>
          <w:tcPr>
            <w:tcW w:w="868" w:type="dxa"/>
            <w:tcBorders>
              <w:left w:val="nil"/>
              <w:right w:val="nil"/>
            </w:tcBorders>
            <w:vAlign w:val="top"/>
          </w:tcPr>
          <w:p w14:paraId="5F7777CD">
            <w:pPr>
              <w:pStyle w:val="8"/>
              <w:spacing w:before="77" w:line="238" w:lineRule="exact"/>
              <w:ind w:left="481"/>
            </w:pPr>
            <w:r>
              <w:rPr>
                <w:color w:val="5F6A72"/>
                <w:spacing w:val="-7"/>
                <w:position w:val="1"/>
              </w:rPr>
              <w:t>50.8</w:t>
            </w:r>
          </w:p>
        </w:tc>
        <w:tc>
          <w:tcPr>
            <w:tcW w:w="869" w:type="dxa"/>
            <w:tcBorders>
              <w:left w:val="nil"/>
              <w:right w:val="nil"/>
            </w:tcBorders>
            <w:vAlign w:val="top"/>
          </w:tcPr>
          <w:p w14:paraId="6776BD1A">
            <w:pPr>
              <w:pStyle w:val="8"/>
              <w:spacing w:before="77" w:line="238" w:lineRule="exact"/>
              <w:ind w:left="481"/>
            </w:pPr>
            <w:r>
              <w:rPr>
                <w:color w:val="5F6A72"/>
                <w:spacing w:val="-7"/>
                <w:position w:val="1"/>
              </w:rPr>
              <w:t>52.1</w:t>
            </w:r>
          </w:p>
        </w:tc>
        <w:tc>
          <w:tcPr>
            <w:tcW w:w="868" w:type="dxa"/>
            <w:tcBorders>
              <w:left w:val="nil"/>
              <w:right w:val="nil"/>
            </w:tcBorders>
            <w:vAlign w:val="top"/>
          </w:tcPr>
          <w:p w14:paraId="3F1EF56E">
            <w:pPr>
              <w:pStyle w:val="8"/>
              <w:spacing w:before="77" w:line="238" w:lineRule="exact"/>
              <w:ind w:left="481"/>
            </w:pPr>
            <w:r>
              <w:rPr>
                <w:color w:val="5F6A72"/>
                <w:spacing w:val="-7"/>
                <w:position w:val="1"/>
              </w:rPr>
              <w:t>53.4</w:t>
            </w:r>
          </w:p>
        </w:tc>
      </w:tr>
      <w:tr w14:paraId="2CBE6E3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4510" w:type="dxa"/>
            <w:tcBorders>
              <w:left w:val="nil"/>
              <w:bottom w:val="single" w:color="333333" w:sz="4" w:space="0"/>
            </w:tcBorders>
            <w:shd w:val="clear" w:color="auto" w:fill="EAF9FF"/>
            <w:vAlign w:val="top"/>
          </w:tcPr>
          <w:p w14:paraId="7519F42C">
            <w:pPr>
              <w:pStyle w:val="8"/>
              <w:spacing w:before="79" w:line="213" w:lineRule="exact"/>
              <w:ind w:left="18"/>
            </w:pPr>
            <w:r>
              <w:rPr>
                <w:color w:val="2A8ABF"/>
                <w:spacing w:val="-8"/>
                <w:position w:val="1"/>
              </w:rPr>
              <w:t>Brent, USD/bbl</w:t>
            </w:r>
          </w:p>
        </w:tc>
        <w:tc>
          <w:tcPr>
            <w:tcW w:w="712" w:type="dxa"/>
            <w:tcBorders>
              <w:bottom w:val="single" w:color="333333" w:sz="4" w:space="0"/>
              <w:right w:val="nil"/>
            </w:tcBorders>
            <w:shd w:val="clear" w:color="auto" w:fill="EAF9FF"/>
            <w:vAlign w:val="top"/>
          </w:tcPr>
          <w:p w14:paraId="628BB4E7">
            <w:pPr>
              <w:pStyle w:val="8"/>
              <w:spacing w:before="79" w:line="237" w:lineRule="exact"/>
              <w:ind w:left="221"/>
            </w:pPr>
            <w:r>
              <w:rPr>
                <w:color w:val="5F6A72"/>
                <w:spacing w:val="-6"/>
                <w:position w:val="1"/>
              </w:rPr>
              <w:t>82.18</w:t>
            </w:r>
          </w:p>
        </w:tc>
        <w:tc>
          <w:tcPr>
            <w:tcW w:w="776" w:type="dxa"/>
            <w:tcBorders>
              <w:left w:val="nil"/>
              <w:bottom w:val="single" w:color="333333" w:sz="4" w:space="0"/>
              <w:right w:val="nil"/>
            </w:tcBorders>
            <w:shd w:val="clear" w:color="auto" w:fill="EAF9FF"/>
            <w:vAlign w:val="top"/>
          </w:tcPr>
          <w:p w14:paraId="4A3B349A">
            <w:pPr>
              <w:pStyle w:val="8"/>
              <w:spacing w:before="79" w:line="237" w:lineRule="exact"/>
              <w:ind w:left="286"/>
            </w:pPr>
            <w:r>
              <w:rPr>
                <w:color w:val="5F6A72"/>
                <w:spacing w:val="-6"/>
                <w:position w:val="1"/>
              </w:rPr>
              <w:t>79.86</w:t>
            </w:r>
          </w:p>
        </w:tc>
        <w:tc>
          <w:tcPr>
            <w:tcW w:w="733" w:type="dxa"/>
            <w:tcBorders>
              <w:left w:val="nil"/>
              <w:bottom w:val="single" w:color="333333" w:sz="4" w:space="0"/>
              <w:right w:val="nil"/>
            </w:tcBorders>
            <w:shd w:val="clear" w:color="auto" w:fill="EAF9FF"/>
            <w:vAlign w:val="top"/>
          </w:tcPr>
          <w:p w14:paraId="16750266">
            <w:pPr>
              <w:pStyle w:val="8"/>
              <w:spacing w:before="79" w:line="237" w:lineRule="exact"/>
              <w:ind w:left="248"/>
            </w:pPr>
            <w:r>
              <w:rPr>
                <w:color w:val="5F6A72"/>
                <w:spacing w:val="-6"/>
                <w:position w:val="1"/>
              </w:rPr>
              <w:t>68.00</w:t>
            </w:r>
          </w:p>
        </w:tc>
        <w:tc>
          <w:tcPr>
            <w:tcW w:w="868" w:type="dxa"/>
            <w:tcBorders>
              <w:left w:val="nil"/>
              <w:bottom w:val="single" w:color="333333" w:sz="4" w:space="0"/>
              <w:right w:val="nil"/>
            </w:tcBorders>
            <w:shd w:val="clear" w:color="auto" w:fill="EAF9FF"/>
            <w:vAlign w:val="top"/>
          </w:tcPr>
          <w:p w14:paraId="37E39CE0">
            <w:pPr>
              <w:pStyle w:val="8"/>
              <w:spacing w:before="79" w:line="237" w:lineRule="exact"/>
              <w:ind w:left="378"/>
            </w:pPr>
            <w:r>
              <w:rPr>
                <w:color w:val="5F6A72"/>
                <w:spacing w:val="-6"/>
                <w:position w:val="1"/>
              </w:rPr>
              <w:t>71.00</w:t>
            </w:r>
          </w:p>
        </w:tc>
        <w:tc>
          <w:tcPr>
            <w:tcW w:w="868" w:type="dxa"/>
            <w:tcBorders>
              <w:left w:val="nil"/>
              <w:bottom w:val="single" w:color="333333" w:sz="4" w:space="0"/>
              <w:right w:val="nil"/>
            </w:tcBorders>
            <w:shd w:val="clear" w:color="auto" w:fill="EAF9FF"/>
            <w:vAlign w:val="top"/>
          </w:tcPr>
          <w:p w14:paraId="3CE20C05">
            <w:pPr>
              <w:pStyle w:val="8"/>
              <w:spacing w:before="79" w:line="237" w:lineRule="exact"/>
              <w:ind w:left="379"/>
            </w:pPr>
            <w:r>
              <w:rPr>
                <w:color w:val="5F6A72"/>
                <w:spacing w:val="-6"/>
                <w:position w:val="1"/>
              </w:rPr>
              <w:t>70.00</w:t>
            </w:r>
          </w:p>
        </w:tc>
        <w:tc>
          <w:tcPr>
            <w:tcW w:w="869" w:type="dxa"/>
            <w:tcBorders>
              <w:left w:val="nil"/>
              <w:bottom w:val="single" w:color="333333" w:sz="4" w:space="0"/>
              <w:right w:val="nil"/>
            </w:tcBorders>
            <w:shd w:val="clear" w:color="auto" w:fill="EAF9FF"/>
            <w:vAlign w:val="top"/>
          </w:tcPr>
          <w:p w14:paraId="56E6ED31">
            <w:pPr>
              <w:pStyle w:val="8"/>
              <w:spacing w:before="79" w:line="237" w:lineRule="exact"/>
              <w:ind w:left="379"/>
            </w:pPr>
            <w:r>
              <w:rPr>
                <w:color w:val="5F6A72"/>
                <w:spacing w:val="-6"/>
                <w:position w:val="1"/>
              </w:rPr>
              <w:t>70.00</w:t>
            </w:r>
          </w:p>
        </w:tc>
        <w:tc>
          <w:tcPr>
            <w:tcW w:w="868" w:type="dxa"/>
            <w:tcBorders>
              <w:left w:val="nil"/>
              <w:bottom w:val="single" w:color="333333" w:sz="4" w:space="0"/>
              <w:right w:val="nil"/>
            </w:tcBorders>
            <w:shd w:val="clear" w:color="auto" w:fill="EAF9FF"/>
            <w:vAlign w:val="top"/>
          </w:tcPr>
          <w:p w14:paraId="11113023">
            <w:pPr>
              <w:pStyle w:val="8"/>
              <w:spacing w:before="79" w:line="237" w:lineRule="exact"/>
              <w:ind w:left="379"/>
            </w:pPr>
            <w:r>
              <w:rPr>
                <w:color w:val="5F6A72"/>
                <w:spacing w:val="-6"/>
                <w:position w:val="1"/>
              </w:rPr>
              <w:t>70.00</w:t>
            </w:r>
          </w:p>
        </w:tc>
      </w:tr>
    </w:tbl>
    <w:p w14:paraId="68070EEA">
      <w:pPr>
        <w:pStyle w:val="4"/>
        <w:spacing w:line="175" w:lineRule="exact"/>
        <w:ind w:left="373"/>
        <w:rPr>
          <w:sz w:val="15"/>
          <w:szCs w:val="15"/>
        </w:rPr>
      </w:pP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49E505E8">
      <w:pPr>
        <w:pStyle w:val="4"/>
        <w:spacing w:line="308" w:lineRule="auto"/>
      </w:pPr>
    </w:p>
    <w:p w14:paraId="56BBA733">
      <w:pPr>
        <w:pStyle w:val="4"/>
        <w:spacing w:before="58" w:line="241" w:lineRule="auto"/>
        <w:ind w:left="375"/>
        <w:rPr>
          <w:sz w:val="20"/>
          <w:szCs w:val="20"/>
        </w:rPr>
      </w:pPr>
      <w:r>
        <w:rPr>
          <w:b/>
          <w:bCs/>
          <w:color w:val="57585A"/>
          <w:spacing w:val="-8"/>
          <w:sz w:val="20"/>
          <w:szCs w:val="20"/>
        </w:rPr>
        <w:t>Latest UpdatesAnd Key Forecasts</w:t>
      </w:r>
    </w:p>
    <w:p w14:paraId="1A4335DF">
      <w:pPr>
        <w:pStyle w:val="4"/>
        <w:spacing w:line="280" w:lineRule="auto"/>
      </w:pPr>
    </w:p>
    <w:p w14:paraId="6F122FC5">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As expected, IOCs are ramping up shale exploration and production as they benef</w:t>
      </w:r>
      <w:r>
        <w:rPr>
          <w:color w:val="57585A"/>
          <w:spacing w:val="-12"/>
          <w:sz w:val="20"/>
          <w:szCs w:val="20"/>
        </w:rPr>
        <w:t>it from increased midstream capacity and</w:t>
      </w:r>
    </w:p>
    <w:p w14:paraId="4248E380">
      <w:pPr>
        <w:pStyle w:val="4"/>
        <w:spacing w:before="56" w:line="272" w:lineRule="auto"/>
        <w:ind w:left="608" w:right="407"/>
        <w:rPr>
          <w:sz w:val="20"/>
          <w:szCs w:val="20"/>
        </w:rPr>
      </w:pPr>
      <w:r>
        <w:rPr>
          <w:color w:val="57585A"/>
          <w:spacing w:val="-11"/>
          <w:sz w:val="20"/>
          <w:szCs w:val="20"/>
        </w:rPr>
        <w:t>favourable business environment, facilitated by President</w:t>
      </w:r>
      <w:r>
        <w:rPr>
          <w:color w:val="57585A"/>
          <w:spacing w:val="-23"/>
          <w:sz w:val="20"/>
          <w:szCs w:val="20"/>
        </w:rPr>
        <w:t xml:space="preserve"> </w:t>
      </w:r>
      <w:r>
        <w:rPr>
          <w:color w:val="57585A"/>
          <w:spacing w:val="-11"/>
          <w:sz w:val="20"/>
          <w:szCs w:val="20"/>
        </w:rPr>
        <w:t>Javier Milei</w:t>
      </w:r>
      <w:r>
        <w:rPr>
          <w:color w:val="57585A"/>
          <w:spacing w:val="-12"/>
          <w:sz w:val="20"/>
          <w:szCs w:val="20"/>
        </w:rPr>
        <w:t>,</w:t>
      </w:r>
      <w:r>
        <w:rPr>
          <w:color w:val="57585A"/>
          <w:spacing w:val="-15"/>
          <w:sz w:val="20"/>
          <w:szCs w:val="20"/>
        </w:rPr>
        <w:t xml:space="preserve"> </w:t>
      </w:r>
      <w:r>
        <w:rPr>
          <w:color w:val="57585A"/>
          <w:spacing w:val="-12"/>
          <w:sz w:val="20"/>
          <w:szCs w:val="20"/>
        </w:rPr>
        <w:t>who took over office in 2024. Drilling activity has</w:t>
      </w:r>
      <w:r>
        <w:rPr>
          <w:color w:val="57585A"/>
          <w:spacing w:val="-2"/>
          <w:sz w:val="20"/>
          <w:szCs w:val="20"/>
        </w:rPr>
        <w:t xml:space="preserve"> </w:t>
      </w:r>
      <w:r>
        <w:rPr>
          <w:color w:val="57585A"/>
          <w:spacing w:val="-12"/>
          <w:sz w:val="20"/>
          <w:szCs w:val="20"/>
        </w:rPr>
        <w:t>recovered</w:t>
      </w:r>
      <w:r>
        <w:rPr>
          <w:color w:val="57585A"/>
          <w:sz w:val="20"/>
          <w:szCs w:val="20"/>
        </w:rPr>
        <w:t xml:space="preserve"> </w:t>
      </w:r>
      <w:r>
        <w:rPr>
          <w:color w:val="57585A"/>
          <w:spacing w:val="-10"/>
          <w:sz w:val="20"/>
          <w:szCs w:val="20"/>
        </w:rPr>
        <w:t>from 2020 lows of rig cou</w:t>
      </w:r>
      <w:r>
        <w:rPr>
          <w:color w:val="57585A"/>
          <w:spacing w:val="-11"/>
          <w:sz w:val="20"/>
          <w:szCs w:val="20"/>
        </w:rPr>
        <w:t>nts of 22. The rig count</w:t>
      </w:r>
      <w:r>
        <w:rPr>
          <w:color w:val="57585A"/>
          <w:spacing w:val="-16"/>
          <w:sz w:val="20"/>
          <w:szCs w:val="20"/>
        </w:rPr>
        <w:t xml:space="preserve"> </w:t>
      </w:r>
      <w:r>
        <w:rPr>
          <w:color w:val="57585A"/>
          <w:spacing w:val="-11"/>
          <w:sz w:val="20"/>
          <w:szCs w:val="20"/>
        </w:rPr>
        <w:t>was at 49 rigs early 2025 (with one offshore rig, a first since 2016, although this</w:t>
      </w:r>
      <w:r>
        <w:rPr>
          <w:color w:val="57585A"/>
          <w:sz w:val="20"/>
          <w:szCs w:val="20"/>
        </w:rPr>
        <w:t xml:space="preserve"> </w:t>
      </w:r>
      <w:r>
        <w:rPr>
          <w:color w:val="57585A"/>
          <w:spacing w:val="-11"/>
          <w:sz w:val="20"/>
          <w:szCs w:val="20"/>
        </w:rPr>
        <w:t>remains significantly below the 2018 average level of</w:t>
      </w:r>
      <w:r>
        <w:rPr>
          <w:color w:val="57585A"/>
          <w:spacing w:val="-17"/>
          <w:sz w:val="20"/>
          <w:szCs w:val="20"/>
        </w:rPr>
        <w:t xml:space="preserve"> </w:t>
      </w:r>
      <w:r>
        <w:rPr>
          <w:color w:val="57585A"/>
          <w:spacing w:val="-11"/>
          <w:sz w:val="20"/>
          <w:szCs w:val="20"/>
        </w:rPr>
        <w:t>71.</w:t>
      </w:r>
    </w:p>
    <w:p w14:paraId="22882F9B">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The new</w:t>
      </w:r>
      <w:r>
        <w:rPr>
          <w:color w:val="57585A"/>
          <w:spacing w:val="-23"/>
          <w:sz w:val="20"/>
          <w:szCs w:val="20"/>
        </w:rPr>
        <w:t xml:space="preserve"> </w:t>
      </w:r>
      <w:r>
        <w:rPr>
          <w:color w:val="57585A"/>
          <w:spacing w:val="-11"/>
          <w:sz w:val="20"/>
          <w:szCs w:val="20"/>
        </w:rPr>
        <w:t>‘Incentive</w:t>
      </w:r>
      <w:r>
        <w:rPr>
          <w:color w:val="57585A"/>
          <w:spacing w:val="-12"/>
          <w:sz w:val="20"/>
          <w:szCs w:val="20"/>
        </w:rPr>
        <w:t xml:space="preserve"> Regime for Large Investments’</w:t>
      </w:r>
      <w:r>
        <w:rPr>
          <w:color w:val="57585A"/>
          <w:spacing w:val="-29"/>
          <w:sz w:val="20"/>
          <w:szCs w:val="20"/>
        </w:rPr>
        <w:t xml:space="preserve"> </w:t>
      </w:r>
      <w:r>
        <w:rPr>
          <w:color w:val="57585A"/>
          <w:spacing w:val="-12"/>
          <w:sz w:val="20"/>
          <w:szCs w:val="20"/>
        </w:rPr>
        <w:t>was approved by Congress</w:t>
      </w:r>
      <w:r>
        <w:rPr>
          <w:color w:val="57585A"/>
          <w:spacing w:val="-4"/>
          <w:sz w:val="20"/>
          <w:szCs w:val="20"/>
        </w:rPr>
        <w:t xml:space="preserve"> </w:t>
      </w:r>
      <w:r>
        <w:rPr>
          <w:color w:val="57585A"/>
          <w:spacing w:val="-12"/>
          <w:sz w:val="20"/>
          <w:szCs w:val="20"/>
        </w:rPr>
        <w:t>in</w:t>
      </w:r>
      <w:r>
        <w:rPr>
          <w:color w:val="57585A"/>
          <w:spacing w:val="-4"/>
          <w:sz w:val="20"/>
          <w:szCs w:val="20"/>
        </w:rPr>
        <w:t xml:space="preserve"> </w:t>
      </w:r>
      <w:r>
        <w:rPr>
          <w:color w:val="57585A"/>
          <w:spacing w:val="-12"/>
          <w:sz w:val="20"/>
          <w:szCs w:val="20"/>
        </w:rPr>
        <w:t>2024, and</w:t>
      </w:r>
      <w:r>
        <w:rPr>
          <w:color w:val="57585A"/>
          <w:spacing w:val="-6"/>
          <w:sz w:val="20"/>
          <w:szCs w:val="20"/>
        </w:rPr>
        <w:t xml:space="preserve"> </w:t>
      </w:r>
      <w:r>
        <w:rPr>
          <w:color w:val="57585A"/>
          <w:spacing w:val="-12"/>
          <w:sz w:val="20"/>
          <w:szCs w:val="20"/>
        </w:rPr>
        <w:t>could</w:t>
      </w:r>
      <w:r>
        <w:rPr>
          <w:color w:val="57585A"/>
          <w:spacing w:val="-4"/>
          <w:sz w:val="20"/>
          <w:szCs w:val="20"/>
        </w:rPr>
        <w:t xml:space="preserve"> </w:t>
      </w:r>
      <w:r>
        <w:rPr>
          <w:color w:val="57585A"/>
          <w:spacing w:val="-12"/>
          <w:sz w:val="20"/>
          <w:szCs w:val="20"/>
        </w:rPr>
        <w:t>increase stability and</w:t>
      </w:r>
    </w:p>
    <w:p w14:paraId="4EC480A0">
      <w:pPr>
        <w:pStyle w:val="4"/>
        <w:spacing w:before="56" w:line="277" w:lineRule="auto"/>
        <w:ind w:left="613" w:right="530" w:hanging="1"/>
        <w:rPr>
          <w:sz w:val="20"/>
          <w:szCs w:val="20"/>
        </w:rPr>
      </w:pPr>
      <w:r>
        <w:rPr>
          <w:color w:val="57585A"/>
          <w:spacing w:val="-11"/>
          <w:sz w:val="20"/>
          <w:szCs w:val="20"/>
        </w:rPr>
        <w:t>attractiveness for long-term large investments in the oil and gas sector. It</w:t>
      </w:r>
      <w:r>
        <w:rPr>
          <w:color w:val="57585A"/>
          <w:spacing w:val="-15"/>
          <w:sz w:val="20"/>
          <w:szCs w:val="20"/>
        </w:rPr>
        <w:t xml:space="preserve"> </w:t>
      </w:r>
      <w:r>
        <w:rPr>
          <w:color w:val="57585A"/>
          <w:spacing w:val="-11"/>
          <w:sz w:val="20"/>
          <w:szCs w:val="20"/>
        </w:rPr>
        <w:t>will offer 30</w:t>
      </w:r>
      <w:r>
        <w:rPr>
          <w:color w:val="57585A"/>
          <w:spacing w:val="-16"/>
          <w:sz w:val="20"/>
          <w:szCs w:val="20"/>
        </w:rPr>
        <w:t xml:space="preserve"> </w:t>
      </w:r>
      <w:r>
        <w:rPr>
          <w:color w:val="57585A"/>
          <w:spacing w:val="-11"/>
          <w:sz w:val="20"/>
          <w:szCs w:val="20"/>
        </w:rPr>
        <w:t>years of</w:t>
      </w:r>
      <w:r>
        <w:rPr>
          <w:color w:val="57585A"/>
          <w:spacing w:val="-21"/>
          <w:sz w:val="20"/>
          <w:szCs w:val="20"/>
        </w:rPr>
        <w:t xml:space="preserve"> </w:t>
      </w:r>
      <w:r>
        <w:rPr>
          <w:color w:val="57585A"/>
          <w:spacing w:val="-11"/>
          <w:sz w:val="20"/>
          <w:szCs w:val="20"/>
        </w:rPr>
        <w:t>fiscal stability, fiscal, c</w:t>
      </w:r>
      <w:r>
        <w:rPr>
          <w:color w:val="57585A"/>
          <w:spacing w:val="-12"/>
          <w:sz w:val="20"/>
          <w:szCs w:val="20"/>
        </w:rPr>
        <w:t>ustoms and</w:t>
      </w:r>
      <w:r>
        <w:rPr>
          <w:color w:val="57585A"/>
          <w:sz w:val="20"/>
          <w:szCs w:val="20"/>
        </w:rPr>
        <w:t xml:space="preserve"> </w:t>
      </w:r>
      <w:r>
        <w:rPr>
          <w:color w:val="57585A"/>
          <w:spacing w:val="-11"/>
          <w:sz w:val="20"/>
          <w:szCs w:val="20"/>
        </w:rPr>
        <w:t>exchange incentives for</w:t>
      </w:r>
      <w:r>
        <w:rPr>
          <w:color w:val="57585A"/>
          <w:spacing w:val="-12"/>
          <w:sz w:val="20"/>
          <w:szCs w:val="20"/>
        </w:rPr>
        <w:t xml:space="preserve"> large investments of over USD200mn in several sectors, of</w:t>
      </w:r>
      <w:r>
        <w:rPr>
          <w:color w:val="57585A"/>
          <w:spacing w:val="-25"/>
          <w:sz w:val="20"/>
          <w:szCs w:val="20"/>
        </w:rPr>
        <w:t xml:space="preserve"> </w:t>
      </w:r>
      <w:r>
        <w:rPr>
          <w:color w:val="57585A"/>
          <w:spacing w:val="-12"/>
          <w:sz w:val="20"/>
          <w:szCs w:val="20"/>
        </w:rPr>
        <w:t>which oil and gas. This could significantly</w:t>
      </w:r>
      <w:r>
        <w:rPr>
          <w:color w:val="57585A"/>
          <w:sz w:val="20"/>
          <w:szCs w:val="20"/>
        </w:rPr>
        <w:t xml:space="preserve">   </w:t>
      </w:r>
      <w:r>
        <w:rPr>
          <w:color w:val="57585A"/>
          <w:spacing w:val="-10"/>
          <w:sz w:val="20"/>
          <w:szCs w:val="20"/>
        </w:rPr>
        <w:t xml:space="preserve">improve the stability and attractiveness </w:t>
      </w:r>
      <w:r>
        <w:rPr>
          <w:color w:val="57585A"/>
          <w:spacing w:val="-11"/>
          <w:sz w:val="20"/>
          <w:szCs w:val="20"/>
        </w:rPr>
        <w:t>of investments in the</w:t>
      </w:r>
      <w:r>
        <w:rPr>
          <w:color w:val="57585A"/>
          <w:spacing w:val="-15"/>
          <w:sz w:val="20"/>
          <w:szCs w:val="20"/>
        </w:rPr>
        <w:t xml:space="preserve"> </w:t>
      </w:r>
      <w:r>
        <w:rPr>
          <w:color w:val="57585A"/>
          <w:spacing w:val="-11"/>
          <w:sz w:val="20"/>
          <w:szCs w:val="20"/>
        </w:rPr>
        <w:t>Argentinian oil and gas</w:t>
      </w:r>
      <w:r>
        <w:rPr>
          <w:color w:val="57585A"/>
          <w:spacing w:val="-9"/>
          <w:sz w:val="20"/>
          <w:szCs w:val="20"/>
        </w:rPr>
        <w:t xml:space="preserve"> </w:t>
      </w:r>
      <w:r>
        <w:rPr>
          <w:color w:val="57585A"/>
          <w:spacing w:val="-11"/>
          <w:sz w:val="20"/>
          <w:szCs w:val="20"/>
        </w:rPr>
        <w:t>sector, and creates</w:t>
      </w:r>
      <w:r>
        <w:rPr>
          <w:color w:val="57585A"/>
          <w:spacing w:val="-8"/>
          <w:sz w:val="20"/>
          <w:szCs w:val="20"/>
        </w:rPr>
        <w:t xml:space="preserve"> </w:t>
      </w:r>
      <w:r>
        <w:rPr>
          <w:color w:val="57585A"/>
          <w:spacing w:val="-11"/>
          <w:sz w:val="20"/>
          <w:szCs w:val="20"/>
        </w:rPr>
        <w:t>significant long-term</w:t>
      </w:r>
      <w:r>
        <w:rPr>
          <w:color w:val="57585A"/>
          <w:sz w:val="20"/>
          <w:szCs w:val="20"/>
        </w:rPr>
        <w:t xml:space="preserve"> </w:t>
      </w:r>
      <w:r>
        <w:rPr>
          <w:color w:val="57585A"/>
          <w:spacing w:val="-11"/>
          <w:sz w:val="20"/>
          <w:szCs w:val="20"/>
        </w:rPr>
        <w:t>upside risks to oil and gas production.</w:t>
      </w:r>
    </w:p>
    <w:p w14:paraId="37676394">
      <w:pPr>
        <w:pStyle w:val="4"/>
        <w:spacing w:before="58" w:line="262" w:lineRule="auto"/>
        <w:ind w:left="618" w:right="609" w:hanging="261"/>
        <w:rPr>
          <w:sz w:val="20"/>
          <w:szCs w:val="20"/>
        </w:rPr>
      </w:pPr>
      <w:r>
        <w:rPr>
          <w:color w:val="33CCFF"/>
          <w:spacing w:val="-10"/>
          <w:sz w:val="20"/>
          <w:szCs w:val="20"/>
        </w:rPr>
        <w:t xml:space="preserve">•   </w:t>
      </w:r>
      <w:r>
        <w:rPr>
          <w:color w:val="57585A"/>
          <w:spacing w:val="-10"/>
          <w:sz w:val="20"/>
          <w:szCs w:val="20"/>
        </w:rPr>
        <w:t>Oil output increased by an impr</w:t>
      </w:r>
      <w:r>
        <w:rPr>
          <w:color w:val="57585A"/>
          <w:spacing w:val="-11"/>
          <w:sz w:val="20"/>
          <w:szCs w:val="20"/>
        </w:rPr>
        <w:t>essive 11.0%</w:t>
      </w:r>
      <w:r>
        <w:rPr>
          <w:color w:val="57585A"/>
          <w:spacing w:val="-16"/>
          <w:sz w:val="20"/>
          <w:szCs w:val="20"/>
        </w:rPr>
        <w:t xml:space="preserve"> </w:t>
      </w:r>
      <w:r>
        <w:rPr>
          <w:color w:val="57585A"/>
          <w:spacing w:val="-11"/>
          <w:sz w:val="20"/>
          <w:szCs w:val="20"/>
        </w:rPr>
        <w:t>y-o-y</w:t>
      </w:r>
      <w:r>
        <w:rPr>
          <w:color w:val="57585A"/>
          <w:spacing w:val="-4"/>
          <w:sz w:val="20"/>
          <w:szCs w:val="20"/>
        </w:rPr>
        <w:t xml:space="preserve"> </w:t>
      </w:r>
      <w:r>
        <w:rPr>
          <w:color w:val="57585A"/>
          <w:spacing w:val="-11"/>
          <w:sz w:val="20"/>
          <w:szCs w:val="20"/>
        </w:rPr>
        <w:t>in 2024, to a total of</w:t>
      </w:r>
      <w:r>
        <w:rPr>
          <w:color w:val="57585A"/>
          <w:spacing w:val="-16"/>
          <w:sz w:val="20"/>
          <w:szCs w:val="20"/>
        </w:rPr>
        <w:t xml:space="preserve"> </w:t>
      </w:r>
      <w:r>
        <w:rPr>
          <w:color w:val="57585A"/>
          <w:spacing w:val="-11"/>
          <w:sz w:val="20"/>
          <w:szCs w:val="20"/>
        </w:rPr>
        <w:t>706,000b/d, the highest level since 2004. This is being</w:t>
      </w:r>
      <w:r>
        <w:rPr>
          <w:color w:val="57585A"/>
          <w:sz w:val="20"/>
          <w:szCs w:val="20"/>
        </w:rPr>
        <w:t xml:space="preserve"> </w:t>
      </w:r>
      <w:r>
        <w:rPr>
          <w:color w:val="57585A"/>
          <w:spacing w:val="-9"/>
          <w:sz w:val="20"/>
          <w:szCs w:val="20"/>
        </w:rPr>
        <w:t>led by unconventional oil growth: in 2024, unconventional</w:t>
      </w:r>
      <w:r>
        <w:rPr>
          <w:color w:val="57585A"/>
          <w:spacing w:val="-10"/>
          <w:sz w:val="20"/>
          <w:szCs w:val="20"/>
        </w:rPr>
        <w:t xml:space="preserve"> oil output surpassed conventional oil production for the first time.</w:t>
      </w:r>
    </w:p>
    <w:p w14:paraId="39BB89B3">
      <w:pPr>
        <w:pStyle w:val="4"/>
        <w:spacing w:before="58" w:line="262" w:lineRule="auto"/>
        <w:ind w:left="612" w:right="823" w:hanging="255"/>
        <w:rPr>
          <w:sz w:val="20"/>
          <w:szCs w:val="20"/>
        </w:rPr>
      </w:pPr>
      <w:r>
        <w:rPr>
          <w:color w:val="33CCFF"/>
          <w:spacing w:val="-11"/>
          <w:sz w:val="20"/>
          <w:szCs w:val="20"/>
        </w:rPr>
        <w:t xml:space="preserve">•   </w:t>
      </w:r>
      <w:r>
        <w:rPr>
          <w:color w:val="57585A"/>
          <w:spacing w:val="-11"/>
          <w:sz w:val="20"/>
          <w:szCs w:val="20"/>
        </w:rPr>
        <w:t>The Oldelval pipeline system (Oleoductos del Valle) has recently been expanded to 225,000b/d and 300,000b/d in 202</w:t>
      </w:r>
      <w:r>
        <w:rPr>
          <w:color w:val="57585A"/>
          <w:spacing w:val="-12"/>
          <w:sz w:val="20"/>
          <w:szCs w:val="20"/>
        </w:rPr>
        <w:t>3, to</w:t>
      </w:r>
      <w:r>
        <w:rPr>
          <w:color w:val="57585A"/>
          <w:sz w:val="20"/>
          <w:szCs w:val="20"/>
        </w:rPr>
        <w:t xml:space="preserve"> </w:t>
      </w:r>
      <w:r>
        <w:rPr>
          <w:color w:val="57585A"/>
          <w:spacing w:val="-10"/>
          <w:sz w:val="20"/>
          <w:szCs w:val="20"/>
        </w:rPr>
        <w:t>377,000b/d end-2024, and total capacity of 540,000b/d in 2025 (the final expansion reportedly came online in</w:t>
      </w:r>
      <w:r>
        <w:rPr>
          <w:color w:val="57585A"/>
          <w:spacing w:val="-12"/>
          <w:sz w:val="20"/>
          <w:szCs w:val="20"/>
        </w:rPr>
        <w:t xml:space="preserve"> </w:t>
      </w:r>
      <w:r>
        <w:rPr>
          <w:color w:val="57585A"/>
          <w:spacing w:val="-10"/>
          <w:sz w:val="20"/>
          <w:szCs w:val="20"/>
        </w:rPr>
        <w:t>April 2025</w:t>
      </w:r>
    </w:p>
    <w:p w14:paraId="72D1001F">
      <w:pPr>
        <w:pStyle w:val="4"/>
        <w:spacing w:before="58" w:line="231" w:lineRule="auto"/>
        <w:ind w:left="618"/>
        <w:rPr>
          <w:sz w:val="20"/>
          <w:szCs w:val="20"/>
        </w:rPr>
      </w:pPr>
      <w:r>
        <w:rPr>
          <w:color w:val="57585A"/>
          <w:spacing w:val="-10"/>
          <w:sz w:val="20"/>
          <w:szCs w:val="20"/>
        </w:rPr>
        <w:t>boosting total capacity to 540,000b/d).</w:t>
      </w:r>
      <w:r>
        <w:rPr>
          <w:color w:val="57585A"/>
          <w:spacing w:val="-15"/>
          <w:sz w:val="20"/>
          <w:szCs w:val="20"/>
        </w:rPr>
        <w:t xml:space="preserve"> </w:t>
      </w:r>
      <w:r>
        <w:rPr>
          <w:color w:val="57585A"/>
          <w:spacing w:val="-10"/>
          <w:sz w:val="20"/>
          <w:szCs w:val="20"/>
        </w:rPr>
        <w:t>The expansion</w:t>
      </w:r>
      <w:r>
        <w:rPr>
          <w:color w:val="57585A"/>
          <w:spacing w:val="-16"/>
          <w:sz w:val="20"/>
          <w:szCs w:val="20"/>
        </w:rPr>
        <w:t xml:space="preserve"> </w:t>
      </w:r>
      <w:r>
        <w:rPr>
          <w:color w:val="57585A"/>
          <w:spacing w:val="-10"/>
          <w:sz w:val="20"/>
          <w:szCs w:val="20"/>
        </w:rPr>
        <w:t>will allow significant increases in deli</w:t>
      </w:r>
      <w:r>
        <w:rPr>
          <w:color w:val="57585A"/>
          <w:spacing w:val="-11"/>
          <w:sz w:val="20"/>
          <w:szCs w:val="20"/>
        </w:rPr>
        <w:t>veries to the export</w:t>
      </w:r>
      <w:r>
        <w:rPr>
          <w:color w:val="57585A"/>
          <w:spacing w:val="-12"/>
          <w:sz w:val="20"/>
          <w:szCs w:val="20"/>
        </w:rPr>
        <w:t xml:space="preserve"> </w:t>
      </w:r>
      <w:r>
        <w:rPr>
          <w:color w:val="57585A"/>
          <w:spacing w:val="-11"/>
          <w:sz w:val="20"/>
          <w:szCs w:val="20"/>
        </w:rPr>
        <w:t>terminal</w:t>
      </w:r>
      <w:r>
        <w:rPr>
          <w:color w:val="57585A"/>
          <w:spacing w:val="-12"/>
          <w:sz w:val="20"/>
          <w:szCs w:val="20"/>
        </w:rPr>
        <w:t xml:space="preserve"> </w:t>
      </w:r>
      <w:r>
        <w:rPr>
          <w:color w:val="57585A"/>
          <w:spacing w:val="-11"/>
          <w:sz w:val="20"/>
          <w:szCs w:val="20"/>
        </w:rPr>
        <w:t>from</w:t>
      </w:r>
    </w:p>
    <w:p w14:paraId="43B8E1EC">
      <w:pPr>
        <w:pStyle w:val="4"/>
        <w:spacing w:before="59" w:line="273" w:lineRule="auto"/>
        <w:ind w:left="604" w:right="537" w:firstLine="11"/>
        <w:rPr>
          <w:sz w:val="20"/>
          <w:szCs w:val="20"/>
        </w:rPr>
      </w:pPr>
      <w:r>
        <w:rPr>
          <w:color w:val="57585A"/>
          <w:spacing w:val="-11"/>
          <w:sz w:val="20"/>
          <w:szCs w:val="20"/>
        </w:rPr>
        <w:t>2025 to 2027 and is expected to result in substantial increases in oil output in the coming quarters. We forecast anothe</w:t>
      </w:r>
      <w:r>
        <w:rPr>
          <w:color w:val="57585A"/>
          <w:spacing w:val="-12"/>
          <w:sz w:val="20"/>
          <w:szCs w:val="20"/>
        </w:rPr>
        <w:t>r 15.0%</w:t>
      </w:r>
      <w:r>
        <w:rPr>
          <w:color w:val="57585A"/>
          <w:sz w:val="20"/>
          <w:szCs w:val="20"/>
        </w:rPr>
        <w:t xml:space="preserve"> </w:t>
      </w:r>
      <w:r>
        <w:rPr>
          <w:color w:val="57585A"/>
          <w:spacing w:val="-10"/>
          <w:sz w:val="20"/>
          <w:szCs w:val="20"/>
        </w:rPr>
        <w:t>y-o-y crude oil and</w:t>
      </w:r>
      <w:r>
        <w:rPr>
          <w:color w:val="57585A"/>
          <w:spacing w:val="-11"/>
          <w:sz w:val="20"/>
          <w:szCs w:val="20"/>
        </w:rPr>
        <w:t xml:space="preserve"> condensates production gain in 2025 thanks the Oldelval pipeline expansion.</w:t>
      </w:r>
    </w:p>
    <w:p w14:paraId="557ACEA9">
      <w:pPr>
        <w:pStyle w:val="4"/>
        <w:spacing w:before="36" w:line="234" w:lineRule="auto"/>
        <w:ind w:left="357"/>
        <w:rPr>
          <w:sz w:val="20"/>
          <w:szCs w:val="20"/>
        </w:rPr>
      </w:pPr>
      <w:r>
        <w:rPr>
          <w:color w:val="33CCFF"/>
          <w:spacing w:val="-9"/>
          <w:sz w:val="20"/>
          <w:szCs w:val="20"/>
        </w:rPr>
        <w:t xml:space="preserve">•   </w:t>
      </w:r>
      <w:r>
        <w:rPr>
          <w:color w:val="57585A"/>
          <w:spacing w:val="-9"/>
          <w:sz w:val="20"/>
          <w:szCs w:val="20"/>
        </w:rPr>
        <w:t>We currently forecast oil output to reach 896,000</w:t>
      </w:r>
      <w:r>
        <w:rPr>
          <w:color w:val="57585A"/>
          <w:spacing w:val="-10"/>
          <w:sz w:val="20"/>
          <w:szCs w:val="20"/>
        </w:rPr>
        <w:t>b/d by 2029, and nearly 1.0mn b/d by 2034, although</w:t>
      </w:r>
      <w:r>
        <w:rPr>
          <w:color w:val="57585A"/>
          <w:spacing w:val="-15"/>
          <w:sz w:val="20"/>
          <w:szCs w:val="20"/>
        </w:rPr>
        <w:t xml:space="preserve"> </w:t>
      </w:r>
      <w:r>
        <w:rPr>
          <w:color w:val="57585A"/>
          <w:spacing w:val="-10"/>
          <w:sz w:val="20"/>
          <w:szCs w:val="20"/>
        </w:rPr>
        <w:t>we note that the</w:t>
      </w:r>
    </w:p>
    <w:p w14:paraId="1080DC76">
      <w:pPr>
        <w:pStyle w:val="4"/>
        <w:spacing w:before="56" w:line="262" w:lineRule="auto"/>
        <w:ind w:left="614" w:right="652"/>
        <w:rPr>
          <w:sz w:val="20"/>
          <w:szCs w:val="20"/>
        </w:rPr>
      </w:pPr>
      <w:r>
        <w:rPr>
          <w:color w:val="57585A"/>
          <w:spacing w:val="-10"/>
          <w:sz w:val="20"/>
          <w:szCs w:val="20"/>
        </w:rPr>
        <w:t>completion of</w:t>
      </w:r>
      <w:r>
        <w:rPr>
          <w:color w:val="57585A"/>
          <w:spacing w:val="-21"/>
          <w:sz w:val="20"/>
          <w:szCs w:val="20"/>
        </w:rPr>
        <w:t xml:space="preserve"> </w:t>
      </w:r>
      <w:r>
        <w:rPr>
          <w:color w:val="57585A"/>
          <w:spacing w:val="-10"/>
          <w:sz w:val="20"/>
          <w:szCs w:val="20"/>
        </w:rPr>
        <w:t>the critical Vaca Muerta South oil pipeline projec</w:t>
      </w:r>
      <w:r>
        <w:rPr>
          <w:color w:val="57585A"/>
          <w:spacing w:val="-11"/>
          <w:sz w:val="20"/>
          <w:szCs w:val="20"/>
        </w:rPr>
        <w:t>t to a new oil terminal on the coast</w:t>
      </w:r>
      <w:r>
        <w:rPr>
          <w:color w:val="57585A"/>
          <w:spacing w:val="-16"/>
          <w:sz w:val="20"/>
          <w:szCs w:val="20"/>
        </w:rPr>
        <w:t xml:space="preserve"> </w:t>
      </w:r>
      <w:r>
        <w:rPr>
          <w:color w:val="57585A"/>
          <w:spacing w:val="-11"/>
          <w:sz w:val="20"/>
          <w:szCs w:val="20"/>
        </w:rPr>
        <w:t>will be necessary to ensure</w:t>
      </w:r>
      <w:r>
        <w:rPr>
          <w:color w:val="57585A"/>
          <w:sz w:val="20"/>
          <w:szCs w:val="20"/>
        </w:rPr>
        <w:t xml:space="preserve"> </w:t>
      </w:r>
      <w:r>
        <w:rPr>
          <w:color w:val="57585A"/>
          <w:spacing w:val="-8"/>
          <w:sz w:val="20"/>
          <w:szCs w:val="20"/>
        </w:rPr>
        <w:t>continued production gains past 2027/2</w:t>
      </w:r>
      <w:r>
        <w:rPr>
          <w:color w:val="57585A"/>
          <w:spacing w:val="-9"/>
          <w:sz w:val="20"/>
          <w:szCs w:val="20"/>
        </w:rPr>
        <w:t>028.</w:t>
      </w:r>
    </w:p>
    <w:p w14:paraId="2922CCC0">
      <w:pPr>
        <w:pStyle w:val="4"/>
        <w:spacing w:before="58" w:line="272" w:lineRule="auto"/>
        <w:ind w:left="611" w:right="404" w:hanging="254"/>
        <w:rPr>
          <w:sz w:val="20"/>
          <w:szCs w:val="20"/>
        </w:rPr>
      </w:pPr>
      <w:r>
        <w:rPr>
          <w:color w:val="33CCFF"/>
          <w:spacing w:val="-11"/>
          <w:sz w:val="20"/>
          <w:szCs w:val="20"/>
        </w:rPr>
        <w:t xml:space="preserve">•   </w:t>
      </w:r>
      <w:r>
        <w:rPr>
          <w:color w:val="57585A"/>
          <w:spacing w:val="-11"/>
          <w:sz w:val="20"/>
          <w:szCs w:val="20"/>
        </w:rPr>
        <w:t>In November 2024,</w:t>
      </w:r>
      <w:r>
        <w:rPr>
          <w:color w:val="57585A"/>
          <w:sz w:val="20"/>
          <w:szCs w:val="20"/>
        </w:rPr>
        <w:t xml:space="preserve"> </w:t>
      </w:r>
      <w:r>
        <w:rPr>
          <w:color w:val="57585A"/>
          <w:spacing w:val="-11"/>
          <w:sz w:val="20"/>
          <w:szCs w:val="20"/>
        </w:rPr>
        <w:t>YPF reported</w:t>
      </w:r>
      <w:r>
        <w:rPr>
          <w:color w:val="57585A"/>
          <w:spacing w:val="-4"/>
          <w:sz w:val="20"/>
          <w:szCs w:val="20"/>
        </w:rPr>
        <w:t xml:space="preserve"> </w:t>
      </w:r>
      <w:r>
        <w:rPr>
          <w:color w:val="57585A"/>
          <w:spacing w:val="-11"/>
          <w:sz w:val="20"/>
          <w:szCs w:val="20"/>
        </w:rPr>
        <w:t>it started developing the second section of</w:t>
      </w:r>
      <w:r>
        <w:rPr>
          <w:color w:val="57585A"/>
          <w:spacing w:val="-21"/>
          <w:sz w:val="20"/>
          <w:szCs w:val="20"/>
        </w:rPr>
        <w:t xml:space="preserve"> </w:t>
      </w:r>
      <w:r>
        <w:rPr>
          <w:color w:val="57585A"/>
          <w:spacing w:val="-11"/>
          <w:sz w:val="20"/>
          <w:szCs w:val="20"/>
        </w:rPr>
        <w:t>the Vaca Muerta South oil pipeline. The pipeline</w:t>
      </w:r>
      <w:r>
        <w:rPr>
          <w:color w:val="57585A"/>
          <w:spacing w:val="-16"/>
          <w:sz w:val="20"/>
          <w:szCs w:val="20"/>
        </w:rPr>
        <w:t xml:space="preserve"> </w:t>
      </w:r>
      <w:r>
        <w:rPr>
          <w:color w:val="57585A"/>
          <w:spacing w:val="-11"/>
          <w:sz w:val="20"/>
          <w:szCs w:val="20"/>
        </w:rPr>
        <w:t>will</w:t>
      </w:r>
      <w:r>
        <w:rPr>
          <w:color w:val="57585A"/>
          <w:sz w:val="20"/>
          <w:szCs w:val="20"/>
        </w:rPr>
        <w:t xml:space="preserve"> </w:t>
      </w:r>
      <w:r>
        <w:rPr>
          <w:color w:val="57585A"/>
          <w:spacing w:val="-10"/>
          <w:sz w:val="20"/>
          <w:szCs w:val="20"/>
        </w:rPr>
        <w:t>start exports in 2026/2027</w:t>
      </w:r>
      <w:r>
        <w:rPr>
          <w:color w:val="57585A"/>
          <w:spacing w:val="-15"/>
          <w:sz w:val="20"/>
          <w:szCs w:val="20"/>
        </w:rPr>
        <w:t xml:space="preserve"> </w:t>
      </w:r>
      <w:r>
        <w:rPr>
          <w:color w:val="57585A"/>
          <w:spacing w:val="-10"/>
          <w:sz w:val="20"/>
          <w:szCs w:val="20"/>
        </w:rPr>
        <w:t xml:space="preserve">with an initial capacity </w:t>
      </w:r>
      <w:r>
        <w:rPr>
          <w:color w:val="57585A"/>
          <w:spacing w:val="-11"/>
          <w:sz w:val="20"/>
          <w:szCs w:val="20"/>
        </w:rPr>
        <w:t>of</w:t>
      </w:r>
      <w:r>
        <w:rPr>
          <w:color w:val="57585A"/>
          <w:spacing w:val="-16"/>
          <w:sz w:val="20"/>
          <w:szCs w:val="20"/>
        </w:rPr>
        <w:t xml:space="preserve"> </w:t>
      </w:r>
      <w:r>
        <w:rPr>
          <w:color w:val="57585A"/>
          <w:spacing w:val="-11"/>
          <w:sz w:val="20"/>
          <w:szCs w:val="20"/>
        </w:rPr>
        <w:t>390,000b/d, increasing to 700,000b/d by 2028. In</w:t>
      </w:r>
      <w:r>
        <w:rPr>
          <w:color w:val="57585A"/>
          <w:spacing w:val="-23"/>
          <w:sz w:val="20"/>
          <w:szCs w:val="20"/>
        </w:rPr>
        <w:t xml:space="preserve"> </w:t>
      </w:r>
      <w:r>
        <w:rPr>
          <w:color w:val="57585A"/>
          <w:spacing w:val="-11"/>
          <w:sz w:val="20"/>
          <w:szCs w:val="20"/>
        </w:rPr>
        <w:t>January 2025,</w:t>
      </w:r>
      <w:r>
        <w:rPr>
          <w:color w:val="57585A"/>
          <w:spacing w:val="-16"/>
          <w:sz w:val="20"/>
          <w:szCs w:val="20"/>
        </w:rPr>
        <w:t xml:space="preserve"> </w:t>
      </w:r>
      <w:r>
        <w:rPr>
          <w:color w:val="57585A"/>
          <w:spacing w:val="-11"/>
          <w:sz w:val="20"/>
          <w:szCs w:val="20"/>
        </w:rPr>
        <w:t>YPF also</w:t>
      </w:r>
      <w:r>
        <w:rPr>
          <w:color w:val="57585A"/>
          <w:sz w:val="20"/>
          <w:szCs w:val="20"/>
        </w:rPr>
        <w:t xml:space="preserve"> </w:t>
      </w:r>
      <w:r>
        <w:rPr>
          <w:color w:val="57585A"/>
          <w:spacing w:val="-11"/>
          <w:sz w:val="20"/>
          <w:szCs w:val="20"/>
        </w:rPr>
        <w:t>awarded an engineering and management contract related to the development of</w:t>
      </w:r>
      <w:r>
        <w:rPr>
          <w:color w:val="57585A"/>
          <w:spacing w:val="-12"/>
          <w:sz w:val="20"/>
          <w:szCs w:val="20"/>
        </w:rPr>
        <w:t xml:space="preserve"> </w:t>
      </w:r>
      <w:r>
        <w:rPr>
          <w:color w:val="57585A"/>
          <w:spacing w:val="-11"/>
          <w:sz w:val="20"/>
          <w:szCs w:val="20"/>
        </w:rPr>
        <w:t>the Vaca Muerta project, to</w:t>
      </w:r>
      <w:r>
        <w:rPr>
          <w:color w:val="57585A"/>
          <w:spacing w:val="-14"/>
          <w:sz w:val="20"/>
          <w:szCs w:val="20"/>
        </w:rPr>
        <w:t xml:space="preserve"> </w:t>
      </w:r>
      <w:r>
        <w:rPr>
          <w:color w:val="57585A"/>
          <w:spacing w:val="-11"/>
          <w:sz w:val="20"/>
          <w:szCs w:val="20"/>
        </w:rPr>
        <w:t>Técnicas</w:t>
      </w:r>
    </w:p>
    <w:p w14:paraId="3E2C877F">
      <w:pPr>
        <w:pStyle w:val="4"/>
        <w:spacing w:before="58" w:line="272" w:lineRule="auto"/>
        <w:ind w:left="608" w:right="468" w:firstLine="12"/>
        <w:rPr>
          <w:sz w:val="20"/>
          <w:szCs w:val="20"/>
        </w:rPr>
      </w:pPr>
      <w:r>
        <w:rPr>
          <w:color w:val="57585A"/>
          <w:spacing w:val="-11"/>
          <w:sz w:val="20"/>
          <w:szCs w:val="20"/>
        </w:rPr>
        <w:t>Reunidas.</w:t>
      </w:r>
      <w:r>
        <w:rPr>
          <w:color w:val="57585A"/>
          <w:spacing w:val="-15"/>
          <w:sz w:val="20"/>
          <w:szCs w:val="20"/>
        </w:rPr>
        <w:t xml:space="preserve"> </w:t>
      </w:r>
      <w:r>
        <w:rPr>
          <w:color w:val="57585A"/>
          <w:spacing w:val="-11"/>
          <w:sz w:val="20"/>
          <w:szCs w:val="20"/>
        </w:rPr>
        <w:t>The USD440mn contract is an engineering, procurement and construction management contract for</w:t>
      </w:r>
      <w:r>
        <w:rPr>
          <w:color w:val="57585A"/>
          <w:spacing w:val="-12"/>
          <w:sz w:val="20"/>
          <w:szCs w:val="20"/>
        </w:rPr>
        <w:t xml:space="preserve"> a hydrocarbon</w:t>
      </w:r>
      <w:r>
        <w:rPr>
          <w:color w:val="57585A"/>
          <w:sz w:val="20"/>
          <w:szCs w:val="20"/>
        </w:rPr>
        <w:t xml:space="preserve"> </w:t>
      </w:r>
      <w:r>
        <w:rPr>
          <w:color w:val="57585A"/>
          <w:spacing w:val="-11"/>
          <w:sz w:val="20"/>
          <w:szCs w:val="20"/>
        </w:rPr>
        <w:t>storage and dispatch terminal that</w:t>
      </w:r>
      <w:r>
        <w:rPr>
          <w:color w:val="57585A"/>
          <w:spacing w:val="-16"/>
          <w:sz w:val="20"/>
          <w:szCs w:val="20"/>
        </w:rPr>
        <w:t xml:space="preserve"> </w:t>
      </w:r>
      <w:r>
        <w:rPr>
          <w:color w:val="57585A"/>
          <w:spacing w:val="-11"/>
          <w:sz w:val="20"/>
          <w:szCs w:val="20"/>
        </w:rPr>
        <w:t>will be located in Punta Colorada, on the coast o</w:t>
      </w:r>
      <w:r>
        <w:rPr>
          <w:color w:val="57585A"/>
          <w:spacing w:val="-12"/>
          <w:sz w:val="20"/>
          <w:szCs w:val="20"/>
        </w:rPr>
        <w:t>f</w:t>
      </w:r>
      <w:r>
        <w:rPr>
          <w:color w:val="57585A"/>
          <w:spacing w:val="-21"/>
          <w:sz w:val="20"/>
          <w:szCs w:val="20"/>
        </w:rPr>
        <w:t xml:space="preserve"> </w:t>
      </w:r>
      <w:r>
        <w:rPr>
          <w:color w:val="57585A"/>
          <w:spacing w:val="-12"/>
          <w:sz w:val="20"/>
          <w:szCs w:val="20"/>
        </w:rPr>
        <w:t>the province of Río Negro. This</w:t>
      </w:r>
      <w:r>
        <w:rPr>
          <w:color w:val="57585A"/>
          <w:spacing w:val="-16"/>
          <w:sz w:val="20"/>
          <w:szCs w:val="20"/>
        </w:rPr>
        <w:t xml:space="preserve"> </w:t>
      </w:r>
      <w:r>
        <w:rPr>
          <w:color w:val="57585A"/>
          <w:spacing w:val="-12"/>
          <w:sz w:val="20"/>
          <w:szCs w:val="20"/>
        </w:rPr>
        <w:t>will become</w:t>
      </w:r>
      <w:r>
        <w:rPr>
          <w:color w:val="57585A"/>
          <w:sz w:val="20"/>
          <w:szCs w:val="20"/>
        </w:rPr>
        <w:t xml:space="preserve"> </w:t>
      </w:r>
      <w:r>
        <w:rPr>
          <w:color w:val="57585A"/>
          <w:spacing w:val="-10"/>
          <w:sz w:val="20"/>
          <w:szCs w:val="20"/>
        </w:rPr>
        <w:t>the main port for exporting crude oil from the new Vaca Mue</w:t>
      </w:r>
      <w:r>
        <w:rPr>
          <w:color w:val="57585A"/>
          <w:spacing w:val="-11"/>
          <w:sz w:val="20"/>
          <w:szCs w:val="20"/>
        </w:rPr>
        <w:t>rta South oil pipeline.</w:t>
      </w:r>
    </w:p>
    <w:p w14:paraId="607B94CD">
      <w:pPr>
        <w:spacing w:line="272" w:lineRule="auto"/>
        <w:rPr>
          <w:sz w:val="20"/>
          <w:szCs w:val="20"/>
        </w:rPr>
        <w:sectPr>
          <w:footerReference r:id="rId8" w:type="default"/>
          <w:pgSz w:w="11906" w:h="16838"/>
          <w:pgMar w:top="400" w:right="490" w:bottom="883" w:left="490" w:header="0" w:footer="0" w:gutter="0"/>
          <w:cols w:space="720" w:num="1"/>
        </w:sectPr>
      </w:pPr>
    </w:p>
    <w:p w14:paraId="1F18467E">
      <w:pPr>
        <w:pStyle w:val="4"/>
        <w:spacing w:before="73" w:line="241" w:lineRule="auto"/>
        <w:ind w:left="7372"/>
        <w:rPr>
          <w:sz w:val="20"/>
          <w:szCs w:val="20"/>
        </w:rPr>
      </w:pPr>
      <w:r>
        <w:drawing>
          <wp:anchor distT="0" distB="0" distL="0" distR="0" simplePos="0" relativeHeight="25167155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72576" behindDoc="0" locked="0" layoutInCell="0" allowOverlap="1">
            <wp:simplePos x="0" y="0"/>
            <wp:positionH relativeFrom="page">
              <wp:posOffset>311150</wp:posOffset>
            </wp:positionH>
            <wp:positionV relativeFrom="page">
              <wp:posOffset>0</wp:posOffset>
            </wp:positionV>
            <wp:extent cx="19050" cy="814070"/>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52A78FC">
      <w:pPr>
        <w:pStyle w:val="4"/>
        <w:spacing w:line="278" w:lineRule="auto"/>
      </w:pPr>
    </w:p>
    <w:p w14:paraId="281D200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4357B63">
      <w:pPr>
        <w:pStyle w:val="4"/>
        <w:spacing w:line="468" w:lineRule="auto"/>
      </w:pPr>
    </w:p>
    <w:p w14:paraId="40484448">
      <w:pPr>
        <w:pStyle w:val="4"/>
        <w:spacing w:before="58" w:line="283" w:lineRule="auto"/>
        <w:ind w:left="607" w:right="542" w:hanging="250"/>
        <w:jc w:val="right"/>
        <w:rPr>
          <w:sz w:val="20"/>
          <w:szCs w:val="20"/>
        </w:rPr>
      </w:pPr>
      <w:r>
        <w:rPr>
          <w:color w:val="33CCFF"/>
          <w:spacing w:val="-10"/>
          <w:sz w:val="20"/>
          <w:szCs w:val="20"/>
        </w:rPr>
        <w:t xml:space="preserve">•   </w:t>
      </w:r>
      <w:r>
        <w:rPr>
          <w:color w:val="57585A"/>
          <w:spacing w:val="-10"/>
          <w:sz w:val="20"/>
          <w:szCs w:val="20"/>
        </w:rPr>
        <w:t>Thanks to rising unconventional production and oil export infrastructure,</w:t>
      </w:r>
      <w:r>
        <w:rPr>
          <w:color w:val="57585A"/>
          <w:spacing w:val="-7"/>
          <w:sz w:val="20"/>
          <w:szCs w:val="20"/>
        </w:rPr>
        <w:t xml:space="preserve"> </w:t>
      </w:r>
      <w:r>
        <w:rPr>
          <w:color w:val="57585A"/>
          <w:spacing w:val="-10"/>
          <w:sz w:val="20"/>
          <w:szCs w:val="20"/>
        </w:rPr>
        <w:t>Argentina is considerably increasing its net crude oil</w:t>
      </w:r>
      <w:r>
        <w:rPr>
          <w:color w:val="57585A"/>
          <w:sz w:val="20"/>
          <w:szCs w:val="20"/>
        </w:rPr>
        <w:t xml:space="preserve"> </w:t>
      </w:r>
      <w:r>
        <w:rPr>
          <w:color w:val="57585A"/>
          <w:spacing w:val="-10"/>
          <w:sz w:val="20"/>
          <w:szCs w:val="20"/>
        </w:rPr>
        <w:t>exports. This</w:t>
      </w:r>
      <w:r>
        <w:rPr>
          <w:color w:val="57585A"/>
          <w:spacing w:val="-15"/>
          <w:sz w:val="20"/>
          <w:szCs w:val="20"/>
        </w:rPr>
        <w:t xml:space="preserve"> </w:t>
      </w:r>
      <w:r>
        <w:rPr>
          <w:color w:val="57585A"/>
          <w:spacing w:val="-10"/>
          <w:sz w:val="20"/>
          <w:szCs w:val="20"/>
        </w:rPr>
        <w:t>will see crude oil net export</w:t>
      </w:r>
      <w:r>
        <w:rPr>
          <w:color w:val="57585A"/>
          <w:spacing w:val="-11"/>
          <w:sz w:val="20"/>
          <w:szCs w:val="20"/>
        </w:rPr>
        <w:t>s rise from 352,000b/d in 2024 to over 600,000b/d by 2034,</w:t>
      </w:r>
      <w:r>
        <w:rPr>
          <w:color w:val="57585A"/>
          <w:spacing w:val="-16"/>
          <w:sz w:val="20"/>
          <w:szCs w:val="20"/>
        </w:rPr>
        <w:t xml:space="preserve"> </w:t>
      </w:r>
      <w:r>
        <w:rPr>
          <w:color w:val="57585A"/>
          <w:spacing w:val="-11"/>
          <w:sz w:val="20"/>
          <w:szCs w:val="20"/>
        </w:rPr>
        <w:t>with rising upside risks to</w:t>
      </w:r>
      <w:r>
        <w:rPr>
          <w:color w:val="57585A"/>
          <w:sz w:val="20"/>
          <w:szCs w:val="20"/>
        </w:rPr>
        <w:t xml:space="preserve"> </w:t>
      </w:r>
      <w:r>
        <w:rPr>
          <w:color w:val="57585A"/>
          <w:spacing w:val="-11"/>
          <w:sz w:val="20"/>
          <w:szCs w:val="20"/>
        </w:rPr>
        <w:t>this forecast. The country is a mid-scale importer of refined fuels,</w:t>
      </w:r>
      <w:r>
        <w:rPr>
          <w:color w:val="57585A"/>
          <w:spacing w:val="-16"/>
          <w:sz w:val="20"/>
          <w:szCs w:val="20"/>
        </w:rPr>
        <w:t xml:space="preserve"> </w:t>
      </w:r>
      <w:r>
        <w:rPr>
          <w:color w:val="57585A"/>
          <w:spacing w:val="-11"/>
          <w:sz w:val="20"/>
          <w:szCs w:val="20"/>
        </w:rPr>
        <w:t>which</w:t>
      </w:r>
      <w:r>
        <w:rPr>
          <w:color w:val="57585A"/>
          <w:spacing w:val="-16"/>
          <w:sz w:val="20"/>
          <w:szCs w:val="20"/>
        </w:rPr>
        <w:t xml:space="preserve"> </w:t>
      </w:r>
      <w:r>
        <w:rPr>
          <w:color w:val="57585A"/>
          <w:spacing w:val="-11"/>
          <w:sz w:val="20"/>
          <w:szCs w:val="20"/>
        </w:rPr>
        <w:t>we expect</w:t>
      </w:r>
      <w:r>
        <w:rPr>
          <w:color w:val="57585A"/>
          <w:spacing w:val="-15"/>
          <w:sz w:val="20"/>
          <w:szCs w:val="20"/>
        </w:rPr>
        <w:t xml:space="preserve"> </w:t>
      </w:r>
      <w:r>
        <w:rPr>
          <w:color w:val="57585A"/>
          <w:spacing w:val="-11"/>
          <w:sz w:val="20"/>
          <w:szCs w:val="20"/>
        </w:rPr>
        <w:t>will remain the case given ri</w:t>
      </w:r>
      <w:r>
        <w:rPr>
          <w:color w:val="57585A"/>
          <w:spacing w:val="-12"/>
          <w:sz w:val="20"/>
          <w:szCs w:val="20"/>
        </w:rPr>
        <w:t>sing demand for</w:t>
      </w:r>
      <w:r>
        <w:rPr>
          <w:color w:val="57585A"/>
          <w:sz w:val="20"/>
          <w:szCs w:val="20"/>
        </w:rPr>
        <w:t xml:space="preserve"> </w:t>
      </w:r>
      <w:r>
        <w:rPr>
          <w:color w:val="57585A"/>
          <w:spacing w:val="-10"/>
          <w:sz w:val="20"/>
          <w:szCs w:val="20"/>
        </w:rPr>
        <w:t>fuels and stable refining capacity.</w:t>
      </w:r>
      <w:r>
        <w:rPr>
          <w:color w:val="57585A"/>
          <w:spacing w:val="-15"/>
          <w:sz w:val="20"/>
          <w:szCs w:val="20"/>
        </w:rPr>
        <w:t xml:space="preserve"> </w:t>
      </w:r>
      <w:r>
        <w:rPr>
          <w:color w:val="57585A"/>
          <w:spacing w:val="-10"/>
          <w:sz w:val="20"/>
          <w:szCs w:val="20"/>
        </w:rPr>
        <w:t>Argentina</w:t>
      </w:r>
      <w:r>
        <w:rPr>
          <w:color w:val="57585A"/>
          <w:spacing w:val="-16"/>
          <w:sz w:val="20"/>
          <w:szCs w:val="20"/>
        </w:rPr>
        <w:t xml:space="preserve"> </w:t>
      </w:r>
      <w:r>
        <w:rPr>
          <w:color w:val="57585A"/>
          <w:spacing w:val="-10"/>
          <w:sz w:val="20"/>
          <w:szCs w:val="20"/>
        </w:rPr>
        <w:t>will see slowly rising net f</w:t>
      </w:r>
      <w:r>
        <w:rPr>
          <w:color w:val="57585A"/>
          <w:spacing w:val="-11"/>
          <w:sz w:val="20"/>
          <w:szCs w:val="20"/>
        </w:rPr>
        <w:t>uels import requirements throughout the forecast period.</w:t>
      </w:r>
    </w:p>
    <w:p w14:paraId="35615329">
      <w:pPr>
        <w:pStyle w:val="4"/>
        <w:spacing w:before="36" w:line="234" w:lineRule="auto"/>
        <w:ind w:left="357"/>
        <w:rPr>
          <w:sz w:val="20"/>
          <w:szCs w:val="20"/>
        </w:rPr>
      </w:pPr>
      <w:r>
        <w:rPr>
          <w:color w:val="33CCFF"/>
          <w:spacing w:val="-10"/>
          <w:sz w:val="20"/>
          <w:szCs w:val="20"/>
        </w:rPr>
        <w:t xml:space="preserve">•   </w:t>
      </w:r>
      <w:r>
        <w:rPr>
          <w:color w:val="57585A"/>
          <w:spacing w:val="-10"/>
          <w:sz w:val="20"/>
          <w:szCs w:val="20"/>
        </w:rPr>
        <w:t>The expansion of midstream capacity for natural gas, initially through the Nestor Kirchner pipeline and no</w:t>
      </w:r>
      <w:r>
        <w:rPr>
          <w:color w:val="57585A"/>
          <w:spacing w:val="-11"/>
          <w:sz w:val="20"/>
          <w:szCs w:val="20"/>
        </w:rPr>
        <w:t>w</w:t>
      </w:r>
      <w:r>
        <w:rPr>
          <w:color w:val="57585A"/>
          <w:spacing w:val="-16"/>
          <w:sz w:val="20"/>
          <w:szCs w:val="20"/>
        </w:rPr>
        <w:t xml:space="preserve"> </w:t>
      </w:r>
      <w:r>
        <w:rPr>
          <w:color w:val="57585A"/>
          <w:spacing w:val="-11"/>
          <w:sz w:val="20"/>
          <w:szCs w:val="20"/>
        </w:rPr>
        <w:t>with Northern</w:t>
      </w:r>
    </w:p>
    <w:p w14:paraId="23891982">
      <w:pPr>
        <w:pStyle w:val="4"/>
        <w:spacing w:before="56" w:line="273" w:lineRule="auto"/>
        <w:ind w:left="606" w:right="387" w:firstLine="15"/>
        <w:rPr>
          <w:sz w:val="20"/>
          <w:szCs w:val="20"/>
        </w:rPr>
      </w:pPr>
      <w:r>
        <w:rPr>
          <w:color w:val="57585A"/>
          <w:spacing w:val="-11"/>
          <w:sz w:val="20"/>
          <w:szCs w:val="20"/>
        </w:rPr>
        <w:t>Pipeline reversal project, is also supportive of out bullish outlook for gas production from the Vaca Muer</w:t>
      </w:r>
      <w:r>
        <w:rPr>
          <w:color w:val="57585A"/>
          <w:spacing w:val="-12"/>
          <w:sz w:val="20"/>
          <w:szCs w:val="20"/>
        </w:rPr>
        <w:t>ta over the coming</w:t>
      </w:r>
      <w:r>
        <w:rPr>
          <w:color w:val="57585A"/>
          <w:spacing w:val="-15"/>
          <w:sz w:val="20"/>
          <w:szCs w:val="20"/>
        </w:rPr>
        <w:t xml:space="preserve"> </w:t>
      </w:r>
      <w:r>
        <w:rPr>
          <w:color w:val="57585A"/>
          <w:spacing w:val="-12"/>
          <w:sz w:val="20"/>
          <w:szCs w:val="20"/>
        </w:rPr>
        <w:t>years.</w:t>
      </w:r>
      <w:r>
        <w:rPr>
          <w:color w:val="57585A"/>
          <w:sz w:val="20"/>
          <w:szCs w:val="20"/>
        </w:rPr>
        <w:t xml:space="preserve"> </w:t>
      </w:r>
      <w:r>
        <w:rPr>
          <w:color w:val="57585A"/>
          <w:spacing w:val="-11"/>
          <w:sz w:val="20"/>
          <w:szCs w:val="20"/>
        </w:rPr>
        <w:t>We expect output to increase by 7.6%</w:t>
      </w:r>
      <w:r>
        <w:rPr>
          <w:color w:val="57585A"/>
          <w:spacing w:val="-16"/>
          <w:sz w:val="20"/>
          <w:szCs w:val="20"/>
        </w:rPr>
        <w:t xml:space="preserve"> </w:t>
      </w:r>
      <w:r>
        <w:rPr>
          <w:color w:val="57585A"/>
          <w:spacing w:val="-11"/>
          <w:sz w:val="20"/>
          <w:szCs w:val="20"/>
        </w:rPr>
        <w:t>y-o-y in 2025 to 49.5bcm, after an estimated increase of 5.2%</w:t>
      </w:r>
      <w:r>
        <w:rPr>
          <w:color w:val="57585A"/>
          <w:spacing w:val="-15"/>
          <w:sz w:val="20"/>
          <w:szCs w:val="20"/>
        </w:rPr>
        <w:t xml:space="preserve"> </w:t>
      </w:r>
      <w:r>
        <w:rPr>
          <w:color w:val="57585A"/>
          <w:spacing w:val="-11"/>
          <w:sz w:val="20"/>
          <w:szCs w:val="20"/>
        </w:rPr>
        <w:t>y-o-y gro</w:t>
      </w:r>
      <w:r>
        <w:rPr>
          <w:color w:val="57585A"/>
          <w:spacing w:val="-12"/>
          <w:sz w:val="20"/>
          <w:szCs w:val="20"/>
        </w:rPr>
        <w:t>wth in 2024 to</w:t>
      </w:r>
    </w:p>
    <w:p w14:paraId="32909157">
      <w:pPr>
        <w:pStyle w:val="4"/>
        <w:spacing w:before="36" w:line="262" w:lineRule="exact"/>
        <w:ind w:left="612"/>
        <w:rPr>
          <w:sz w:val="20"/>
          <w:szCs w:val="20"/>
        </w:rPr>
      </w:pPr>
      <w:r>
        <w:rPr>
          <w:color w:val="57585A"/>
          <w:spacing w:val="-10"/>
          <w:position w:val="1"/>
          <w:sz w:val="20"/>
          <w:szCs w:val="20"/>
        </w:rPr>
        <w:t>46.0bcm.</w:t>
      </w:r>
    </w:p>
    <w:p w14:paraId="53E7563A">
      <w:pPr>
        <w:pStyle w:val="4"/>
        <w:spacing w:before="18" w:line="262" w:lineRule="auto"/>
        <w:ind w:left="618" w:right="573" w:hanging="261"/>
        <w:rPr>
          <w:sz w:val="20"/>
          <w:szCs w:val="20"/>
        </w:rPr>
      </w:pPr>
      <w:r>
        <w:rPr>
          <w:color w:val="33CCFF"/>
          <w:spacing w:val="-11"/>
          <w:sz w:val="20"/>
          <w:szCs w:val="20"/>
        </w:rPr>
        <w:t xml:space="preserve">•   </w:t>
      </w:r>
      <w:r>
        <w:rPr>
          <w:color w:val="57585A"/>
          <w:spacing w:val="-11"/>
          <w:sz w:val="20"/>
          <w:szCs w:val="20"/>
        </w:rPr>
        <w:t>Producers are also considering new gas export markets such as export</w:t>
      </w:r>
      <w:r>
        <w:rPr>
          <w:color w:val="57585A"/>
          <w:spacing w:val="-12"/>
          <w:sz w:val="20"/>
          <w:szCs w:val="20"/>
        </w:rPr>
        <w:t>ing to Brazil through</w:t>
      </w:r>
      <w:r>
        <w:rPr>
          <w:color w:val="57585A"/>
          <w:spacing w:val="1"/>
          <w:sz w:val="20"/>
          <w:szCs w:val="20"/>
        </w:rPr>
        <w:t xml:space="preserve"> </w:t>
      </w:r>
      <w:r>
        <w:rPr>
          <w:color w:val="57585A"/>
          <w:spacing w:val="-12"/>
          <w:sz w:val="20"/>
          <w:szCs w:val="20"/>
        </w:rPr>
        <w:t>Bolivia's gas</w:t>
      </w:r>
      <w:r>
        <w:rPr>
          <w:color w:val="57585A"/>
          <w:spacing w:val="-2"/>
          <w:sz w:val="20"/>
          <w:szCs w:val="20"/>
        </w:rPr>
        <w:t xml:space="preserve"> </w:t>
      </w:r>
      <w:r>
        <w:rPr>
          <w:color w:val="57585A"/>
          <w:spacing w:val="-12"/>
          <w:sz w:val="20"/>
          <w:szCs w:val="20"/>
        </w:rPr>
        <w:t>network, in addition to</w:t>
      </w:r>
      <w:r>
        <w:rPr>
          <w:color w:val="57585A"/>
          <w:sz w:val="20"/>
          <w:szCs w:val="20"/>
        </w:rPr>
        <w:t xml:space="preserve"> </w:t>
      </w:r>
      <w:r>
        <w:rPr>
          <w:color w:val="57585A"/>
          <w:spacing w:val="-11"/>
          <w:sz w:val="20"/>
          <w:szCs w:val="20"/>
        </w:rPr>
        <w:t>potential LNG exports through new LNG export infrastructure. Our current outlook includes first LNG exports from a floating</w:t>
      </w:r>
    </w:p>
    <w:p w14:paraId="3431ABB4">
      <w:pPr>
        <w:pStyle w:val="4"/>
        <w:spacing w:before="58" w:line="231" w:lineRule="auto"/>
        <w:ind w:left="608"/>
        <w:rPr>
          <w:sz w:val="20"/>
          <w:szCs w:val="20"/>
        </w:rPr>
      </w:pPr>
      <w:r>
        <w:rPr>
          <w:color w:val="57585A"/>
          <w:spacing w:val="-10"/>
          <w:sz w:val="20"/>
          <w:szCs w:val="20"/>
        </w:rPr>
        <w:t>terminal in 2027, boosting long-term gas production growth outlook. We are therefore increasingly bull</w:t>
      </w:r>
      <w:r>
        <w:rPr>
          <w:color w:val="57585A"/>
          <w:spacing w:val="-11"/>
          <w:sz w:val="20"/>
          <w:szCs w:val="20"/>
        </w:rPr>
        <w:t>ish on long-term gas</w:t>
      </w:r>
    </w:p>
    <w:p w14:paraId="47A285D3">
      <w:pPr>
        <w:pStyle w:val="4"/>
        <w:spacing w:before="58" w:line="262" w:lineRule="auto"/>
        <w:ind w:left="618" w:right="407"/>
        <w:rPr>
          <w:sz w:val="20"/>
          <w:szCs w:val="20"/>
        </w:rPr>
      </w:pPr>
      <w:r>
        <w:rPr>
          <w:color w:val="57585A"/>
          <w:spacing w:val="-10"/>
          <w:sz w:val="20"/>
          <w:szCs w:val="20"/>
        </w:rPr>
        <w:t>production outlook, should the required infrastructure projects materialise,</w:t>
      </w:r>
      <w:r>
        <w:rPr>
          <w:color w:val="57585A"/>
          <w:spacing w:val="-16"/>
          <w:sz w:val="20"/>
          <w:szCs w:val="20"/>
        </w:rPr>
        <w:t xml:space="preserve"> </w:t>
      </w:r>
      <w:r>
        <w:rPr>
          <w:color w:val="57585A"/>
          <w:spacing w:val="-10"/>
          <w:sz w:val="20"/>
          <w:szCs w:val="20"/>
        </w:rPr>
        <w:t>with our forecasts seeing production rise to 67.1b</w:t>
      </w:r>
      <w:r>
        <w:rPr>
          <w:color w:val="57585A"/>
          <w:spacing w:val="-11"/>
          <w:sz w:val="20"/>
          <w:szCs w:val="20"/>
        </w:rPr>
        <w:t>cm</w:t>
      </w:r>
      <w:r>
        <w:rPr>
          <w:color w:val="57585A"/>
          <w:sz w:val="20"/>
          <w:szCs w:val="20"/>
        </w:rPr>
        <w:t xml:space="preserve"> </w:t>
      </w:r>
      <w:r>
        <w:rPr>
          <w:color w:val="57585A"/>
          <w:spacing w:val="-11"/>
          <w:sz w:val="20"/>
          <w:szCs w:val="20"/>
        </w:rPr>
        <w:t>by 2034,</w:t>
      </w:r>
      <w:r>
        <w:rPr>
          <w:color w:val="57585A"/>
          <w:spacing w:val="-8"/>
          <w:sz w:val="20"/>
          <w:szCs w:val="20"/>
        </w:rPr>
        <w:t xml:space="preserve"> </w:t>
      </w:r>
      <w:r>
        <w:rPr>
          <w:color w:val="57585A"/>
          <w:spacing w:val="-11"/>
          <w:sz w:val="20"/>
          <w:szCs w:val="20"/>
        </w:rPr>
        <w:t>with risks to the upside.</w:t>
      </w:r>
    </w:p>
    <w:p w14:paraId="79A340F8">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We identify upside risks to gas production given</w:t>
      </w:r>
      <w:r>
        <w:rPr>
          <w:color w:val="57585A"/>
          <w:spacing w:val="-16"/>
          <w:sz w:val="20"/>
          <w:szCs w:val="20"/>
        </w:rPr>
        <w:t xml:space="preserve"> </w:t>
      </w:r>
      <w:r>
        <w:rPr>
          <w:color w:val="57585A"/>
          <w:spacing w:val="-11"/>
          <w:sz w:val="20"/>
          <w:szCs w:val="20"/>
        </w:rPr>
        <w:t>Argentina triggered a tender in February 2025 for a USD500mn g</w:t>
      </w:r>
      <w:r>
        <w:rPr>
          <w:color w:val="57585A"/>
          <w:spacing w:val="-12"/>
          <w:sz w:val="20"/>
          <w:szCs w:val="20"/>
        </w:rPr>
        <w:t>as</w:t>
      </w:r>
    </w:p>
    <w:p w14:paraId="2CBC0479">
      <w:pPr>
        <w:pStyle w:val="4"/>
        <w:spacing w:before="57" w:line="231" w:lineRule="auto"/>
        <w:ind w:left="614"/>
        <w:rPr>
          <w:sz w:val="20"/>
          <w:szCs w:val="20"/>
        </w:rPr>
      </w:pPr>
      <w:r>
        <w:rPr>
          <w:color w:val="57585A"/>
          <w:spacing w:val="-11"/>
          <w:sz w:val="20"/>
          <w:szCs w:val="20"/>
        </w:rPr>
        <w:t>compression project on the Gasuducto Presidente Nestor Kirchn</w:t>
      </w:r>
      <w:r>
        <w:rPr>
          <w:color w:val="57585A"/>
          <w:spacing w:val="-12"/>
          <w:sz w:val="20"/>
          <w:szCs w:val="20"/>
        </w:rPr>
        <w:t>er. This</w:t>
      </w:r>
      <w:r>
        <w:rPr>
          <w:color w:val="57585A"/>
          <w:spacing w:val="-16"/>
          <w:sz w:val="20"/>
          <w:szCs w:val="20"/>
        </w:rPr>
        <w:t xml:space="preserve"> </w:t>
      </w:r>
      <w:r>
        <w:rPr>
          <w:color w:val="57585A"/>
          <w:spacing w:val="-12"/>
          <w:sz w:val="20"/>
          <w:szCs w:val="20"/>
        </w:rPr>
        <w:t>would aim to boost capacity of</w:t>
      </w:r>
      <w:r>
        <w:rPr>
          <w:color w:val="57585A"/>
          <w:spacing w:val="-21"/>
          <w:sz w:val="20"/>
          <w:szCs w:val="20"/>
        </w:rPr>
        <w:t xml:space="preserve"> </w:t>
      </w:r>
      <w:r>
        <w:rPr>
          <w:color w:val="57585A"/>
          <w:spacing w:val="-12"/>
          <w:sz w:val="20"/>
          <w:szCs w:val="20"/>
        </w:rPr>
        <w:t>the Vaca Muerta</w:t>
      </w:r>
    </w:p>
    <w:p w14:paraId="6960D764">
      <w:pPr>
        <w:pStyle w:val="4"/>
        <w:spacing w:before="58" w:line="262" w:lineRule="auto"/>
        <w:ind w:left="617" w:right="523" w:hanging="4"/>
        <w:rPr>
          <w:sz w:val="20"/>
          <w:szCs w:val="20"/>
        </w:rPr>
      </w:pPr>
      <w:r>
        <w:rPr>
          <w:color w:val="57585A"/>
          <w:spacing w:val="-10"/>
          <w:sz w:val="20"/>
          <w:szCs w:val="20"/>
        </w:rPr>
        <w:t xml:space="preserve">debottlenecking gas pipeline, notably to help </w:t>
      </w:r>
      <w:r>
        <w:rPr>
          <w:color w:val="57585A"/>
          <w:spacing w:val="-11"/>
          <w:sz w:val="20"/>
          <w:szCs w:val="20"/>
        </w:rPr>
        <w:t>substitute</w:t>
      </w:r>
      <w:r>
        <w:rPr>
          <w:color w:val="57585A"/>
          <w:spacing w:val="-15"/>
          <w:sz w:val="20"/>
          <w:szCs w:val="20"/>
        </w:rPr>
        <w:t xml:space="preserve"> </w:t>
      </w:r>
      <w:r>
        <w:rPr>
          <w:color w:val="57585A"/>
          <w:spacing w:val="-11"/>
          <w:sz w:val="20"/>
          <w:szCs w:val="20"/>
        </w:rPr>
        <w:t>winter imports of LNG. However, it remains unclear</w:t>
      </w:r>
      <w:r>
        <w:rPr>
          <w:color w:val="57585A"/>
          <w:spacing w:val="-16"/>
          <w:sz w:val="20"/>
          <w:szCs w:val="20"/>
        </w:rPr>
        <w:t xml:space="preserve"> </w:t>
      </w:r>
      <w:r>
        <w:rPr>
          <w:color w:val="57585A"/>
          <w:spacing w:val="-11"/>
          <w:sz w:val="20"/>
          <w:szCs w:val="20"/>
        </w:rPr>
        <w:t>whether this</w:t>
      </w:r>
      <w:r>
        <w:rPr>
          <w:color w:val="57585A"/>
          <w:spacing w:val="-15"/>
          <w:sz w:val="20"/>
          <w:szCs w:val="20"/>
        </w:rPr>
        <w:t xml:space="preserve"> </w:t>
      </w:r>
      <w:r>
        <w:rPr>
          <w:color w:val="57585A"/>
          <w:spacing w:val="-11"/>
          <w:sz w:val="20"/>
          <w:szCs w:val="20"/>
        </w:rPr>
        <w:t>would</w:t>
      </w:r>
      <w:r>
        <w:rPr>
          <w:color w:val="57585A"/>
          <w:sz w:val="20"/>
          <w:szCs w:val="20"/>
        </w:rPr>
        <w:t xml:space="preserve"> </w:t>
      </w:r>
      <w:r>
        <w:rPr>
          <w:color w:val="57585A"/>
          <w:spacing w:val="-10"/>
          <w:sz w:val="20"/>
          <w:szCs w:val="20"/>
        </w:rPr>
        <w:t>replace plans for the second phase of</w:t>
      </w:r>
      <w:r>
        <w:rPr>
          <w:color w:val="57585A"/>
          <w:spacing w:val="-21"/>
          <w:sz w:val="20"/>
          <w:szCs w:val="20"/>
        </w:rPr>
        <w:t xml:space="preserve"> </w:t>
      </w:r>
      <w:r>
        <w:rPr>
          <w:color w:val="57585A"/>
          <w:spacing w:val="-10"/>
          <w:sz w:val="20"/>
          <w:szCs w:val="20"/>
        </w:rPr>
        <w:t>the</w:t>
      </w:r>
      <w:r>
        <w:rPr>
          <w:color w:val="57585A"/>
          <w:spacing w:val="-11"/>
          <w:sz w:val="20"/>
          <w:szCs w:val="20"/>
        </w:rPr>
        <w:t xml:space="preserve"> Vaca Muerta pipeline that</w:t>
      </w:r>
      <w:r>
        <w:rPr>
          <w:color w:val="57585A"/>
          <w:spacing w:val="-15"/>
          <w:sz w:val="20"/>
          <w:szCs w:val="20"/>
        </w:rPr>
        <w:t xml:space="preserve"> </w:t>
      </w:r>
      <w:r>
        <w:rPr>
          <w:color w:val="57585A"/>
          <w:spacing w:val="-11"/>
          <w:sz w:val="20"/>
          <w:szCs w:val="20"/>
        </w:rPr>
        <w:t>was initially planned to boost dispatch to the north.</w:t>
      </w:r>
    </w:p>
    <w:p w14:paraId="0A34ABEF">
      <w:pPr>
        <w:pStyle w:val="4"/>
        <w:spacing w:before="58" w:line="272" w:lineRule="auto"/>
        <w:ind w:left="604" w:right="726" w:hanging="247"/>
        <w:rPr>
          <w:sz w:val="20"/>
          <w:szCs w:val="20"/>
        </w:rPr>
      </w:pPr>
      <w:r>
        <w:rPr>
          <w:color w:val="33CCFF"/>
          <w:spacing w:val="-11"/>
          <w:sz w:val="20"/>
          <w:szCs w:val="20"/>
        </w:rPr>
        <w:t xml:space="preserve">•   </w:t>
      </w:r>
      <w:r>
        <w:rPr>
          <w:color w:val="57585A"/>
          <w:spacing w:val="-11"/>
          <w:sz w:val="20"/>
          <w:szCs w:val="20"/>
        </w:rPr>
        <w:t>We expect</w:t>
      </w:r>
      <w:r>
        <w:rPr>
          <w:color w:val="57585A"/>
          <w:spacing w:val="-16"/>
          <w:sz w:val="20"/>
          <w:szCs w:val="20"/>
        </w:rPr>
        <w:t xml:space="preserve"> </w:t>
      </w:r>
      <w:r>
        <w:rPr>
          <w:color w:val="57585A"/>
          <w:spacing w:val="-11"/>
          <w:sz w:val="20"/>
          <w:szCs w:val="20"/>
        </w:rPr>
        <w:t>Argentina to become a net exporter of</w:t>
      </w:r>
      <w:r>
        <w:rPr>
          <w:color w:val="57585A"/>
          <w:spacing w:val="-16"/>
          <w:sz w:val="20"/>
          <w:szCs w:val="20"/>
        </w:rPr>
        <w:t xml:space="preserve"> </w:t>
      </w:r>
      <w:r>
        <w:rPr>
          <w:color w:val="57585A"/>
          <w:spacing w:val="-11"/>
          <w:sz w:val="20"/>
          <w:szCs w:val="20"/>
        </w:rPr>
        <w:t>gas in 2025, as it cuts pipeline imports</w:t>
      </w:r>
      <w:r>
        <w:rPr>
          <w:color w:val="57585A"/>
          <w:spacing w:val="-12"/>
          <w:sz w:val="20"/>
          <w:szCs w:val="20"/>
        </w:rPr>
        <w:t xml:space="preserve"> from Bolivia and</w:t>
      </w:r>
      <w:r>
        <w:rPr>
          <w:color w:val="57585A"/>
          <w:sz w:val="20"/>
          <w:szCs w:val="20"/>
        </w:rPr>
        <w:t xml:space="preserve"> </w:t>
      </w:r>
      <w:r>
        <w:rPr>
          <w:color w:val="57585A"/>
          <w:spacing w:val="-12"/>
          <w:sz w:val="20"/>
          <w:szCs w:val="20"/>
        </w:rPr>
        <w:t>LNG</w:t>
      </w:r>
      <w:r>
        <w:rPr>
          <w:color w:val="57585A"/>
          <w:spacing w:val="-4"/>
          <w:sz w:val="20"/>
          <w:szCs w:val="20"/>
        </w:rPr>
        <w:t xml:space="preserve"> </w:t>
      </w:r>
      <w:r>
        <w:rPr>
          <w:color w:val="57585A"/>
          <w:spacing w:val="-12"/>
          <w:sz w:val="20"/>
          <w:szCs w:val="20"/>
        </w:rPr>
        <w:t>imports,</w:t>
      </w:r>
      <w:r>
        <w:rPr>
          <w:color w:val="57585A"/>
          <w:spacing w:val="-15"/>
          <w:sz w:val="20"/>
          <w:szCs w:val="20"/>
        </w:rPr>
        <w:t xml:space="preserve"> </w:t>
      </w:r>
      <w:r>
        <w:rPr>
          <w:color w:val="57585A"/>
          <w:spacing w:val="-12"/>
          <w:sz w:val="20"/>
          <w:szCs w:val="20"/>
        </w:rPr>
        <w:t>while</w:t>
      </w:r>
      <w:r>
        <w:rPr>
          <w:color w:val="57585A"/>
          <w:sz w:val="20"/>
          <w:szCs w:val="20"/>
        </w:rPr>
        <w:t xml:space="preserve"> </w:t>
      </w:r>
      <w:r>
        <w:rPr>
          <w:color w:val="57585A"/>
          <w:spacing w:val="-10"/>
          <w:sz w:val="20"/>
          <w:szCs w:val="20"/>
        </w:rPr>
        <w:t>ramping up pipeline exports to Chile. In the long term</w:t>
      </w:r>
      <w:r>
        <w:rPr>
          <w:color w:val="57585A"/>
          <w:spacing w:val="-11"/>
          <w:sz w:val="20"/>
          <w:szCs w:val="20"/>
        </w:rPr>
        <w:t>,</w:t>
      </w:r>
      <w:r>
        <w:rPr>
          <w:color w:val="57585A"/>
          <w:spacing w:val="-15"/>
          <w:sz w:val="20"/>
          <w:szCs w:val="20"/>
        </w:rPr>
        <w:t xml:space="preserve"> </w:t>
      </w:r>
      <w:r>
        <w:rPr>
          <w:color w:val="57585A"/>
          <w:spacing w:val="-11"/>
          <w:sz w:val="20"/>
          <w:szCs w:val="20"/>
        </w:rPr>
        <w:t>we see booming natural gas production to support net export growth,</w:t>
      </w:r>
      <w:r>
        <w:rPr>
          <w:color w:val="57585A"/>
          <w:sz w:val="20"/>
          <w:szCs w:val="20"/>
        </w:rPr>
        <w:t xml:space="preserve"> </w:t>
      </w:r>
      <w:r>
        <w:rPr>
          <w:color w:val="57585A"/>
          <w:spacing w:val="-10"/>
          <w:sz w:val="20"/>
          <w:szCs w:val="20"/>
        </w:rPr>
        <w:t>which</w:t>
      </w:r>
      <w:r>
        <w:rPr>
          <w:color w:val="57585A"/>
          <w:spacing w:val="-15"/>
          <w:sz w:val="20"/>
          <w:szCs w:val="20"/>
        </w:rPr>
        <w:t xml:space="preserve"> </w:t>
      </w:r>
      <w:r>
        <w:rPr>
          <w:color w:val="57585A"/>
          <w:spacing w:val="-10"/>
          <w:sz w:val="20"/>
          <w:szCs w:val="20"/>
        </w:rPr>
        <w:t>we forecast</w:t>
      </w:r>
      <w:r>
        <w:rPr>
          <w:color w:val="57585A"/>
          <w:spacing w:val="-16"/>
          <w:sz w:val="20"/>
          <w:szCs w:val="20"/>
        </w:rPr>
        <w:t xml:space="preserve"> </w:t>
      </w:r>
      <w:r>
        <w:rPr>
          <w:color w:val="57585A"/>
          <w:spacing w:val="-10"/>
          <w:sz w:val="20"/>
          <w:szCs w:val="20"/>
        </w:rPr>
        <w:t>will rise to 6.7bcm by 2034. Our current f</w:t>
      </w:r>
      <w:r>
        <w:rPr>
          <w:color w:val="57585A"/>
          <w:spacing w:val="-11"/>
          <w:sz w:val="20"/>
          <w:szCs w:val="20"/>
        </w:rPr>
        <w:t>orecast remains conservative given continues infrastructure</w:t>
      </w:r>
    </w:p>
    <w:p w14:paraId="364A1F09">
      <w:pPr>
        <w:pStyle w:val="4"/>
        <w:spacing w:before="58" w:line="234" w:lineRule="auto"/>
        <w:ind w:left="614"/>
        <w:rPr>
          <w:sz w:val="20"/>
          <w:szCs w:val="20"/>
        </w:rPr>
      </w:pPr>
      <w:r>
        <w:rPr>
          <w:color w:val="57585A"/>
          <w:spacing w:val="-12"/>
          <w:sz w:val="20"/>
          <w:szCs w:val="20"/>
        </w:rPr>
        <w:t>constraints and a lack of LNG export terminals.</w:t>
      </w:r>
    </w:p>
    <w:p w14:paraId="330B9AF2">
      <w:pPr>
        <w:pStyle w:val="4"/>
        <w:spacing w:before="55" w:line="234" w:lineRule="auto"/>
        <w:ind w:left="357"/>
        <w:rPr>
          <w:sz w:val="20"/>
          <w:szCs w:val="20"/>
        </w:rPr>
      </w:pPr>
      <w:r>
        <w:rPr>
          <w:color w:val="33CCFF"/>
          <w:spacing w:val="-11"/>
          <w:sz w:val="20"/>
          <w:szCs w:val="20"/>
        </w:rPr>
        <w:t xml:space="preserve">•   </w:t>
      </w:r>
      <w:r>
        <w:rPr>
          <w:color w:val="57585A"/>
          <w:spacing w:val="-11"/>
          <w:sz w:val="20"/>
          <w:szCs w:val="20"/>
        </w:rPr>
        <w:t>We expect the government of</w:t>
      </w:r>
      <w:r>
        <w:rPr>
          <w:color w:val="57585A"/>
          <w:spacing w:val="-33"/>
          <w:sz w:val="20"/>
          <w:szCs w:val="20"/>
        </w:rPr>
        <w:t xml:space="preserve"> </w:t>
      </w:r>
      <w:r>
        <w:rPr>
          <w:color w:val="57585A"/>
          <w:spacing w:val="-11"/>
          <w:sz w:val="20"/>
          <w:szCs w:val="20"/>
        </w:rPr>
        <w:t>Javier Milei to support the expansion of LNG export capabilities and therefore recognise ups</w:t>
      </w:r>
      <w:r>
        <w:rPr>
          <w:color w:val="57585A"/>
          <w:spacing w:val="-12"/>
          <w:sz w:val="20"/>
          <w:szCs w:val="20"/>
        </w:rPr>
        <w:t>ide</w:t>
      </w:r>
    </w:p>
    <w:p w14:paraId="00D2A074">
      <w:pPr>
        <w:pStyle w:val="4"/>
        <w:spacing w:before="56" w:line="277" w:lineRule="auto"/>
        <w:ind w:left="606" w:right="369" w:firstLine="12"/>
        <w:rPr>
          <w:sz w:val="20"/>
          <w:szCs w:val="20"/>
        </w:rPr>
      </w:pPr>
      <w:r>
        <w:rPr>
          <w:color w:val="57585A"/>
          <w:spacing w:val="-11"/>
          <w:sz w:val="20"/>
          <w:szCs w:val="20"/>
        </w:rPr>
        <w:t>risks to our long-term gas production and net exports forecasts stemming from adv</w:t>
      </w:r>
      <w:r>
        <w:rPr>
          <w:color w:val="57585A"/>
          <w:spacing w:val="-12"/>
          <w:sz w:val="20"/>
          <w:szCs w:val="20"/>
        </w:rPr>
        <w:t>ancing talks about a large-scale LNG facility.</w:t>
      </w:r>
      <w:r>
        <w:rPr>
          <w:color w:val="57585A"/>
          <w:sz w:val="20"/>
          <w:szCs w:val="20"/>
        </w:rPr>
        <w:t xml:space="preserve"> </w:t>
      </w:r>
      <w:r>
        <w:rPr>
          <w:color w:val="57585A"/>
          <w:spacing w:val="-11"/>
          <w:sz w:val="20"/>
          <w:szCs w:val="20"/>
        </w:rPr>
        <w:t>We do not</w:t>
      </w:r>
      <w:r>
        <w:rPr>
          <w:color w:val="57585A"/>
          <w:spacing w:val="-16"/>
          <w:sz w:val="20"/>
          <w:szCs w:val="20"/>
        </w:rPr>
        <w:t xml:space="preserve"> </w:t>
      </w:r>
      <w:r>
        <w:rPr>
          <w:color w:val="57585A"/>
          <w:spacing w:val="-11"/>
          <w:sz w:val="20"/>
          <w:szCs w:val="20"/>
        </w:rPr>
        <w:t>yet incorporate this large-scale terminal, rather</w:t>
      </w:r>
      <w:r>
        <w:rPr>
          <w:color w:val="57585A"/>
          <w:spacing w:val="-15"/>
          <w:sz w:val="20"/>
          <w:szCs w:val="20"/>
        </w:rPr>
        <w:t xml:space="preserve"> </w:t>
      </w:r>
      <w:r>
        <w:rPr>
          <w:color w:val="57585A"/>
          <w:spacing w:val="-11"/>
          <w:sz w:val="20"/>
          <w:szCs w:val="20"/>
        </w:rPr>
        <w:t>we expect small scale terminals to be deployed ove</w:t>
      </w:r>
      <w:r>
        <w:rPr>
          <w:color w:val="57585A"/>
          <w:spacing w:val="-12"/>
          <w:sz w:val="20"/>
          <w:szCs w:val="20"/>
        </w:rPr>
        <w:t>r the medium term.</w:t>
      </w:r>
      <w:r>
        <w:rPr>
          <w:color w:val="57585A"/>
          <w:sz w:val="20"/>
          <w:szCs w:val="20"/>
        </w:rPr>
        <w:t xml:space="preserve"> </w:t>
      </w:r>
      <w:r>
        <w:rPr>
          <w:color w:val="57585A"/>
          <w:spacing w:val="-12"/>
          <w:sz w:val="20"/>
          <w:szCs w:val="20"/>
        </w:rPr>
        <w:t>Notably, in November 2024, YPF partnered with Southern Energy to deploy</w:t>
      </w:r>
      <w:r>
        <w:rPr>
          <w:color w:val="57585A"/>
          <w:spacing w:val="-13"/>
          <w:sz w:val="20"/>
          <w:szCs w:val="20"/>
        </w:rPr>
        <w:t xml:space="preserve"> a 2.45 Mt/year FLNG vessel, the Hilli Episeyo in the</w:t>
      </w:r>
      <w:r>
        <w:rPr>
          <w:color w:val="57585A"/>
          <w:sz w:val="20"/>
          <w:szCs w:val="20"/>
        </w:rPr>
        <w:t xml:space="preserve"> </w:t>
      </w:r>
      <w:r>
        <w:rPr>
          <w:color w:val="57585A"/>
          <w:spacing w:val="-15"/>
          <w:sz w:val="20"/>
          <w:szCs w:val="20"/>
        </w:rPr>
        <w:t>Gulf</w:t>
      </w:r>
      <w:r>
        <w:rPr>
          <w:color w:val="57585A"/>
          <w:spacing w:val="-3"/>
          <w:sz w:val="20"/>
          <w:szCs w:val="20"/>
        </w:rPr>
        <w:t xml:space="preserve"> </w:t>
      </w:r>
      <w:r>
        <w:rPr>
          <w:color w:val="57585A"/>
          <w:spacing w:val="-15"/>
          <w:sz w:val="20"/>
          <w:szCs w:val="20"/>
        </w:rPr>
        <w:t>of</w:t>
      </w:r>
      <w:r>
        <w:rPr>
          <w:color w:val="57585A"/>
          <w:spacing w:val="-19"/>
          <w:sz w:val="20"/>
          <w:szCs w:val="20"/>
        </w:rPr>
        <w:t xml:space="preserve"> </w:t>
      </w:r>
      <w:r>
        <w:rPr>
          <w:color w:val="57585A"/>
          <w:spacing w:val="-15"/>
          <w:sz w:val="20"/>
          <w:szCs w:val="20"/>
        </w:rPr>
        <w:t>San Matias, Rio</w:t>
      </w:r>
      <w:r>
        <w:rPr>
          <w:color w:val="57585A"/>
          <w:spacing w:val="1"/>
          <w:sz w:val="20"/>
          <w:szCs w:val="20"/>
        </w:rPr>
        <w:t xml:space="preserve"> </w:t>
      </w:r>
      <w:r>
        <w:rPr>
          <w:color w:val="57585A"/>
          <w:spacing w:val="-15"/>
          <w:sz w:val="20"/>
          <w:szCs w:val="20"/>
        </w:rPr>
        <w:t>Negro.</w:t>
      </w:r>
    </w:p>
    <w:p w14:paraId="78FF065D">
      <w:pPr>
        <w:spacing w:line="277" w:lineRule="auto"/>
        <w:rPr>
          <w:sz w:val="20"/>
          <w:szCs w:val="20"/>
        </w:rPr>
        <w:sectPr>
          <w:footerReference r:id="rId9" w:type="default"/>
          <w:pgSz w:w="11906" w:h="16838"/>
          <w:pgMar w:top="400" w:right="490" w:bottom="883" w:left="490" w:header="0" w:footer="0" w:gutter="0"/>
          <w:cols w:space="720" w:num="1"/>
        </w:sectPr>
      </w:pPr>
    </w:p>
    <w:p w14:paraId="5CC1E185">
      <w:pPr>
        <w:pStyle w:val="4"/>
        <w:spacing w:before="73" w:line="241" w:lineRule="auto"/>
        <w:ind w:left="7372"/>
        <w:rPr>
          <w:sz w:val="20"/>
          <w:szCs w:val="20"/>
        </w:rPr>
      </w:pPr>
      <w:r>
        <w:drawing>
          <wp:anchor distT="0" distB="0" distL="0" distR="0" simplePos="0" relativeHeight="25167564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76672" behindDoc="0" locked="0" layoutInCell="0" allowOverlap="1">
            <wp:simplePos x="0" y="0"/>
            <wp:positionH relativeFrom="page">
              <wp:posOffset>311150</wp:posOffset>
            </wp:positionH>
            <wp:positionV relativeFrom="page">
              <wp:posOffset>0</wp:posOffset>
            </wp:positionV>
            <wp:extent cx="19050" cy="81407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2DE9367">
      <w:pPr>
        <w:pStyle w:val="4"/>
        <w:spacing w:line="278" w:lineRule="auto"/>
      </w:pPr>
    </w:p>
    <w:p w14:paraId="34A07219">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85D7CF4">
      <w:pPr>
        <w:pStyle w:val="4"/>
        <w:spacing w:line="470" w:lineRule="auto"/>
      </w:pPr>
    </w:p>
    <w:p w14:paraId="18073EB6">
      <w:pPr>
        <w:pStyle w:val="4"/>
        <w:spacing w:before="127" w:line="186" w:lineRule="auto"/>
        <w:ind w:left="373"/>
        <w:outlineLvl w:val="0"/>
        <w:rPr>
          <w:sz w:val="44"/>
          <w:szCs w:val="44"/>
          <w:highlight w:val="yellow"/>
        </w:rPr>
      </w:pPr>
      <w:bookmarkStart w:id="2" w:name="bookmark32"/>
      <w:bookmarkEnd w:id="2"/>
      <w:bookmarkStart w:id="3" w:name="bookmark3"/>
      <w:bookmarkEnd w:id="3"/>
      <w:bookmarkStart w:id="4" w:name="bookmark2"/>
      <w:bookmarkEnd w:id="4"/>
      <w:r>
        <w:rPr>
          <w:color w:val="174174"/>
          <w:spacing w:val="-26"/>
          <w:w w:val="91"/>
          <w:sz w:val="44"/>
          <w:szCs w:val="44"/>
          <w:highlight w:val="yellow"/>
        </w:rPr>
        <w:t>SWOT</w:t>
      </w:r>
    </w:p>
    <w:p w14:paraId="384D9CEB">
      <w:pPr>
        <w:pStyle w:val="4"/>
        <w:spacing w:before="149" w:line="394" w:lineRule="exact"/>
        <w:ind w:left="374"/>
        <w:outlineLvl w:val="0"/>
        <w:rPr>
          <w:rFonts w:hint="default" w:eastAsia="宋体"/>
          <w:color w:val="FF0000"/>
          <w:sz w:val="30"/>
          <w:szCs w:val="30"/>
          <w:highlight w:val="yellow"/>
          <w:lang w:val="en-US" w:eastAsia="zh-CN"/>
        </w:rPr>
      </w:pPr>
      <w:bookmarkStart w:id="5" w:name="bookmark33"/>
      <w:bookmarkEnd w:id="5"/>
      <w:r>
        <w:rPr>
          <w:color w:val="2A8ABF"/>
          <w:spacing w:val="-28"/>
          <w:position w:val="1"/>
          <w:sz w:val="30"/>
          <w:szCs w:val="30"/>
          <w:highlight w:val="yellow"/>
        </w:rPr>
        <w:t>Oil &amp; Gas SWOT</w:t>
      </w:r>
      <w:r>
        <w:rPr>
          <w:rFonts w:hint="eastAsia" w:eastAsia="宋体"/>
          <w:color w:val="2A8ABF"/>
          <w:spacing w:val="-28"/>
          <w:position w:val="1"/>
          <w:sz w:val="30"/>
          <w:szCs w:val="30"/>
          <w:highlight w:val="yellow"/>
          <w:lang w:val="en-US" w:eastAsia="zh-CN"/>
        </w:rPr>
        <w:t xml:space="preserve">  </w:t>
      </w:r>
      <w:r>
        <w:rPr>
          <w:rFonts w:hint="eastAsia" w:eastAsia="宋体"/>
          <w:color w:val="FF0000"/>
          <w:spacing w:val="-28"/>
          <w:position w:val="1"/>
          <w:sz w:val="30"/>
          <w:szCs w:val="30"/>
          <w:highlight w:val="yellow"/>
          <w:lang w:val="en-US" w:eastAsia="zh-CN"/>
        </w:rPr>
        <w:t>(Executive Summary)</w:t>
      </w:r>
    </w:p>
    <w:p w14:paraId="757CFB6B">
      <w:pPr>
        <w:spacing w:line="233" w:lineRule="exact"/>
      </w:pPr>
    </w:p>
    <w:tbl>
      <w:tblPr>
        <w:tblStyle w:val="7"/>
        <w:tblW w:w="10199" w:type="dxa"/>
        <w:tblInd w:w="362" w:type="dxa"/>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Layout w:type="fixed"/>
        <w:tblCellMar>
          <w:top w:w="0" w:type="dxa"/>
          <w:left w:w="0" w:type="dxa"/>
          <w:bottom w:w="0" w:type="dxa"/>
          <w:right w:w="0" w:type="dxa"/>
        </w:tblCellMar>
      </w:tblPr>
      <w:tblGrid>
        <w:gridCol w:w="5099"/>
        <w:gridCol w:w="5100"/>
      </w:tblGrid>
      <w:tr w14:paraId="04414112">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487" w:hRule="atLeast"/>
        </w:trPr>
        <w:tc>
          <w:tcPr>
            <w:tcW w:w="5099" w:type="dxa"/>
            <w:tcBorders>
              <w:bottom w:val="nil"/>
              <w:right w:val="single" w:color="D7DADB" w:sz="2" w:space="0"/>
            </w:tcBorders>
            <w:shd w:val="clear" w:color="auto" w:fill="E4F4FC"/>
            <w:vAlign w:val="top"/>
          </w:tcPr>
          <w:p w14:paraId="7944152F">
            <w:pPr>
              <w:pStyle w:val="8"/>
              <w:spacing w:before="116" w:line="241" w:lineRule="auto"/>
              <w:ind w:left="288"/>
              <w:rPr>
                <w:sz w:val="24"/>
                <w:szCs w:val="24"/>
              </w:rPr>
            </w:pPr>
            <w:r>
              <w:rPr>
                <w:b/>
                <w:bCs/>
                <w:color w:val="174174"/>
                <w:spacing w:val="-9"/>
                <w:sz w:val="24"/>
                <w:szCs w:val="24"/>
              </w:rPr>
              <w:t>Strengths</w:t>
            </w:r>
          </w:p>
        </w:tc>
        <w:tc>
          <w:tcPr>
            <w:tcW w:w="5100" w:type="dxa"/>
            <w:tcBorders>
              <w:left w:val="single" w:color="D7DADB" w:sz="2" w:space="0"/>
              <w:bottom w:val="nil"/>
            </w:tcBorders>
            <w:shd w:val="clear" w:color="auto" w:fill="E4F4FC"/>
            <w:vAlign w:val="top"/>
          </w:tcPr>
          <w:p w14:paraId="6C96F4B2">
            <w:pPr>
              <w:pStyle w:val="8"/>
              <w:spacing w:before="116" w:line="325" w:lineRule="exact"/>
              <w:ind w:left="282"/>
              <w:rPr>
                <w:sz w:val="24"/>
                <w:szCs w:val="24"/>
              </w:rPr>
            </w:pPr>
            <w:r>
              <w:rPr>
                <w:b/>
                <w:bCs/>
                <w:color w:val="174174"/>
                <w:spacing w:val="-14"/>
                <w:position w:val="1"/>
                <w:sz w:val="24"/>
                <w:szCs w:val="24"/>
              </w:rPr>
              <w:t>Weaknesses</w:t>
            </w:r>
          </w:p>
        </w:tc>
      </w:tr>
      <w:tr w14:paraId="24593248">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3092" w:hRule="atLeast"/>
        </w:trPr>
        <w:tc>
          <w:tcPr>
            <w:tcW w:w="5099" w:type="dxa"/>
            <w:tcBorders>
              <w:top w:val="nil"/>
              <w:bottom w:val="nil"/>
              <w:right w:val="single" w:color="D7DADB" w:sz="2" w:space="0"/>
            </w:tcBorders>
            <w:vAlign w:val="top"/>
          </w:tcPr>
          <w:p w14:paraId="7C62172E">
            <w:pPr>
              <w:pStyle w:val="8"/>
              <w:spacing w:before="192" w:line="279" w:lineRule="auto"/>
              <w:ind w:left="576" w:right="363" w:hanging="493"/>
              <w:rPr>
                <w:highlight w:val="yellow"/>
              </w:rPr>
            </w:pPr>
            <w:r>
              <w:rPr>
                <w:color w:val="33CCFF"/>
                <w:spacing w:val="-6"/>
                <w:highlight w:val="yellow"/>
              </w:rPr>
              <w:t xml:space="preserve">•        </w:t>
            </w:r>
            <w:r>
              <w:rPr>
                <w:color w:val="57585A"/>
                <w:spacing w:val="-6"/>
                <w:highlight w:val="yellow"/>
              </w:rPr>
              <w:t>The</w:t>
            </w:r>
            <w:r>
              <w:rPr>
                <w:color w:val="57585A"/>
                <w:spacing w:val="-14"/>
                <w:highlight w:val="yellow"/>
              </w:rPr>
              <w:t xml:space="preserve"> </w:t>
            </w:r>
            <w:r>
              <w:rPr>
                <w:color w:val="57585A"/>
                <w:spacing w:val="-6"/>
                <w:highlight w:val="yellow"/>
              </w:rPr>
              <w:t>Vaca Muerta shale formation in</w:t>
            </w:r>
            <w:r>
              <w:rPr>
                <w:color w:val="57585A"/>
                <w:spacing w:val="-14"/>
                <w:highlight w:val="yellow"/>
              </w:rPr>
              <w:t xml:space="preserve"> </w:t>
            </w:r>
            <w:r>
              <w:rPr>
                <w:color w:val="57585A"/>
                <w:spacing w:val="-6"/>
                <w:highlight w:val="yellow"/>
              </w:rPr>
              <w:t>Ar</w:t>
            </w:r>
            <w:r>
              <w:rPr>
                <w:color w:val="57585A"/>
                <w:spacing w:val="-7"/>
                <w:highlight w:val="yellow"/>
              </w:rPr>
              <w:t>gentinaIs Neuquén</w:t>
            </w:r>
            <w:r>
              <w:rPr>
                <w:color w:val="57585A"/>
                <w:highlight w:val="yellow"/>
              </w:rPr>
              <w:t xml:space="preserve"> </w:t>
            </w:r>
            <w:r>
              <w:rPr>
                <w:color w:val="57585A"/>
                <w:spacing w:val="-6"/>
                <w:highlight w:val="yellow"/>
              </w:rPr>
              <w:t>Province is home to some of</w:t>
            </w:r>
            <w:r>
              <w:rPr>
                <w:color w:val="57585A"/>
                <w:spacing w:val="-20"/>
                <w:highlight w:val="yellow"/>
              </w:rPr>
              <w:t xml:space="preserve"> </w:t>
            </w:r>
            <w:r>
              <w:rPr>
                <w:color w:val="57585A"/>
                <w:spacing w:val="-7"/>
                <w:highlight w:val="yellow"/>
              </w:rPr>
              <w:t>the largest hydrocarbon</w:t>
            </w:r>
          </w:p>
          <w:p w14:paraId="4BE41A6D">
            <w:pPr>
              <w:pStyle w:val="8"/>
              <w:spacing w:before="78" w:line="237" w:lineRule="exact"/>
              <w:ind w:left="574"/>
              <w:rPr>
                <w:highlight w:val="yellow"/>
              </w:rPr>
            </w:pPr>
            <w:r>
              <w:rPr>
                <w:color w:val="57585A"/>
                <w:spacing w:val="-7"/>
                <w:position w:val="1"/>
                <w:highlight w:val="yellow"/>
              </w:rPr>
              <w:t>resources in the</w:t>
            </w:r>
            <w:r>
              <w:rPr>
                <w:color w:val="57585A"/>
                <w:spacing w:val="-2"/>
                <w:position w:val="1"/>
                <w:highlight w:val="yellow"/>
              </w:rPr>
              <w:t xml:space="preserve"> </w:t>
            </w:r>
            <w:r>
              <w:rPr>
                <w:color w:val="57585A"/>
                <w:spacing w:val="-7"/>
                <w:position w:val="1"/>
                <w:highlight w:val="yellow"/>
              </w:rPr>
              <w:t>world.</w:t>
            </w:r>
          </w:p>
          <w:p w14:paraId="3D740E48">
            <w:pPr>
              <w:pStyle w:val="8"/>
              <w:spacing w:before="42" w:line="234" w:lineRule="auto"/>
              <w:ind w:left="83"/>
              <w:rPr>
                <w:highlight w:val="yellow"/>
              </w:rPr>
            </w:pPr>
            <w:r>
              <w:rPr>
                <w:color w:val="33CCFF"/>
                <w:spacing w:val="-7"/>
                <w:highlight w:val="yellow"/>
              </w:rPr>
              <w:t>•</w:t>
            </w:r>
            <w:r>
              <w:rPr>
                <w:color w:val="33CCFF"/>
                <w:spacing w:val="3"/>
                <w:highlight w:val="yellow"/>
              </w:rPr>
              <w:t xml:space="preserve">        </w:t>
            </w:r>
            <w:r>
              <w:rPr>
                <w:color w:val="57585A"/>
                <w:spacing w:val="-7"/>
                <w:highlight w:val="yellow"/>
              </w:rPr>
              <w:t>Large conventional onshore and offshore segments as</w:t>
            </w:r>
            <w:r>
              <w:rPr>
                <w:color w:val="57585A"/>
                <w:spacing w:val="-8"/>
                <w:highlight w:val="yellow"/>
              </w:rPr>
              <w:t xml:space="preserve"> </w:t>
            </w:r>
            <w:r>
              <w:rPr>
                <w:color w:val="57585A"/>
                <w:spacing w:val="-7"/>
                <w:highlight w:val="yellow"/>
              </w:rPr>
              <w:t>well.</w:t>
            </w:r>
          </w:p>
          <w:p w14:paraId="5208042B">
            <w:pPr>
              <w:pStyle w:val="8"/>
              <w:spacing w:before="78" w:line="308" w:lineRule="auto"/>
              <w:ind w:left="561" w:right="173" w:hanging="478"/>
              <w:rPr>
                <w:highlight w:val="yellow"/>
              </w:rPr>
            </w:pPr>
            <w:r>
              <w:rPr>
                <w:color w:val="33CCFF"/>
                <w:spacing w:val="-5"/>
                <w:highlight w:val="yellow"/>
              </w:rPr>
              <w:t xml:space="preserve">•        </w:t>
            </w:r>
            <w:r>
              <w:rPr>
                <w:color w:val="57585A"/>
                <w:spacing w:val="-5"/>
                <w:highlight w:val="yellow"/>
              </w:rPr>
              <w:t>Competitive environment has improved in the recent</w:t>
            </w:r>
            <w:r>
              <w:rPr>
                <w:color w:val="57585A"/>
                <w:spacing w:val="-14"/>
                <w:highlight w:val="yellow"/>
              </w:rPr>
              <w:t xml:space="preserve"> </w:t>
            </w:r>
            <w:r>
              <w:rPr>
                <w:color w:val="57585A"/>
                <w:spacing w:val="-5"/>
                <w:highlight w:val="yellow"/>
              </w:rPr>
              <w:t>years,</w:t>
            </w:r>
            <w:r>
              <w:rPr>
                <w:color w:val="57585A"/>
                <w:highlight w:val="yellow"/>
              </w:rPr>
              <w:t xml:space="preserve"> </w:t>
            </w:r>
            <w:r>
              <w:rPr>
                <w:color w:val="57585A"/>
                <w:spacing w:val="-7"/>
                <w:highlight w:val="yellow"/>
              </w:rPr>
              <w:t xml:space="preserve">with many major IOCs investing in exploring and </w:t>
            </w:r>
            <w:r>
              <w:rPr>
                <w:color w:val="57585A"/>
                <w:spacing w:val="-8"/>
                <w:highlight w:val="yellow"/>
              </w:rPr>
              <w:t>developing</w:t>
            </w:r>
            <w:r>
              <w:rPr>
                <w:color w:val="57585A"/>
                <w:highlight w:val="yellow"/>
              </w:rPr>
              <w:t xml:space="preserve"> </w:t>
            </w:r>
            <w:r>
              <w:rPr>
                <w:color w:val="57585A"/>
                <w:spacing w:val="-6"/>
                <w:highlight w:val="yellow"/>
              </w:rPr>
              <w:t>unconventional reserves.</w:t>
            </w:r>
          </w:p>
          <w:p w14:paraId="093CF84E">
            <w:pPr>
              <w:pStyle w:val="8"/>
              <w:spacing w:before="43" w:line="279" w:lineRule="auto"/>
              <w:ind w:left="576" w:right="288" w:hanging="493"/>
              <w:rPr>
                <w:highlight w:val="yellow"/>
              </w:rPr>
            </w:pPr>
            <w:r>
              <w:rPr>
                <w:color w:val="33CCFF"/>
                <w:spacing w:val="-6"/>
                <w:highlight w:val="yellow"/>
              </w:rPr>
              <w:t>•</w:t>
            </w:r>
            <w:r>
              <w:rPr>
                <w:color w:val="33CCFF"/>
                <w:spacing w:val="3"/>
                <w:highlight w:val="yellow"/>
              </w:rPr>
              <w:t xml:space="preserve">        </w:t>
            </w:r>
            <w:r>
              <w:rPr>
                <w:color w:val="57585A"/>
                <w:spacing w:val="-6"/>
                <w:highlight w:val="yellow"/>
              </w:rPr>
              <w:t>Improving regulatory environment under president</w:t>
            </w:r>
            <w:r>
              <w:rPr>
                <w:color w:val="57585A"/>
                <w:spacing w:val="-19"/>
                <w:highlight w:val="yellow"/>
              </w:rPr>
              <w:t xml:space="preserve"> </w:t>
            </w:r>
            <w:r>
              <w:rPr>
                <w:color w:val="57585A"/>
                <w:spacing w:val="-6"/>
                <w:highlight w:val="yellow"/>
              </w:rPr>
              <w:t>Javier</w:t>
            </w:r>
            <w:r>
              <w:rPr>
                <w:color w:val="57585A"/>
                <w:highlight w:val="yellow"/>
              </w:rPr>
              <w:t xml:space="preserve"> </w:t>
            </w:r>
            <w:r>
              <w:rPr>
                <w:color w:val="57585A"/>
                <w:spacing w:val="-7"/>
                <w:highlight w:val="yellow"/>
              </w:rPr>
              <w:t>Milei,</w:t>
            </w:r>
            <w:r>
              <w:rPr>
                <w:color w:val="57585A"/>
                <w:spacing w:val="-14"/>
                <w:highlight w:val="yellow"/>
              </w:rPr>
              <w:t xml:space="preserve"> </w:t>
            </w:r>
            <w:r>
              <w:rPr>
                <w:color w:val="57585A"/>
                <w:spacing w:val="-7"/>
                <w:highlight w:val="yellow"/>
              </w:rPr>
              <w:t>who supports the expansion of</w:t>
            </w:r>
            <w:r>
              <w:rPr>
                <w:color w:val="57585A"/>
                <w:spacing w:val="-11"/>
                <w:highlight w:val="yellow"/>
              </w:rPr>
              <w:t xml:space="preserve"> </w:t>
            </w:r>
            <w:r>
              <w:rPr>
                <w:color w:val="57585A"/>
                <w:spacing w:val="-7"/>
                <w:highlight w:val="yellow"/>
              </w:rPr>
              <w:t>hydrocarbons se</w:t>
            </w:r>
            <w:r>
              <w:rPr>
                <w:color w:val="57585A"/>
                <w:spacing w:val="-8"/>
                <w:highlight w:val="yellow"/>
              </w:rPr>
              <w:t>ctor.</w:t>
            </w:r>
          </w:p>
        </w:tc>
        <w:tc>
          <w:tcPr>
            <w:tcW w:w="5100" w:type="dxa"/>
            <w:tcBorders>
              <w:top w:val="nil"/>
              <w:left w:val="single" w:color="D7DADB" w:sz="2" w:space="0"/>
              <w:bottom w:val="nil"/>
            </w:tcBorders>
            <w:vAlign w:val="top"/>
          </w:tcPr>
          <w:p w14:paraId="02C123AF">
            <w:pPr>
              <w:pStyle w:val="8"/>
              <w:spacing w:before="192" w:line="280" w:lineRule="auto"/>
              <w:ind w:left="574" w:right="192" w:hanging="491"/>
              <w:rPr>
                <w:highlight w:val="yellow"/>
              </w:rPr>
            </w:pPr>
            <w:r>
              <w:rPr>
                <w:color w:val="33CCFF"/>
                <w:spacing w:val="-5"/>
                <w:highlight w:val="yellow"/>
              </w:rPr>
              <w:t xml:space="preserve">•        </w:t>
            </w:r>
            <w:r>
              <w:rPr>
                <w:color w:val="57585A"/>
                <w:spacing w:val="-5"/>
                <w:highlight w:val="yellow"/>
              </w:rPr>
              <w:t>A deficit of</w:t>
            </w:r>
            <w:r>
              <w:rPr>
                <w:color w:val="57585A"/>
                <w:spacing w:val="-13"/>
                <w:highlight w:val="yellow"/>
              </w:rPr>
              <w:t xml:space="preserve"> </w:t>
            </w:r>
            <w:r>
              <w:rPr>
                <w:color w:val="57585A"/>
                <w:spacing w:val="-5"/>
                <w:highlight w:val="yellow"/>
              </w:rPr>
              <w:t>domestic oil field services and infrastructure has</w:t>
            </w:r>
            <w:r>
              <w:rPr>
                <w:color w:val="57585A"/>
                <w:highlight w:val="yellow"/>
              </w:rPr>
              <w:t xml:space="preserve"> </w:t>
            </w:r>
            <w:r>
              <w:rPr>
                <w:color w:val="57585A"/>
                <w:spacing w:val="-6"/>
                <w:highlight w:val="yellow"/>
              </w:rPr>
              <w:t>kept upstream development costs elevated</w:t>
            </w:r>
            <w:r>
              <w:rPr>
                <w:color w:val="57585A"/>
                <w:spacing w:val="-4"/>
                <w:highlight w:val="yellow"/>
              </w:rPr>
              <w:t xml:space="preserve"> </w:t>
            </w:r>
            <w:r>
              <w:rPr>
                <w:color w:val="57585A"/>
                <w:spacing w:val="-6"/>
                <w:highlight w:val="yellow"/>
              </w:rPr>
              <w:t>within</w:t>
            </w:r>
          </w:p>
          <w:p w14:paraId="5A7F2E40">
            <w:pPr>
              <w:pStyle w:val="8"/>
              <w:spacing w:before="76" w:line="234" w:lineRule="auto"/>
              <w:ind w:left="573"/>
              <w:rPr>
                <w:highlight w:val="yellow"/>
              </w:rPr>
            </w:pPr>
            <w:r>
              <w:rPr>
                <w:color w:val="57585A"/>
                <w:spacing w:val="-7"/>
                <w:highlight w:val="yellow"/>
              </w:rPr>
              <w:t>unconventional acreage.</w:t>
            </w:r>
          </w:p>
          <w:p w14:paraId="139AA908">
            <w:pPr>
              <w:pStyle w:val="8"/>
              <w:spacing w:before="78" w:line="279" w:lineRule="auto"/>
              <w:ind w:left="569" w:right="93" w:hanging="486"/>
              <w:rPr>
                <w:highlight w:val="yellow"/>
              </w:rPr>
            </w:pPr>
            <w:r>
              <w:rPr>
                <w:color w:val="33CCFF"/>
                <w:spacing w:val="-5"/>
                <w:highlight w:val="yellow"/>
              </w:rPr>
              <w:t xml:space="preserve">•        </w:t>
            </w:r>
            <w:r>
              <w:rPr>
                <w:color w:val="57585A"/>
                <w:spacing w:val="-5"/>
                <w:highlight w:val="yellow"/>
              </w:rPr>
              <w:t>A complete dependence on the spo</w:t>
            </w:r>
            <w:r>
              <w:rPr>
                <w:color w:val="57585A"/>
                <w:spacing w:val="-6"/>
                <w:highlight w:val="yellow"/>
              </w:rPr>
              <w:t>t market for LNG imports</w:t>
            </w:r>
            <w:r>
              <w:rPr>
                <w:color w:val="57585A"/>
                <w:highlight w:val="yellow"/>
              </w:rPr>
              <w:t xml:space="preserve"> </w:t>
            </w:r>
            <w:r>
              <w:rPr>
                <w:color w:val="57585A"/>
                <w:spacing w:val="-9"/>
                <w:highlight w:val="yellow"/>
              </w:rPr>
              <w:t>exposes</w:t>
            </w:r>
            <w:r>
              <w:rPr>
                <w:color w:val="57585A"/>
                <w:spacing w:val="-3"/>
                <w:highlight w:val="yellow"/>
              </w:rPr>
              <w:t xml:space="preserve"> </w:t>
            </w:r>
            <w:r>
              <w:rPr>
                <w:color w:val="57585A"/>
                <w:spacing w:val="-9"/>
                <w:highlight w:val="yellow"/>
              </w:rPr>
              <w:t>YPF and Enarsa to steep price</w:t>
            </w:r>
            <w:r>
              <w:rPr>
                <w:color w:val="57585A"/>
                <w:spacing w:val="-14"/>
                <w:highlight w:val="yellow"/>
              </w:rPr>
              <w:t xml:space="preserve"> </w:t>
            </w:r>
            <w:r>
              <w:rPr>
                <w:color w:val="57585A"/>
                <w:spacing w:val="-9"/>
                <w:highlight w:val="yellow"/>
              </w:rPr>
              <w:t>volatility and heavy</w:t>
            </w:r>
          </w:p>
          <w:p w14:paraId="2EA29AB0">
            <w:pPr>
              <w:pStyle w:val="8"/>
              <w:spacing w:before="78" w:line="300" w:lineRule="auto"/>
              <w:ind w:left="576" w:right="533" w:hanging="6"/>
              <w:rPr>
                <w:highlight w:val="yellow"/>
              </w:rPr>
            </w:pPr>
            <w:r>
              <w:rPr>
                <w:color w:val="57585A"/>
                <w:spacing w:val="-6"/>
                <w:highlight w:val="yellow"/>
              </w:rPr>
              <w:t>competition</w:t>
            </w:r>
            <w:r>
              <w:rPr>
                <w:color w:val="57585A"/>
                <w:spacing w:val="-2"/>
                <w:highlight w:val="yellow"/>
              </w:rPr>
              <w:t xml:space="preserve"> </w:t>
            </w:r>
            <w:r>
              <w:rPr>
                <w:color w:val="57585A"/>
                <w:spacing w:val="-6"/>
                <w:highlight w:val="yellow"/>
              </w:rPr>
              <w:t>with other Latin</w:t>
            </w:r>
            <w:r>
              <w:rPr>
                <w:color w:val="57585A"/>
                <w:spacing w:val="-14"/>
                <w:highlight w:val="yellow"/>
              </w:rPr>
              <w:t xml:space="preserve"> </w:t>
            </w:r>
            <w:r>
              <w:rPr>
                <w:color w:val="57585A"/>
                <w:spacing w:val="-6"/>
                <w:highlight w:val="yellow"/>
              </w:rPr>
              <w:t>America markets, such as</w:t>
            </w:r>
            <w:r>
              <w:rPr>
                <w:color w:val="57585A"/>
                <w:highlight w:val="yellow"/>
              </w:rPr>
              <w:t xml:space="preserve"> </w:t>
            </w:r>
            <w:r>
              <w:rPr>
                <w:color w:val="57585A"/>
                <w:spacing w:val="-10"/>
                <w:highlight w:val="yellow"/>
              </w:rPr>
              <w:t>Brazil.</w:t>
            </w:r>
          </w:p>
          <w:p w14:paraId="79CC7155">
            <w:pPr>
              <w:pStyle w:val="8"/>
              <w:spacing w:before="43" w:line="294" w:lineRule="auto"/>
              <w:ind w:left="569" w:right="966" w:hanging="486"/>
              <w:rPr>
                <w:highlight w:val="yellow"/>
              </w:rPr>
            </w:pPr>
            <w:r>
              <w:rPr>
                <w:color w:val="33CCFF"/>
                <w:spacing w:val="-4"/>
                <w:highlight w:val="yellow"/>
              </w:rPr>
              <w:t>•</w:t>
            </w:r>
            <w:r>
              <w:rPr>
                <w:color w:val="33CCFF"/>
                <w:spacing w:val="1"/>
                <w:highlight w:val="yellow"/>
              </w:rPr>
              <w:t xml:space="preserve">        </w:t>
            </w:r>
            <w:r>
              <w:rPr>
                <w:color w:val="57585A"/>
                <w:spacing w:val="-4"/>
                <w:highlight w:val="yellow"/>
              </w:rPr>
              <w:t>Insufficient midstream i</w:t>
            </w:r>
            <w:r>
              <w:rPr>
                <w:color w:val="57585A"/>
                <w:spacing w:val="-5"/>
                <w:highlight w:val="yellow"/>
              </w:rPr>
              <w:t>nfrastructure hinders the</w:t>
            </w:r>
            <w:r>
              <w:rPr>
                <w:color w:val="57585A"/>
                <w:spacing w:val="6"/>
                <w:highlight w:val="yellow"/>
              </w:rPr>
              <w:t xml:space="preserve"> </w:t>
            </w:r>
            <w:r>
              <w:rPr>
                <w:color w:val="57585A"/>
                <w:spacing w:val="-7"/>
                <w:highlight w:val="yellow"/>
              </w:rPr>
              <w:t>development of</w:t>
            </w:r>
            <w:r>
              <w:rPr>
                <w:color w:val="57585A"/>
                <w:spacing w:val="-23"/>
                <w:highlight w:val="yellow"/>
              </w:rPr>
              <w:t xml:space="preserve"> </w:t>
            </w:r>
            <w:r>
              <w:rPr>
                <w:color w:val="57585A"/>
                <w:spacing w:val="-7"/>
                <w:highlight w:val="yellow"/>
              </w:rPr>
              <w:t>Vaca Muerta reserv</w:t>
            </w:r>
            <w:r>
              <w:rPr>
                <w:color w:val="57585A"/>
                <w:spacing w:val="-8"/>
                <w:highlight w:val="yellow"/>
              </w:rPr>
              <w:t>es, although</w:t>
            </w:r>
            <w:r>
              <w:rPr>
                <w:color w:val="57585A"/>
                <w:highlight w:val="yellow"/>
              </w:rPr>
              <w:t xml:space="preserve"> </w:t>
            </w:r>
            <w:r>
              <w:rPr>
                <w:color w:val="57585A"/>
                <w:spacing w:val="-5"/>
                <w:highlight w:val="yellow"/>
              </w:rPr>
              <w:t>infrastructure</w:t>
            </w:r>
            <w:r>
              <w:rPr>
                <w:color w:val="57585A"/>
                <w:spacing w:val="-14"/>
                <w:highlight w:val="yellow"/>
              </w:rPr>
              <w:t xml:space="preserve"> </w:t>
            </w:r>
            <w:r>
              <w:rPr>
                <w:color w:val="57585A"/>
                <w:spacing w:val="-5"/>
                <w:highlight w:val="yellow"/>
              </w:rPr>
              <w:t>works are beginning to bea</w:t>
            </w:r>
            <w:r>
              <w:rPr>
                <w:color w:val="57585A"/>
                <w:spacing w:val="-6"/>
                <w:highlight w:val="yellow"/>
              </w:rPr>
              <w:t>r fruit.</w:t>
            </w:r>
          </w:p>
        </w:tc>
      </w:tr>
      <w:tr w14:paraId="73FDEB46">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484" w:hRule="atLeast"/>
        </w:trPr>
        <w:tc>
          <w:tcPr>
            <w:tcW w:w="5099" w:type="dxa"/>
            <w:tcBorders>
              <w:top w:val="nil"/>
              <w:bottom w:val="nil"/>
              <w:right w:val="single" w:color="D7DADB" w:sz="2" w:space="0"/>
            </w:tcBorders>
            <w:shd w:val="clear" w:color="auto" w:fill="E4F4FC"/>
            <w:vAlign w:val="top"/>
          </w:tcPr>
          <w:p w14:paraId="3C8AB397">
            <w:pPr>
              <w:pStyle w:val="8"/>
              <w:spacing w:before="116" w:line="280" w:lineRule="exact"/>
              <w:ind w:left="293"/>
              <w:rPr>
                <w:sz w:val="24"/>
                <w:szCs w:val="24"/>
                <w:highlight w:val="yellow"/>
              </w:rPr>
            </w:pPr>
            <w:r>
              <w:rPr>
                <w:b/>
                <w:bCs/>
                <w:color w:val="174174"/>
                <w:spacing w:val="-8"/>
                <w:position w:val="2"/>
                <w:sz w:val="24"/>
                <w:szCs w:val="24"/>
                <w:highlight w:val="yellow"/>
              </w:rPr>
              <w:t>Opportunities</w:t>
            </w:r>
          </w:p>
        </w:tc>
        <w:tc>
          <w:tcPr>
            <w:tcW w:w="5100" w:type="dxa"/>
            <w:tcBorders>
              <w:top w:val="nil"/>
              <w:left w:val="single" w:color="D7DADB" w:sz="2" w:space="0"/>
              <w:bottom w:val="nil"/>
            </w:tcBorders>
            <w:shd w:val="clear" w:color="auto" w:fill="E4F4FC"/>
            <w:vAlign w:val="top"/>
          </w:tcPr>
          <w:p w14:paraId="7BD59C7A">
            <w:pPr>
              <w:pStyle w:val="8"/>
              <w:spacing w:before="116" w:line="325" w:lineRule="exact"/>
              <w:ind w:left="283"/>
              <w:rPr>
                <w:sz w:val="24"/>
                <w:szCs w:val="24"/>
                <w:highlight w:val="yellow"/>
              </w:rPr>
            </w:pPr>
            <w:r>
              <w:rPr>
                <w:b/>
                <w:bCs/>
                <w:color w:val="174174"/>
                <w:spacing w:val="-8"/>
                <w:position w:val="1"/>
                <w:sz w:val="24"/>
                <w:szCs w:val="24"/>
                <w:highlight w:val="yellow"/>
              </w:rPr>
              <w:t>Threats</w:t>
            </w:r>
          </w:p>
        </w:tc>
      </w:tr>
      <w:tr w14:paraId="15E5E694">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3099" w:hRule="atLeast"/>
        </w:trPr>
        <w:tc>
          <w:tcPr>
            <w:tcW w:w="5099" w:type="dxa"/>
            <w:tcBorders>
              <w:top w:val="nil"/>
              <w:right w:val="single" w:color="D7DADB" w:sz="2" w:space="0"/>
            </w:tcBorders>
            <w:vAlign w:val="top"/>
          </w:tcPr>
          <w:p w14:paraId="37E7B660">
            <w:pPr>
              <w:pStyle w:val="8"/>
              <w:spacing w:before="194" w:line="236" w:lineRule="auto"/>
              <w:ind w:left="83"/>
              <w:rPr>
                <w:highlight w:val="yellow"/>
              </w:rPr>
            </w:pPr>
            <w:r>
              <w:rPr>
                <w:color w:val="33CCFF"/>
                <w:spacing w:val="-6"/>
                <w:highlight w:val="yellow"/>
              </w:rPr>
              <w:t xml:space="preserve">•        </w:t>
            </w:r>
            <w:r>
              <w:rPr>
                <w:color w:val="57585A"/>
                <w:spacing w:val="-6"/>
                <w:highlight w:val="yellow"/>
              </w:rPr>
              <w:t>The resolution of</w:t>
            </w:r>
            <w:r>
              <w:rPr>
                <w:color w:val="57585A"/>
                <w:spacing w:val="-5"/>
                <w:highlight w:val="yellow"/>
              </w:rPr>
              <w:t xml:space="preserve"> </w:t>
            </w:r>
            <w:r>
              <w:rPr>
                <w:color w:val="57585A"/>
                <w:spacing w:val="-6"/>
                <w:highlight w:val="yellow"/>
              </w:rPr>
              <w:t>the Repsol-YPF dispute, coupled</w:t>
            </w:r>
            <w:r>
              <w:rPr>
                <w:color w:val="57585A"/>
                <w:spacing w:val="-14"/>
                <w:highlight w:val="yellow"/>
              </w:rPr>
              <w:t xml:space="preserve"> </w:t>
            </w:r>
            <w:r>
              <w:rPr>
                <w:color w:val="57585A"/>
                <w:spacing w:val="-6"/>
                <w:highlight w:val="yellow"/>
              </w:rPr>
              <w:t>with an</w:t>
            </w:r>
          </w:p>
          <w:p w14:paraId="59282957">
            <w:pPr>
              <w:pStyle w:val="8"/>
              <w:spacing w:before="76" w:line="234" w:lineRule="auto"/>
              <w:ind w:left="572"/>
              <w:rPr>
                <w:highlight w:val="yellow"/>
              </w:rPr>
            </w:pPr>
            <w:r>
              <w:rPr>
                <w:color w:val="57585A"/>
                <w:spacing w:val="-5"/>
                <w:highlight w:val="yellow"/>
              </w:rPr>
              <w:t>increasingly investor-friendly regulatory enviro</w:t>
            </w:r>
            <w:r>
              <w:rPr>
                <w:color w:val="57585A"/>
                <w:spacing w:val="-6"/>
                <w:highlight w:val="yellow"/>
              </w:rPr>
              <w:t>nment,</w:t>
            </w:r>
            <w:r>
              <w:rPr>
                <w:color w:val="57585A"/>
                <w:spacing w:val="-14"/>
                <w:highlight w:val="yellow"/>
              </w:rPr>
              <w:t xml:space="preserve"> </w:t>
            </w:r>
            <w:r>
              <w:rPr>
                <w:color w:val="57585A"/>
                <w:spacing w:val="-6"/>
                <w:highlight w:val="yellow"/>
              </w:rPr>
              <w:t>will</w:t>
            </w:r>
          </w:p>
          <w:p w14:paraId="0ADE83DD">
            <w:pPr>
              <w:pStyle w:val="8"/>
              <w:spacing w:before="78" w:line="234" w:lineRule="auto"/>
              <w:ind w:left="565"/>
              <w:rPr>
                <w:highlight w:val="yellow"/>
              </w:rPr>
            </w:pPr>
            <w:r>
              <w:rPr>
                <w:color w:val="57585A"/>
                <w:spacing w:val="-4"/>
                <w:highlight w:val="yellow"/>
              </w:rPr>
              <w:t>further encourage international participation into</w:t>
            </w:r>
            <w:r>
              <w:rPr>
                <w:color w:val="57585A"/>
                <w:spacing w:val="-11"/>
                <w:highlight w:val="yellow"/>
              </w:rPr>
              <w:t xml:space="preserve"> </w:t>
            </w:r>
            <w:r>
              <w:rPr>
                <w:color w:val="57585A"/>
                <w:spacing w:val="-4"/>
                <w:highlight w:val="yellow"/>
              </w:rPr>
              <w:t>the sec</w:t>
            </w:r>
            <w:r>
              <w:rPr>
                <w:color w:val="57585A"/>
                <w:spacing w:val="-5"/>
                <w:highlight w:val="yellow"/>
              </w:rPr>
              <w:t>tor.</w:t>
            </w:r>
          </w:p>
          <w:p w14:paraId="7830C24D">
            <w:pPr>
              <w:pStyle w:val="8"/>
              <w:spacing w:before="78" w:line="279" w:lineRule="auto"/>
              <w:ind w:left="568" w:right="185" w:hanging="485"/>
              <w:rPr>
                <w:highlight w:val="yellow"/>
              </w:rPr>
            </w:pPr>
            <w:r>
              <w:rPr>
                <w:color w:val="33CCFF"/>
                <w:spacing w:val="-5"/>
                <w:highlight w:val="yellow"/>
              </w:rPr>
              <w:t xml:space="preserve">•        </w:t>
            </w:r>
            <w:r>
              <w:rPr>
                <w:color w:val="57585A"/>
                <w:spacing w:val="-5"/>
                <w:highlight w:val="yellow"/>
              </w:rPr>
              <w:t>A growing cadre of</w:t>
            </w:r>
            <w:r>
              <w:rPr>
                <w:color w:val="57585A"/>
                <w:spacing w:val="-13"/>
                <w:highlight w:val="yellow"/>
              </w:rPr>
              <w:t xml:space="preserve"> </w:t>
            </w:r>
            <w:r>
              <w:rPr>
                <w:color w:val="57585A"/>
                <w:spacing w:val="-5"/>
                <w:highlight w:val="yellow"/>
              </w:rPr>
              <w:t>international and national oil comp</w:t>
            </w:r>
            <w:r>
              <w:rPr>
                <w:color w:val="57585A"/>
                <w:spacing w:val="-6"/>
                <w:highlight w:val="yellow"/>
              </w:rPr>
              <w:t>anies</w:t>
            </w:r>
            <w:r>
              <w:rPr>
                <w:color w:val="57585A"/>
                <w:highlight w:val="yellow"/>
              </w:rPr>
              <w:t xml:space="preserve"> </w:t>
            </w:r>
            <w:r>
              <w:rPr>
                <w:color w:val="57585A"/>
                <w:spacing w:val="-6"/>
                <w:highlight w:val="yellow"/>
              </w:rPr>
              <w:t>are investing in the</w:t>
            </w:r>
            <w:r>
              <w:rPr>
                <w:color w:val="57585A"/>
                <w:spacing w:val="-14"/>
                <w:highlight w:val="yellow"/>
              </w:rPr>
              <w:t xml:space="preserve"> </w:t>
            </w:r>
            <w:r>
              <w:rPr>
                <w:color w:val="57585A"/>
                <w:spacing w:val="-7"/>
                <w:highlight w:val="yellow"/>
              </w:rPr>
              <w:t>Vaca Muerta formation.</w:t>
            </w:r>
          </w:p>
          <w:p w14:paraId="6A8058C5">
            <w:pPr>
              <w:pStyle w:val="8"/>
              <w:spacing w:before="79" w:line="280" w:lineRule="auto"/>
              <w:ind w:left="561" w:right="371" w:hanging="478"/>
              <w:rPr>
                <w:highlight w:val="yellow"/>
              </w:rPr>
            </w:pPr>
            <w:r>
              <w:rPr>
                <w:color w:val="33CCFF"/>
                <w:spacing w:val="-6"/>
                <w:highlight w:val="yellow"/>
              </w:rPr>
              <w:t xml:space="preserve">•        </w:t>
            </w:r>
            <w:r>
              <w:rPr>
                <w:color w:val="57585A"/>
                <w:spacing w:val="-6"/>
                <w:highlight w:val="yellow"/>
              </w:rPr>
              <w:t>A few companies eyeing offshore acreage off</w:t>
            </w:r>
            <w:r>
              <w:rPr>
                <w:color w:val="57585A"/>
                <w:spacing w:val="-16"/>
                <w:highlight w:val="yellow"/>
              </w:rPr>
              <w:t xml:space="preserve"> </w:t>
            </w:r>
            <w:r>
              <w:rPr>
                <w:color w:val="57585A"/>
                <w:spacing w:val="-6"/>
                <w:highlight w:val="yellow"/>
              </w:rPr>
              <w:t>the Buenos</w:t>
            </w:r>
            <w:r>
              <w:rPr>
                <w:color w:val="57585A"/>
                <w:highlight w:val="yellow"/>
              </w:rPr>
              <w:t xml:space="preserve"> </w:t>
            </w:r>
            <w:r>
              <w:rPr>
                <w:color w:val="57585A"/>
                <w:spacing w:val="-8"/>
                <w:highlight w:val="yellow"/>
              </w:rPr>
              <w:t>Aires province coast.</w:t>
            </w:r>
          </w:p>
          <w:p w14:paraId="712B8BE6">
            <w:pPr>
              <w:pStyle w:val="8"/>
              <w:spacing w:before="76" w:line="234" w:lineRule="auto"/>
              <w:ind w:left="83"/>
              <w:rPr>
                <w:highlight w:val="yellow"/>
              </w:rPr>
            </w:pPr>
            <w:r>
              <w:rPr>
                <w:color w:val="33CCFF"/>
                <w:spacing w:val="-4"/>
                <w:highlight w:val="yellow"/>
              </w:rPr>
              <w:t xml:space="preserve">•        </w:t>
            </w:r>
            <w:r>
              <w:rPr>
                <w:color w:val="57585A"/>
                <w:spacing w:val="-4"/>
                <w:highlight w:val="yellow"/>
              </w:rPr>
              <w:t>Strong unconventional growth pushing the market</w:t>
            </w:r>
            <w:r>
              <w:rPr>
                <w:color w:val="57585A"/>
                <w:spacing w:val="-10"/>
                <w:highlight w:val="yellow"/>
              </w:rPr>
              <w:t xml:space="preserve"> </w:t>
            </w:r>
            <w:r>
              <w:rPr>
                <w:color w:val="57585A"/>
                <w:spacing w:val="-4"/>
                <w:highlight w:val="yellow"/>
              </w:rPr>
              <w:t>to</w:t>
            </w:r>
          </w:p>
          <w:p w14:paraId="1E6335EE">
            <w:pPr>
              <w:pStyle w:val="8"/>
              <w:spacing w:before="78" w:line="279" w:lineRule="auto"/>
              <w:ind w:left="574" w:right="178" w:hanging="2"/>
              <w:rPr>
                <w:highlight w:val="yellow"/>
              </w:rPr>
            </w:pPr>
            <w:r>
              <w:rPr>
                <w:color w:val="57585A"/>
                <w:spacing w:val="-7"/>
                <w:highlight w:val="yellow"/>
              </w:rPr>
              <w:t>increasingly large net exports of</w:t>
            </w:r>
            <w:r>
              <w:rPr>
                <w:color w:val="57585A"/>
                <w:spacing w:val="-15"/>
                <w:highlight w:val="yellow"/>
              </w:rPr>
              <w:t xml:space="preserve"> </w:t>
            </w:r>
            <w:r>
              <w:rPr>
                <w:color w:val="57585A"/>
                <w:spacing w:val="-7"/>
                <w:highlight w:val="yellow"/>
              </w:rPr>
              <w:t xml:space="preserve">crude. Should </w:t>
            </w:r>
            <w:r>
              <w:rPr>
                <w:color w:val="57585A"/>
                <w:spacing w:val="-8"/>
                <w:highlight w:val="yellow"/>
              </w:rPr>
              <w:t>also become</w:t>
            </w:r>
            <w:r>
              <w:rPr>
                <w:color w:val="57585A"/>
                <w:highlight w:val="yellow"/>
              </w:rPr>
              <w:t xml:space="preserve"> </w:t>
            </w:r>
            <w:r>
              <w:rPr>
                <w:color w:val="57585A"/>
                <w:spacing w:val="-7"/>
                <w:highlight w:val="yellow"/>
              </w:rPr>
              <w:t>net gas exporter in 2025.</w:t>
            </w:r>
          </w:p>
        </w:tc>
        <w:tc>
          <w:tcPr>
            <w:tcW w:w="5100" w:type="dxa"/>
            <w:tcBorders>
              <w:top w:val="nil"/>
              <w:left w:val="single" w:color="D7DADB" w:sz="2" w:space="0"/>
            </w:tcBorders>
            <w:vAlign w:val="top"/>
          </w:tcPr>
          <w:p w14:paraId="39DA5CF9">
            <w:pPr>
              <w:pStyle w:val="8"/>
              <w:spacing w:before="194" w:line="234" w:lineRule="auto"/>
              <w:ind w:left="83"/>
              <w:rPr>
                <w:highlight w:val="yellow"/>
              </w:rPr>
            </w:pPr>
            <w:r>
              <w:rPr>
                <w:color w:val="33CCFF"/>
                <w:spacing w:val="-6"/>
                <w:highlight w:val="yellow"/>
              </w:rPr>
              <w:t>•</w:t>
            </w:r>
            <w:r>
              <w:rPr>
                <w:color w:val="33CCFF"/>
                <w:spacing w:val="2"/>
                <w:highlight w:val="yellow"/>
              </w:rPr>
              <w:t xml:space="preserve">        </w:t>
            </w:r>
            <w:r>
              <w:rPr>
                <w:color w:val="57585A"/>
                <w:spacing w:val="-6"/>
                <w:highlight w:val="yellow"/>
              </w:rPr>
              <w:t>Economic</w:t>
            </w:r>
            <w:r>
              <w:rPr>
                <w:color w:val="57585A"/>
                <w:spacing w:val="-7"/>
                <w:highlight w:val="yellow"/>
              </w:rPr>
              <w:t xml:space="preserve"> </w:t>
            </w:r>
            <w:r>
              <w:rPr>
                <w:color w:val="57585A"/>
                <w:spacing w:val="-6"/>
                <w:highlight w:val="yellow"/>
              </w:rPr>
              <w:t>weakness could undermine future growth</w:t>
            </w:r>
          </w:p>
          <w:p w14:paraId="0BBF44CF">
            <w:pPr>
              <w:pStyle w:val="8"/>
              <w:spacing w:before="78" w:line="279" w:lineRule="auto"/>
              <w:ind w:left="574" w:right="181"/>
              <w:rPr>
                <w:highlight w:val="yellow"/>
              </w:rPr>
            </w:pPr>
            <w:r>
              <w:rPr>
                <w:color w:val="57585A"/>
                <w:spacing w:val="-7"/>
                <w:highlight w:val="yellow"/>
              </w:rPr>
              <w:t>prospects as the government inc</w:t>
            </w:r>
            <w:r>
              <w:rPr>
                <w:color w:val="57585A"/>
                <w:spacing w:val="-8"/>
                <w:highlight w:val="yellow"/>
              </w:rPr>
              <w:t>reases austerity measures,</w:t>
            </w:r>
            <w:r>
              <w:rPr>
                <w:color w:val="57585A"/>
                <w:highlight w:val="yellow"/>
              </w:rPr>
              <w:t xml:space="preserve"> </w:t>
            </w:r>
            <w:r>
              <w:rPr>
                <w:color w:val="57585A"/>
                <w:spacing w:val="-6"/>
                <w:highlight w:val="yellow"/>
              </w:rPr>
              <w:t>reducing investor confidence.</w:t>
            </w:r>
          </w:p>
          <w:p w14:paraId="29C5D734">
            <w:pPr>
              <w:pStyle w:val="8"/>
              <w:spacing w:before="78" w:line="300" w:lineRule="auto"/>
              <w:ind w:left="565" w:right="188" w:hanging="482"/>
              <w:rPr>
                <w:highlight w:val="yellow"/>
              </w:rPr>
            </w:pPr>
            <w:r>
              <w:rPr>
                <w:color w:val="33CCFF"/>
                <w:spacing w:val="-6"/>
                <w:highlight w:val="yellow"/>
              </w:rPr>
              <w:t>•</w:t>
            </w:r>
            <w:r>
              <w:rPr>
                <w:color w:val="33CCFF"/>
                <w:spacing w:val="1"/>
                <w:highlight w:val="yellow"/>
              </w:rPr>
              <w:t xml:space="preserve">        </w:t>
            </w:r>
            <w:r>
              <w:rPr>
                <w:color w:val="57585A"/>
                <w:spacing w:val="-6"/>
                <w:highlight w:val="yellow"/>
              </w:rPr>
              <w:t>Regulatory uncertainty has left many companies</w:t>
            </w:r>
            <w:r>
              <w:rPr>
                <w:color w:val="57585A"/>
                <w:spacing w:val="-8"/>
                <w:highlight w:val="yellow"/>
              </w:rPr>
              <w:t xml:space="preserve"> </w:t>
            </w:r>
            <w:r>
              <w:rPr>
                <w:color w:val="57585A"/>
                <w:spacing w:val="-6"/>
                <w:highlight w:val="yellow"/>
              </w:rPr>
              <w:t xml:space="preserve">waiting </w:t>
            </w:r>
            <w:r>
              <w:rPr>
                <w:color w:val="57585A"/>
                <w:spacing w:val="-7"/>
                <w:highlight w:val="yellow"/>
              </w:rPr>
              <w:t>on</w:t>
            </w:r>
            <w:r>
              <w:rPr>
                <w:color w:val="57585A"/>
                <w:highlight w:val="yellow"/>
              </w:rPr>
              <w:t xml:space="preserve"> </w:t>
            </w:r>
            <w:r>
              <w:rPr>
                <w:color w:val="57585A"/>
                <w:spacing w:val="-6"/>
                <w:highlight w:val="yellow"/>
              </w:rPr>
              <w:t>the sidelines.</w:t>
            </w:r>
          </w:p>
          <w:p w14:paraId="331536E7">
            <w:pPr>
              <w:pStyle w:val="8"/>
              <w:spacing w:before="42" w:line="279" w:lineRule="auto"/>
              <w:ind w:left="569" w:right="455" w:hanging="486"/>
              <w:rPr>
                <w:highlight w:val="yellow"/>
              </w:rPr>
            </w:pPr>
            <w:r>
              <w:rPr>
                <w:color w:val="33CCFF"/>
                <w:spacing w:val="-5"/>
                <w:highlight w:val="yellow"/>
              </w:rPr>
              <w:t>•</w:t>
            </w:r>
            <w:r>
              <w:rPr>
                <w:color w:val="33CCFF"/>
                <w:spacing w:val="1"/>
                <w:highlight w:val="yellow"/>
              </w:rPr>
              <w:t xml:space="preserve">        </w:t>
            </w:r>
            <w:r>
              <w:rPr>
                <w:color w:val="57585A"/>
                <w:spacing w:val="-5"/>
                <w:highlight w:val="yellow"/>
              </w:rPr>
              <w:t>Delays to key offtake infrastruct</w:t>
            </w:r>
            <w:r>
              <w:rPr>
                <w:color w:val="57585A"/>
                <w:spacing w:val="-6"/>
                <w:highlight w:val="yellow"/>
              </w:rPr>
              <w:t>ure is the main threat</w:t>
            </w:r>
            <w:r>
              <w:rPr>
                <w:color w:val="57585A"/>
                <w:spacing w:val="-4"/>
                <w:highlight w:val="yellow"/>
              </w:rPr>
              <w:t xml:space="preserve"> </w:t>
            </w:r>
            <w:r>
              <w:rPr>
                <w:color w:val="57585A"/>
                <w:spacing w:val="-6"/>
                <w:highlight w:val="yellow"/>
              </w:rPr>
              <w:t>to</w:t>
            </w:r>
            <w:r>
              <w:rPr>
                <w:color w:val="57585A"/>
                <w:highlight w:val="yellow"/>
              </w:rPr>
              <w:t xml:space="preserve"> </w:t>
            </w:r>
            <w:r>
              <w:rPr>
                <w:color w:val="57585A"/>
                <w:spacing w:val="-4"/>
                <w:highlight w:val="yellow"/>
              </w:rPr>
              <w:t>continued unconventional production gr</w:t>
            </w:r>
            <w:r>
              <w:rPr>
                <w:color w:val="57585A"/>
                <w:spacing w:val="-5"/>
                <w:highlight w:val="yellow"/>
              </w:rPr>
              <w:t>owth.</w:t>
            </w:r>
          </w:p>
        </w:tc>
      </w:tr>
    </w:tbl>
    <w:p w14:paraId="08D6A132">
      <w:pPr>
        <w:rPr>
          <w:rFonts w:hint="eastAsia"/>
          <w:sz w:val="16"/>
          <w:szCs w:val="16"/>
        </w:rPr>
      </w:pPr>
    </w:p>
    <w:p w14:paraId="79CE98C6">
      <w:pPr>
        <w:rPr>
          <w:rFonts w:hint="eastAsia"/>
          <w:sz w:val="16"/>
          <w:szCs w:val="16"/>
        </w:rPr>
      </w:pPr>
    </w:p>
    <w:p w14:paraId="095DCD99">
      <w:pPr>
        <w:rPr>
          <w:rFonts w:hint="eastAsia"/>
          <w:sz w:val="16"/>
          <w:szCs w:val="16"/>
        </w:rPr>
      </w:pPr>
    </w:p>
    <w:p w14:paraId="5952F6B1">
      <w:pPr>
        <w:rPr>
          <w:rFonts w:hint="eastAsia"/>
          <w:sz w:val="16"/>
          <w:szCs w:val="16"/>
        </w:rPr>
      </w:pPr>
      <w:r>
        <w:rPr>
          <w:rFonts w:hint="eastAsia"/>
          <w:sz w:val="16"/>
          <w:szCs w:val="16"/>
        </w:rPr>
        <w:t>阿根廷内乌肯省的巴卡穆埃尔塔页岩层拥有世界上一些最大的油气资源。</w:t>
      </w:r>
    </w:p>
    <w:p w14:paraId="769ADA84">
      <w:pPr>
        <w:rPr>
          <w:rFonts w:hint="eastAsia"/>
          <w:sz w:val="16"/>
          <w:szCs w:val="16"/>
        </w:rPr>
      </w:pPr>
      <w:r>
        <w:rPr>
          <w:rFonts w:hint="eastAsia"/>
          <w:sz w:val="16"/>
          <w:szCs w:val="16"/>
        </w:rPr>
        <w:t>• 同样拥有大型的传统陆上和海上业务板块。</w:t>
      </w:r>
    </w:p>
    <w:p w14:paraId="4A07F46C">
      <w:pPr>
        <w:rPr>
          <w:rFonts w:hint="eastAsia"/>
          <w:sz w:val="16"/>
          <w:szCs w:val="16"/>
        </w:rPr>
      </w:pPr>
      <w:r>
        <w:rPr>
          <w:rFonts w:hint="eastAsia"/>
          <w:sz w:val="16"/>
          <w:szCs w:val="16"/>
        </w:rPr>
        <w:t>近年来，竞争环境有所改善，许多主要的国际石油公司（IOC）都在投资勘探和开发非常规储量。</w:t>
      </w:r>
    </w:p>
    <w:p w14:paraId="7B8E185B">
      <w:pPr>
        <w:rPr>
          <w:rFonts w:hint="eastAsia"/>
          <w:sz w:val="16"/>
          <w:szCs w:val="16"/>
        </w:rPr>
      </w:pPr>
      <w:r>
        <w:rPr>
          <w:rFonts w:hint="eastAsia"/>
          <w:sz w:val="16"/>
          <w:szCs w:val="16"/>
        </w:rPr>
        <w:t>• 在哈维尔·米莱总统的支持下，改善监管环境，以促进油气行业的扩张。</w:t>
      </w:r>
    </w:p>
    <w:p w14:paraId="3AE1094E">
      <w:pPr>
        <w:rPr>
          <w:rFonts w:hint="eastAsia"/>
          <w:sz w:val="16"/>
          <w:szCs w:val="16"/>
        </w:rPr>
      </w:pPr>
    </w:p>
    <w:p w14:paraId="0F94DD82">
      <w:pPr>
        <w:rPr>
          <w:rFonts w:hint="eastAsia"/>
          <w:sz w:val="16"/>
          <w:szCs w:val="16"/>
        </w:rPr>
      </w:pPr>
    </w:p>
    <w:p w14:paraId="390E8BEA">
      <w:pPr>
        <w:rPr>
          <w:rFonts w:hint="eastAsia"/>
          <w:sz w:val="16"/>
          <w:szCs w:val="16"/>
        </w:rPr>
      </w:pPr>
      <w:r>
        <w:rPr>
          <w:rFonts w:hint="eastAsia"/>
          <w:sz w:val="16"/>
          <w:szCs w:val="16"/>
        </w:rPr>
        <w:t>国内油田服务和基础设施的不足导致非常规油田区块的上游开发成本居高不下。</w:t>
      </w:r>
    </w:p>
    <w:p w14:paraId="0DD5474D">
      <w:pPr>
        <w:rPr>
          <w:rFonts w:hint="eastAsia"/>
          <w:sz w:val="16"/>
          <w:szCs w:val="16"/>
        </w:rPr>
      </w:pPr>
      <w:r>
        <w:rPr>
          <w:rFonts w:hint="eastAsia"/>
          <w:sz w:val="16"/>
          <w:szCs w:val="16"/>
        </w:rPr>
        <w:t>• 液化天然气进口完全依赖现货市场，使YPF和Enarsa面临价格剧烈波动以及与巴西等其他拉丁美洲市场的激烈竞争。</w:t>
      </w:r>
    </w:p>
    <w:p w14:paraId="115EE731">
      <w:pPr>
        <w:rPr>
          <w:rFonts w:hint="eastAsia"/>
          <w:sz w:val="16"/>
          <w:szCs w:val="16"/>
        </w:rPr>
      </w:pPr>
      <w:r>
        <w:rPr>
          <w:rFonts w:hint="eastAsia"/>
          <w:sz w:val="16"/>
          <w:szCs w:val="16"/>
        </w:rPr>
        <w:t>• 尽管基础设施工程已初见成效，但中游基础设施的不足仍阻碍着瓦卡穆埃尔塔油田储量的开发。</w:t>
      </w:r>
    </w:p>
    <w:p w14:paraId="0D314164">
      <w:pPr>
        <w:rPr>
          <w:rFonts w:hint="eastAsia"/>
          <w:sz w:val="16"/>
          <w:szCs w:val="16"/>
        </w:rPr>
      </w:pPr>
    </w:p>
    <w:p w14:paraId="2CDFB879">
      <w:pPr>
        <w:rPr>
          <w:rFonts w:hint="eastAsia"/>
          <w:sz w:val="16"/>
          <w:szCs w:val="16"/>
        </w:rPr>
      </w:pPr>
      <w:r>
        <w:rPr>
          <w:rFonts w:hint="eastAsia"/>
          <w:sz w:val="16"/>
          <w:szCs w:val="16"/>
        </w:rPr>
        <w:t xml:space="preserve"> 雷普索尔-YPF（Repsol-YPF）纠纷的解决，加之监管环境日益有利于投资者，将进一步鼓励国际资本进入该行业。</w:t>
      </w:r>
    </w:p>
    <w:p w14:paraId="44372483">
      <w:pPr>
        <w:rPr>
          <w:rFonts w:hint="eastAsia"/>
          <w:sz w:val="16"/>
          <w:szCs w:val="16"/>
        </w:rPr>
      </w:pPr>
      <w:r>
        <w:rPr>
          <w:rFonts w:hint="eastAsia"/>
          <w:sz w:val="16"/>
          <w:szCs w:val="16"/>
        </w:rPr>
        <w:t>• 越来越多的国际和国内石油公司正在对瓦卡穆埃尔塔（Vaca Muerta）地层进行投资。</w:t>
      </w:r>
    </w:p>
    <w:p w14:paraId="418BD744">
      <w:pPr>
        <w:rPr>
          <w:rFonts w:hint="eastAsia"/>
          <w:sz w:val="16"/>
          <w:szCs w:val="16"/>
        </w:rPr>
      </w:pPr>
      <w:r>
        <w:rPr>
          <w:rFonts w:hint="eastAsia"/>
          <w:sz w:val="16"/>
          <w:szCs w:val="16"/>
        </w:rPr>
        <w:t>• 一些公司正关注布宜诺斯艾利斯省海岸线外的海上油田。</w:t>
      </w:r>
    </w:p>
    <w:p w14:paraId="579CC9F0">
      <w:pPr>
        <w:rPr>
          <w:rFonts w:hint="eastAsia"/>
          <w:sz w:val="16"/>
          <w:szCs w:val="16"/>
        </w:rPr>
      </w:pPr>
      <w:r>
        <w:rPr>
          <w:rFonts w:hint="eastAsia"/>
          <w:sz w:val="16"/>
          <w:szCs w:val="16"/>
        </w:rPr>
        <w:t>• 强劲的非传统增长推动市场原油净出口量不断增加。到2025年，该市场还应成为天然气净出口国。</w:t>
      </w:r>
    </w:p>
    <w:p w14:paraId="7CB16B57">
      <w:pPr>
        <w:rPr>
          <w:rFonts w:hint="eastAsia"/>
        </w:rPr>
      </w:pPr>
    </w:p>
    <w:p w14:paraId="68E61ED0">
      <w:pPr>
        <w:rPr>
          <w:rFonts w:hint="eastAsia"/>
          <w:sz w:val="16"/>
          <w:szCs w:val="16"/>
        </w:rPr>
      </w:pPr>
      <w:r>
        <w:rPr>
          <w:rFonts w:hint="eastAsia"/>
          <w:sz w:val="16"/>
          <w:szCs w:val="16"/>
        </w:rPr>
        <w:t xml:space="preserve">  经济疲软可能会削弱未来的增长</w:t>
      </w:r>
    </w:p>
    <w:p w14:paraId="16231EAB">
      <w:pPr>
        <w:rPr>
          <w:rFonts w:hint="eastAsia"/>
          <w:sz w:val="16"/>
          <w:szCs w:val="16"/>
        </w:rPr>
      </w:pPr>
      <w:r>
        <w:rPr>
          <w:rFonts w:hint="eastAsia"/>
          <w:sz w:val="16"/>
          <w:szCs w:val="16"/>
        </w:rPr>
        <w:t>随着政府加大紧缩措施的力度，投资者信心下降，前景堪忧。</w:t>
      </w:r>
    </w:p>
    <w:p w14:paraId="7262BBAE">
      <w:pPr>
        <w:rPr>
          <w:rFonts w:hint="eastAsia"/>
          <w:sz w:val="16"/>
          <w:szCs w:val="16"/>
        </w:rPr>
      </w:pPr>
      <w:r>
        <w:rPr>
          <w:rFonts w:hint="eastAsia"/>
          <w:sz w:val="16"/>
          <w:szCs w:val="16"/>
        </w:rPr>
        <w:t>• 监管的不确定性让许多公司持观望态度。</w:t>
      </w:r>
    </w:p>
    <w:p w14:paraId="0E12831E">
      <w:pPr>
        <w:rPr>
          <w:rFonts w:hint="eastAsia"/>
          <w:sz w:val="16"/>
          <w:szCs w:val="16"/>
        </w:rPr>
      </w:pPr>
      <w:r>
        <w:rPr>
          <w:rFonts w:hint="eastAsia"/>
          <w:sz w:val="16"/>
          <w:szCs w:val="16"/>
        </w:rPr>
        <w:t>• 关键承购基础设施的延误是持续非常规生产增长的主要威胁。</w:t>
      </w:r>
    </w:p>
    <w:p w14:paraId="4AE376F0">
      <w:pPr>
        <w:rPr>
          <w:rFonts w:hint="eastAsia"/>
        </w:rPr>
        <w:sectPr>
          <w:footerReference r:id="rId10" w:type="default"/>
          <w:pgSz w:w="11906" w:h="16838"/>
          <w:pgMar w:top="400" w:right="490" w:bottom="883" w:left="490" w:header="0" w:footer="0" w:gutter="0"/>
          <w:cols w:space="720" w:num="1"/>
        </w:sectPr>
      </w:pPr>
    </w:p>
    <w:p w14:paraId="4E251AEE">
      <w:pPr>
        <w:pStyle w:val="4"/>
        <w:spacing w:before="73" w:line="241" w:lineRule="auto"/>
        <w:ind w:left="7372"/>
        <w:rPr>
          <w:sz w:val="20"/>
          <w:szCs w:val="20"/>
        </w:rPr>
      </w:pPr>
      <w:r>
        <w:drawing>
          <wp:anchor distT="0" distB="0" distL="0" distR="0" simplePos="0" relativeHeight="25167974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80768" behindDoc="0" locked="0" layoutInCell="0" allowOverlap="1">
            <wp:simplePos x="0" y="0"/>
            <wp:positionH relativeFrom="page">
              <wp:posOffset>311150</wp:posOffset>
            </wp:positionH>
            <wp:positionV relativeFrom="page">
              <wp:posOffset>0</wp:posOffset>
            </wp:positionV>
            <wp:extent cx="19050" cy="814070"/>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C00127B">
      <w:pPr>
        <w:pStyle w:val="4"/>
        <w:spacing w:line="278" w:lineRule="auto"/>
      </w:pPr>
    </w:p>
    <w:p w14:paraId="0EB73614">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3BFCEB1">
      <w:pPr>
        <w:pStyle w:val="4"/>
        <w:spacing w:line="374" w:lineRule="auto"/>
      </w:pPr>
    </w:p>
    <w:p w14:paraId="0224DE35">
      <w:pPr>
        <w:pStyle w:val="4"/>
        <w:spacing w:before="126" w:line="234" w:lineRule="auto"/>
        <w:ind w:left="395"/>
        <w:outlineLvl w:val="0"/>
        <w:rPr>
          <w:sz w:val="44"/>
          <w:szCs w:val="44"/>
        </w:rPr>
      </w:pPr>
      <w:bookmarkStart w:id="6" w:name="bookmark34"/>
      <w:bookmarkEnd w:id="6"/>
      <w:bookmarkStart w:id="7" w:name="bookmark4"/>
      <w:bookmarkEnd w:id="7"/>
      <w:bookmarkStart w:id="8" w:name="bookmark5"/>
      <w:bookmarkEnd w:id="8"/>
      <w:r>
        <w:rPr>
          <w:color w:val="174174"/>
          <w:spacing w:val="-20"/>
          <w:sz w:val="44"/>
          <w:szCs w:val="44"/>
        </w:rPr>
        <w:t>Industry Forecast</w:t>
      </w:r>
    </w:p>
    <w:p w14:paraId="1763B276">
      <w:pPr>
        <w:pStyle w:val="4"/>
        <w:spacing w:before="145" w:line="236" w:lineRule="auto"/>
        <w:ind w:left="383"/>
        <w:outlineLvl w:val="0"/>
        <w:rPr>
          <w:sz w:val="30"/>
          <w:szCs w:val="30"/>
        </w:rPr>
      </w:pPr>
      <w:bookmarkStart w:id="9" w:name="bookmark35"/>
      <w:bookmarkEnd w:id="9"/>
      <w:r>
        <w:rPr>
          <w:color w:val="2A8ABF"/>
          <w:spacing w:val="-13"/>
          <w:sz w:val="30"/>
          <w:szCs w:val="30"/>
        </w:rPr>
        <w:t>Upstream Exploration</w:t>
      </w:r>
    </w:p>
    <w:p w14:paraId="5701E9B0">
      <w:pPr>
        <w:pStyle w:val="4"/>
        <w:spacing w:line="263" w:lineRule="auto"/>
      </w:pPr>
    </w:p>
    <w:p w14:paraId="33E4AB6A">
      <w:pPr>
        <w:pStyle w:val="4"/>
        <w:spacing w:before="57" w:line="273" w:lineRule="auto"/>
        <w:ind w:left="373" w:right="370" w:firstLine="12"/>
        <w:rPr>
          <w:sz w:val="20"/>
          <w:szCs w:val="20"/>
        </w:rPr>
      </w:pPr>
      <w:r>
        <w:rPr>
          <w:b/>
          <w:bCs/>
          <w:i/>
          <w:iCs/>
          <w:color w:val="57585A"/>
          <w:spacing w:val="-7"/>
          <w:w w:val="96"/>
          <w:sz w:val="20"/>
          <w:szCs w:val="20"/>
        </w:rPr>
        <w:t xml:space="preserve">Key View: </w:t>
      </w:r>
      <w:r>
        <w:rPr>
          <w:i/>
          <w:iCs/>
          <w:color w:val="57585A"/>
          <w:spacing w:val="-7"/>
          <w:w w:val="96"/>
          <w:sz w:val="20"/>
          <w:szCs w:val="20"/>
        </w:rPr>
        <w:t>We are increasingly</w:t>
      </w:r>
      <w:r>
        <w:rPr>
          <w:i/>
          <w:iCs/>
          <w:color w:val="57585A"/>
          <w:spacing w:val="-19"/>
          <w:sz w:val="20"/>
          <w:szCs w:val="20"/>
        </w:rPr>
        <w:t xml:space="preserve"> </w:t>
      </w:r>
      <w:r>
        <w:rPr>
          <w:i/>
          <w:iCs/>
          <w:color w:val="57585A"/>
          <w:spacing w:val="-7"/>
          <w:w w:val="96"/>
          <w:sz w:val="20"/>
          <w:szCs w:val="20"/>
        </w:rPr>
        <w:t>optimistic about</w:t>
      </w:r>
      <w:r>
        <w:rPr>
          <w:i/>
          <w:iCs/>
          <w:color w:val="57585A"/>
          <w:spacing w:val="-30"/>
          <w:sz w:val="20"/>
          <w:szCs w:val="20"/>
        </w:rPr>
        <w:t xml:space="preserve"> </w:t>
      </w:r>
      <w:r>
        <w:rPr>
          <w:i/>
          <w:iCs/>
          <w:color w:val="57585A"/>
          <w:spacing w:val="-7"/>
          <w:w w:val="96"/>
          <w:sz w:val="20"/>
          <w:szCs w:val="20"/>
        </w:rPr>
        <w:t>Arge</w:t>
      </w:r>
      <w:r>
        <w:rPr>
          <w:i/>
          <w:iCs/>
          <w:color w:val="57585A"/>
          <w:spacing w:val="-8"/>
          <w:w w:val="96"/>
          <w:sz w:val="20"/>
          <w:szCs w:val="20"/>
        </w:rPr>
        <w:t>ntina's</w:t>
      </w:r>
      <w:r>
        <w:rPr>
          <w:i/>
          <w:iCs/>
          <w:color w:val="57585A"/>
          <w:spacing w:val="-21"/>
          <w:sz w:val="20"/>
          <w:szCs w:val="20"/>
        </w:rPr>
        <w:t xml:space="preserve"> </w:t>
      </w:r>
      <w:r>
        <w:rPr>
          <w:i/>
          <w:iCs/>
          <w:color w:val="57585A"/>
          <w:spacing w:val="-8"/>
          <w:w w:val="96"/>
          <w:sz w:val="20"/>
          <w:szCs w:val="20"/>
        </w:rPr>
        <w:t>proven hydrocarbons reserves thanks to positive trends in the upstream</w:t>
      </w:r>
      <w:r>
        <w:rPr>
          <w:i/>
          <w:iCs/>
          <w:color w:val="57585A"/>
          <w:sz w:val="20"/>
          <w:szCs w:val="20"/>
        </w:rPr>
        <w:t xml:space="preserve"> </w:t>
      </w:r>
      <w:r>
        <w:rPr>
          <w:i/>
          <w:iCs/>
          <w:color w:val="57585A"/>
          <w:spacing w:val="-7"/>
          <w:w w:val="95"/>
          <w:sz w:val="20"/>
          <w:szCs w:val="20"/>
        </w:rPr>
        <w:t>market, midstream infrastructure expansions, increased capital expenditures, a</w:t>
      </w:r>
      <w:r>
        <w:rPr>
          <w:i/>
          <w:iCs/>
          <w:color w:val="57585A"/>
          <w:spacing w:val="-8"/>
          <w:w w:val="95"/>
          <w:sz w:val="20"/>
          <w:szCs w:val="20"/>
        </w:rPr>
        <w:t>nd</w:t>
      </w:r>
      <w:r>
        <w:rPr>
          <w:i/>
          <w:iCs/>
          <w:color w:val="57585A"/>
          <w:spacing w:val="-20"/>
          <w:sz w:val="20"/>
          <w:szCs w:val="20"/>
        </w:rPr>
        <w:t xml:space="preserve"> </w:t>
      </w:r>
      <w:r>
        <w:rPr>
          <w:i/>
          <w:iCs/>
          <w:color w:val="57585A"/>
          <w:spacing w:val="-8"/>
          <w:w w:val="95"/>
          <w:sz w:val="20"/>
          <w:szCs w:val="20"/>
        </w:rPr>
        <w:t>strong</w:t>
      </w:r>
      <w:r>
        <w:rPr>
          <w:i/>
          <w:iCs/>
          <w:color w:val="57585A"/>
          <w:spacing w:val="-16"/>
          <w:sz w:val="20"/>
          <w:szCs w:val="20"/>
        </w:rPr>
        <w:t xml:space="preserve"> </w:t>
      </w:r>
      <w:r>
        <w:rPr>
          <w:i/>
          <w:iCs/>
          <w:color w:val="57585A"/>
          <w:spacing w:val="-8"/>
          <w:w w:val="95"/>
          <w:sz w:val="20"/>
          <w:szCs w:val="20"/>
        </w:rPr>
        <w:t>interest from IOCs.</w:t>
      </w:r>
      <w:r>
        <w:rPr>
          <w:i/>
          <w:iCs/>
          <w:color w:val="57585A"/>
          <w:spacing w:val="5"/>
          <w:sz w:val="20"/>
          <w:szCs w:val="20"/>
        </w:rPr>
        <w:t xml:space="preserve"> </w:t>
      </w:r>
      <w:r>
        <w:rPr>
          <w:i/>
          <w:iCs/>
          <w:color w:val="57585A"/>
          <w:spacing w:val="-8"/>
          <w:w w:val="95"/>
          <w:sz w:val="20"/>
          <w:szCs w:val="20"/>
        </w:rPr>
        <w:t>Growth is expected</w:t>
      </w:r>
    </w:p>
    <w:p w14:paraId="01BC50C6">
      <w:pPr>
        <w:pStyle w:val="4"/>
        <w:spacing w:before="37" w:line="233" w:lineRule="auto"/>
        <w:ind w:left="377"/>
        <w:rPr>
          <w:sz w:val="20"/>
          <w:szCs w:val="20"/>
        </w:rPr>
      </w:pPr>
      <w:r>
        <w:rPr>
          <w:i/>
          <w:iCs/>
          <w:color w:val="57585A"/>
          <w:spacing w:val="-7"/>
          <w:w w:val="96"/>
          <w:sz w:val="20"/>
          <w:szCs w:val="20"/>
        </w:rPr>
        <w:t>from shale exploration in particular</w:t>
      </w:r>
      <w:r>
        <w:rPr>
          <w:i/>
          <w:iCs/>
          <w:color w:val="57585A"/>
          <w:spacing w:val="-23"/>
          <w:sz w:val="20"/>
          <w:szCs w:val="20"/>
        </w:rPr>
        <w:t xml:space="preserve"> </w:t>
      </w:r>
      <w:r>
        <w:rPr>
          <w:i/>
          <w:iCs/>
          <w:color w:val="57585A"/>
          <w:spacing w:val="-7"/>
          <w:w w:val="96"/>
          <w:sz w:val="20"/>
          <w:szCs w:val="20"/>
        </w:rPr>
        <w:t xml:space="preserve">and offshore development. However, </w:t>
      </w:r>
      <w:r>
        <w:rPr>
          <w:i/>
          <w:iCs/>
          <w:color w:val="57585A"/>
          <w:spacing w:val="-8"/>
          <w:w w:val="96"/>
          <w:sz w:val="20"/>
          <w:szCs w:val="20"/>
        </w:rPr>
        <w:t>long-term forecasts indicate declining</w:t>
      </w:r>
      <w:r>
        <w:rPr>
          <w:i/>
          <w:iCs/>
          <w:color w:val="57585A"/>
          <w:spacing w:val="-16"/>
          <w:sz w:val="20"/>
          <w:szCs w:val="20"/>
        </w:rPr>
        <w:t xml:space="preserve"> </w:t>
      </w:r>
      <w:r>
        <w:rPr>
          <w:i/>
          <w:iCs/>
          <w:color w:val="57585A"/>
          <w:spacing w:val="-8"/>
          <w:w w:val="96"/>
          <w:sz w:val="20"/>
          <w:szCs w:val="20"/>
        </w:rPr>
        <w:t>reserves as</w:t>
      </w:r>
    </w:p>
    <w:p w14:paraId="2CE2994A">
      <w:pPr>
        <w:pStyle w:val="4"/>
        <w:spacing w:before="56" w:line="233" w:lineRule="auto"/>
        <w:ind w:left="365"/>
        <w:rPr>
          <w:sz w:val="20"/>
          <w:szCs w:val="20"/>
        </w:rPr>
      </w:pPr>
      <w:r>
        <w:rPr>
          <w:i/>
          <w:iCs/>
          <w:color w:val="57585A"/>
          <w:spacing w:val="-8"/>
          <w:w w:val="99"/>
          <w:sz w:val="20"/>
          <w:szCs w:val="20"/>
        </w:rPr>
        <w:t>production increases, w</w:t>
      </w:r>
      <w:r>
        <w:rPr>
          <w:i/>
          <w:iCs/>
          <w:color w:val="57585A"/>
          <w:spacing w:val="-9"/>
          <w:w w:val="99"/>
          <w:sz w:val="20"/>
          <w:szCs w:val="20"/>
        </w:rPr>
        <w:t>ith potential upside dependent on attracting foreign investment</w:t>
      </w:r>
      <w:r>
        <w:rPr>
          <w:i/>
          <w:iCs/>
          <w:color w:val="57585A"/>
          <w:spacing w:val="-19"/>
          <w:sz w:val="20"/>
          <w:szCs w:val="20"/>
        </w:rPr>
        <w:t xml:space="preserve"> </w:t>
      </w:r>
      <w:r>
        <w:rPr>
          <w:i/>
          <w:iCs/>
          <w:color w:val="57585A"/>
          <w:spacing w:val="-9"/>
          <w:w w:val="99"/>
          <w:sz w:val="20"/>
          <w:szCs w:val="20"/>
        </w:rPr>
        <w:t>in exploration over</w:t>
      </w:r>
      <w:r>
        <w:rPr>
          <w:i/>
          <w:iCs/>
          <w:color w:val="57585A"/>
          <w:spacing w:val="-15"/>
          <w:sz w:val="20"/>
          <w:szCs w:val="20"/>
        </w:rPr>
        <w:t xml:space="preserve"> </w:t>
      </w:r>
      <w:r>
        <w:rPr>
          <w:i/>
          <w:iCs/>
          <w:color w:val="57585A"/>
          <w:spacing w:val="-9"/>
          <w:w w:val="99"/>
          <w:sz w:val="20"/>
          <w:szCs w:val="20"/>
        </w:rPr>
        <w:t>the coming</w:t>
      </w:r>
      <w:r>
        <w:rPr>
          <w:i/>
          <w:iCs/>
          <w:color w:val="57585A"/>
          <w:spacing w:val="-37"/>
          <w:sz w:val="20"/>
          <w:szCs w:val="20"/>
        </w:rPr>
        <w:t xml:space="preserve"> </w:t>
      </w:r>
      <w:r>
        <w:rPr>
          <w:i/>
          <w:iCs/>
          <w:color w:val="57585A"/>
          <w:spacing w:val="-9"/>
          <w:w w:val="99"/>
          <w:sz w:val="20"/>
          <w:szCs w:val="20"/>
        </w:rPr>
        <w:t>years.</w:t>
      </w:r>
    </w:p>
    <w:p w14:paraId="42DF8F65">
      <w:pPr>
        <w:pStyle w:val="4"/>
        <w:spacing w:line="342" w:lineRule="auto"/>
      </w:pPr>
    </w:p>
    <w:p w14:paraId="1A9ADA7B">
      <w:pPr>
        <w:pStyle w:val="4"/>
        <w:spacing w:line="343" w:lineRule="auto"/>
      </w:pPr>
    </w:p>
    <w:p w14:paraId="32367087">
      <w:pPr>
        <w:pStyle w:val="4"/>
        <w:spacing w:before="70" w:line="182" w:lineRule="auto"/>
        <w:ind w:left="378"/>
        <w:outlineLvl w:val="2"/>
        <w:rPr>
          <w:sz w:val="24"/>
          <w:szCs w:val="24"/>
        </w:rPr>
      </w:pPr>
      <w:r>
        <w:rPr>
          <w:b/>
          <w:bCs/>
          <w:color w:val="174174"/>
          <w:spacing w:val="-9"/>
          <w:sz w:val="24"/>
          <w:szCs w:val="24"/>
        </w:rPr>
        <w:t>Latest Updates</w:t>
      </w:r>
    </w:p>
    <w:p w14:paraId="3CBA4554">
      <w:pPr>
        <w:pStyle w:val="4"/>
        <w:spacing w:line="356" w:lineRule="auto"/>
      </w:pPr>
    </w:p>
    <w:p w14:paraId="42006607">
      <w:pPr>
        <w:pStyle w:val="4"/>
        <w:spacing w:before="58" w:line="286" w:lineRule="auto"/>
        <w:ind w:left="607" w:right="545" w:hanging="250"/>
        <w:rPr>
          <w:sz w:val="20"/>
          <w:szCs w:val="20"/>
        </w:rPr>
      </w:pPr>
      <w:r>
        <w:rPr>
          <w:color w:val="33CCFF"/>
          <w:spacing w:val="-11"/>
          <w:sz w:val="20"/>
          <w:szCs w:val="20"/>
        </w:rPr>
        <w:t xml:space="preserve">•   </w:t>
      </w:r>
      <w:r>
        <w:rPr>
          <w:color w:val="57585A"/>
          <w:spacing w:val="-11"/>
          <w:sz w:val="20"/>
          <w:szCs w:val="20"/>
        </w:rPr>
        <w:t>We have become increasingly bullish in our proven hydrocarbons</w:t>
      </w:r>
      <w:r>
        <w:rPr>
          <w:color w:val="57585A"/>
          <w:spacing w:val="13"/>
          <w:w w:val="101"/>
          <w:sz w:val="20"/>
          <w:szCs w:val="20"/>
        </w:rPr>
        <w:t xml:space="preserve"> </w:t>
      </w:r>
      <w:r>
        <w:rPr>
          <w:color w:val="57585A"/>
          <w:spacing w:val="-11"/>
          <w:sz w:val="20"/>
          <w:szCs w:val="20"/>
        </w:rPr>
        <w:t>reserves forecast for</w:t>
      </w:r>
      <w:r>
        <w:rPr>
          <w:color w:val="57585A"/>
          <w:spacing w:val="-16"/>
          <w:sz w:val="20"/>
          <w:szCs w:val="20"/>
        </w:rPr>
        <w:t xml:space="preserve"> </w:t>
      </w:r>
      <w:r>
        <w:rPr>
          <w:color w:val="57585A"/>
          <w:spacing w:val="-11"/>
          <w:sz w:val="20"/>
          <w:szCs w:val="20"/>
        </w:rPr>
        <w:t>Argentina given improving sentiment in</w:t>
      </w:r>
      <w:r>
        <w:rPr>
          <w:color w:val="57585A"/>
          <w:sz w:val="20"/>
          <w:szCs w:val="20"/>
        </w:rPr>
        <w:t xml:space="preserve"> </w:t>
      </w:r>
      <w:r>
        <w:rPr>
          <w:color w:val="57585A"/>
          <w:spacing w:val="-11"/>
          <w:sz w:val="20"/>
          <w:szCs w:val="20"/>
        </w:rPr>
        <w:t>the broader upstream market amid the progress in midstream infrastructure expansion, plans for growing capital expen</w:t>
      </w:r>
      <w:r>
        <w:rPr>
          <w:color w:val="57585A"/>
          <w:spacing w:val="-12"/>
          <w:sz w:val="20"/>
          <w:szCs w:val="20"/>
        </w:rPr>
        <w:t>ditures</w:t>
      </w:r>
      <w:r>
        <w:rPr>
          <w:color w:val="57585A"/>
          <w:sz w:val="20"/>
          <w:szCs w:val="20"/>
        </w:rPr>
        <w:t xml:space="preserve"> </w:t>
      </w:r>
      <w:r>
        <w:rPr>
          <w:color w:val="57585A"/>
          <w:spacing w:val="-11"/>
          <w:sz w:val="20"/>
          <w:szCs w:val="20"/>
        </w:rPr>
        <w:t>and continued interest from</w:t>
      </w:r>
      <w:r>
        <w:rPr>
          <w:color w:val="57585A"/>
          <w:spacing w:val="6"/>
          <w:sz w:val="20"/>
          <w:szCs w:val="20"/>
        </w:rPr>
        <w:t xml:space="preserve"> </w:t>
      </w:r>
      <w:r>
        <w:rPr>
          <w:color w:val="57585A"/>
          <w:spacing w:val="-11"/>
          <w:sz w:val="20"/>
          <w:szCs w:val="20"/>
        </w:rPr>
        <w:t>the IOCs.</w:t>
      </w:r>
    </w:p>
    <w:p w14:paraId="64C2A93A">
      <w:pPr>
        <w:pStyle w:val="4"/>
        <w:spacing w:before="18" w:line="262" w:lineRule="auto"/>
        <w:ind w:left="607" w:right="820" w:hanging="250"/>
        <w:rPr>
          <w:sz w:val="20"/>
          <w:szCs w:val="20"/>
        </w:rPr>
      </w:pPr>
      <w:r>
        <w:rPr>
          <w:color w:val="33CCFF"/>
          <w:spacing w:val="-11"/>
          <w:sz w:val="20"/>
          <w:szCs w:val="20"/>
        </w:rPr>
        <w:t xml:space="preserve">•   </w:t>
      </w:r>
      <w:r>
        <w:rPr>
          <w:color w:val="57585A"/>
          <w:spacing w:val="-11"/>
          <w:sz w:val="20"/>
          <w:szCs w:val="20"/>
        </w:rPr>
        <w:t>As expected, IOCs are ramping up shale exploration and productio</w:t>
      </w:r>
      <w:r>
        <w:rPr>
          <w:color w:val="57585A"/>
          <w:spacing w:val="-12"/>
          <w:sz w:val="20"/>
          <w:szCs w:val="20"/>
        </w:rPr>
        <w:t>n as they benefit from increased midstream capacity and</w:t>
      </w:r>
      <w:r>
        <w:rPr>
          <w:color w:val="57585A"/>
          <w:sz w:val="20"/>
          <w:szCs w:val="20"/>
        </w:rPr>
        <w:t xml:space="preserve"> </w:t>
      </w:r>
      <w:r>
        <w:rPr>
          <w:color w:val="57585A"/>
          <w:spacing w:val="-12"/>
          <w:sz w:val="20"/>
          <w:szCs w:val="20"/>
        </w:rPr>
        <w:t>favourable business environment, facilitated by President</w:t>
      </w:r>
      <w:r>
        <w:rPr>
          <w:color w:val="57585A"/>
          <w:spacing w:val="-6"/>
          <w:sz w:val="20"/>
          <w:szCs w:val="20"/>
        </w:rPr>
        <w:t xml:space="preserve"> </w:t>
      </w:r>
      <w:r>
        <w:rPr>
          <w:color w:val="57585A"/>
          <w:spacing w:val="-12"/>
          <w:sz w:val="20"/>
          <w:szCs w:val="20"/>
        </w:rPr>
        <w:t>Javier Milei,</w:t>
      </w:r>
      <w:r>
        <w:rPr>
          <w:color w:val="57585A"/>
          <w:spacing w:val="-16"/>
          <w:sz w:val="20"/>
          <w:szCs w:val="20"/>
        </w:rPr>
        <w:t xml:space="preserve"> </w:t>
      </w:r>
      <w:r>
        <w:rPr>
          <w:color w:val="57585A"/>
          <w:spacing w:val="-12"/>
          <w:sz w:val="20"/>
          <w:szCs w:val="20"/>
        </w:rPr>
        <w:t>who took over office in</w:t>
      </w:r>
      <w:r>
        <w:rPr>
          <w:color w:val="57585A"/>
          <w:spacing w:val="-23"/>
          <w:sz w:val="20"/>
          <w:szCs w:val="20"/>
        </w:rPr>
        <w:t xml:space="preserve"> </w:t>
      </w:r>
      <w:r>
        <w:rPr>
          <w:color w:val="57585A"/>
          <w:spacing w:val="-12"/>
          <w:sz w:val="20"/>
          <w:szCs w:val="20"/>
        </w:rPr>
        <w:t>January 2024.</w:t>
      </w:r>
    </w:p>
    <w:p w14:paraId="15C2A107">
      <w:pPr>
        <w:pStyle w:val="4"/>
        <w:spacing w:before="58" w:line="262" w:lineRule="auto"/>
        <w:ind w:left="607" w:right="420" w:hanging="250"/>
        <w:rPr>
          <w:sz w:val="20"/>
          <w:szCs w:val="20"/>
        </w:rPr>
      </w:pPr>
      <w:r>
        <w:rPr>
          <w:color w:val="33CCFF"/>
          <w:spacing w:val="-10"/>
          <w:sz w:val="20"/>
          <w:szCs w:val="20"/>
        </w:rPr>
        <w:t xml:space="preserve">•   </w:t>
      </w:r>
      <w:r>
        <w:rPr>
          <w:color w:val="57585A"/>
          <w:spacing w:val="-10"/>
          <w:sz w:val="20"/>
          <w:szCs w:val="20"/>
        </w:rPr>
        <w:t>Drilling activity has recovered from 2020 lows</w:t>
      </w:r>
      <w:r>
        <w:rPr>
          <w:color w:val="57585A"/>
          <w:spacing w:val="-11"/>
          <w:sz w:val="20"/>
          <w:szCs w:val="20"/>
        </w:rPr>
        <w:t xml:space="preserve"> of rig counts of 22. The rig count</w:t>
      </w:r>
      <w:r>
        <w:rPr>
          <w:color w:val="57585A"/>
          <w:spacing w:val="-16"/>
          <w:sz w:val="20"/>
          <w:szCs w:val="20"/>
        </w:rPr>
        <w:t xml:space="preserve"> </w:t>
      </w:r>
      <w:r>
        <w:rPr>
          <w:color w:val="57585A"/>
          <w:spacing w:val="-11"/>
          <w:sz w:val="20"/>
          <w:szCs w:val="20"/>
        </w:rPr>
        <w:t>was at 49 rigs early 2025 (with one offshore</w:t>
      </w:r>
      <w:r>
        <w:rPr>
          <w:color w:val="57585A"/>
          <w:spacing w:val="-2"/>
          <w:sz w:val="20"/>
          <w:szCs w:val="20"/>
        </w:rPr>
        <w:t xml:space="preserve"> </w:t>
      </w:r>
      <w:r>
        <w:rPr>
          <w:color w:val="57585A"/>
          <w:spacing w:val="-11"/>
          <w:sz w:val="20"/>
          <w:szCs w:val="20"/>
        </w:rPr>
        <w:t>rig, a</w:t>
      </w:r>
      <w:r>
        <w:rPr>
          <w:color w:val="57585A"/>
          <w:sz w:val="20"/>
          <w:szCs w:val="20"/>
        </w:rPr>
        <w:t xml:space="preserve"> </w:t>
      </w:r>
      <w:r>
        <w:rPr>
          <w:color w:val="57585A"/>
          <w:spacing w:val="-10"/>
          <w:sz w:val="20"/>
          <w:szCs w:val="20"/>
        </w:rPr>
        <w:t>first since 2016, altho</w:t>
      </w:r>
      <w:r>
        <w:rPr>
          <w:color w:val="57585A"/>
          <w:spacing w:val="-11"/>
          <w:sz w:val="20"/>
          <w:szCs w:val="20"/>
        </w:rPr>
        <w:t>ugh this remains significantly below the 2018 average level of</w:t>
      </w:r>
      <w:r>
        <w:rPr>
          <w:color w:val="57585A"/>
          <w:spacing w:val="-16"/>
          <w:sz w:val="20"/>
          <w:szCs w:val="20"/>
        </w:rPr>
        <w:t xml:space="preserve"> </w:t>
      </w:r>
      <w:r>
        <w:rPr>
          <w:color w:val="57585A"/>
          <w:spacing w:val="-11"/>
          <w:sz w:val="20"/>
          <w:szCs w:val="20"/>
        </w:rPr>
        <w:t>71.</w:t>
      </w:r>
    </w:p>
    <w:p w14:paraId="4A13FBF1">
      <w:pPr>
        <w:pStyle w:val="4"/>
        <w:spacing w:before="58" w:line="234" w:lineRule="auto"/>
        <w:ind w:left="357"/>
        <w:rPr>
          <w:sz w:val="20"/>
          <w:szCs w:val="20"/>
        </w:rPr>
      </w:pPr>
      <w:r>
        <w:rPr>
          <w:color w:val="33CCFF"/>
          <w:spacing w:val="-12"/>
          <w:sz w:val="20"/>
          <w:szCs w:val="20"/>
        </w:rPr>
        <w:t xml:space="preserve">•   </w:t>
      </w:r>
      <w:r>
        <w:rPr>
          <w:color w:val="57585A"/>
          <w:spacing w:val="-12"/>
          <w:sz w:val="20"/>
          <w:szCs w:val="20"/>
        </w:rPr>
        <w:t>We maintain the view that YPF</w:t>
      </w:r>
      <w:r>
        <w:rPr>
          <w:color w:val="57585A"/>
          <w:spacing w:val="-16"/>
          <w:sz w:val="20"/>
          <w:szCs w:val="20"/>
        </w:rPr>
        <w:t xml:space="preserve"> </w:t>
      </w:r>
      <w:r>
        <w:rPr>
          <w:color w:val="57585A"/>
          <w:spacing w:val="-12"/>
          <w:sz w:val="20"/>
          <w:szCs w:val="20"/>
        </w:rPr>
        <w:t>will continue raising its capital expenditures over the next years. We se</w:t>
      </w:r>
      <w:r>
        <w:rPr>
          <w:color w:val="57585A"/>
          <w:spacing w:val="-13"/>
          <w:sz w:val="20"/>
          <w:szCs w:val="20"/>
        </w:rPr>
        <w:t>e YPF's capex lingering</w:t>
      </w:r>
    </w:p>
    <w:p w14:paraId="35DA7265">
      <w:pPr>
        <w:pStyle w:val="4"/>
        <w:spacing w:before="56" w:line="231" w:lineRule="auto"/>
        <w:ind w:left="618"/>
        <w:rPr>
          <w:sz w:val="20"/>
          <w:szCs w:val="20"/>
        </w:rPr>
      </w:pPr>
      <w:r>
        <w:rPr>
          <w:color w:val="57585A"/>
          <w:spacing w:val="-10"/>
          <w:sz w:val="20"/>
          <w:szCs w:val="20"/>
        </w:rPr>
        <w:t>between USD5-6bn over 2024-2028. Our outlo</w:t>
      </w:r>
      <w:r>
        <w:rPr>
          <w:color w:val="57585A"/>
          <w:spacing w:val="-11"/>
          <w:sz w:val="20"/>
          <w:szCs w:val="20"/>
        </w:rPr>
        <w:t>ok is in line</w:t>
      </w:r>
      <w:r>
        <w:rPr>
          <w:color w:val="57585A"/>
          <w:spacing w:val="-16"/>
          <w:sz w:val="20"/>
          <w:szCs w:val="20"/>
        </w:rPr>
        <w:t xml:space="preserve"> </w:t>
      </w:r>
      <w:r>
        <w:rPr>
          <w:color w:val="57585A"/>
          <w:spacing w:val="-11"/>
          <w:sz w:val="20"/>
          <w:szCs w:val="20"/>
        </w:rPr>
        <w:t>with the company announcement of keeping the capex between</w:t>
      </w:r>
    </w:p>
    <w:p w14:paraId="124943C9">
      <w:pPr>
        <w:pStyle w:val="4"/>
        <w:spacing w:before="58" w:line="262" w:lineRule="auto"/>
        <w:ind w:left="597" w:right="386" w:firstLine="22"/>
        <w:rPr>
          <w:sz w:val="20"/>
          <w:szCs w:val="20"/>
        </w:rPr>
      </w:pPr>
      <w:r>
        <w:rPr>
          <w:color w:val="57585A"/>
          <w:spacing w:val="-11"/>
          <w:sz w:val="20"/>
          <w:szCs w:val="20"/>
        </w:rPr>
        <w:t>USD5-6bn over the near term. Media reports indicat</w:t>
      </w:r>
      <w:r>
        <w:rPr>
          <w:color w:val="57585A"/>
          <w:spacing w:val="-12"/>
          <w:sz w:val="20"/>
          <w:szCs w:val="20"/>
        </w:rPr>
        <w:t>e that</w:t>
      </w:r>
      <w:r>
        <w:rPr>
          <w:color w:val="57585A"/>
          <w:spacing w:val="-16"/>
          <w:sz w:val="20"/>
          <w:szCs w:val="20"/>
        </w:rPr>
        <w:t xml:space="preserve"> </w:t>
      </w:r>
      <w:r>
        <w:rPr>
          <w:color w:val="57585A"/>
          <w:spacing w:val="-12"/>
          <w:sz w:val="20"/>
          <w:szCs w:val="20"/>
        </w:rPr>
        <w:t>YPF plans to focus exploration efforts on D-129 formation in Golfo San</w:t>
      </w:r>
      <w:r>
        <w:rPr>
          <w:color w:val="57585A"/>
          <w:sz w:val="20"/>
          <w:szCs w:val="20"/>
        </w:rPr>
        <w:t xml:space="preserve"> </w:t>
      </w:r>
      <w:r>
        <w:rPr>
          <w:color w:val="57585A"/>
          <w:spacing w:val="-12"/>
          <w:sz w:val="20"/>
          <w:szCs w:val="20"/>
        </w:rPr>
        <w:t>Jorge basin and Santa Cruz pr</w:t>
      </w:r>
      <w:r>
        <w:rPr>
          <w:color w:val="57585A"/>
          <w:spacing w:val="-13"/>
          <w:sz w:val="20"/>
          <w:szCs w:val="20"/>
        </w:rPr>
        <w:t>ovince over the near term.</w:t>
      </w:r>
    </w:p>
    <w:p w14:paraId="27A6907A">
      <w:pPr>
        <w:pStyle w:val="4"/>
        <w:spacing w:before="58" w:line="272" w:lineRule="auto"/>
        <w:ind w:left="607" w:right="393" w:hanging="250"/>
        <w:rPr>
          <w:sz w:val="20"/>
          <w:szCs w:val="20"/>
        </w:rPr>
      </w:pPr>
      <w:r>
        <w:rPr>
          <w:color w:val="33CCFF"/>
          <w:spacing w:val="-10"/>
          <w:sz w:val="20"/>
          <w:szCs w:val="20"/>
        </w:rPr>
        <w:t xml:space="preserve">•   </w:t>
      </w:r>
      <w:r>
        <w:rPr>
          <w:color w:val="57585A"/>
          <w:spacing w:val="-10"/>
          <w:sz w:val="20"/>
          <w:szCs w:val="20"/>
        </w:rPr>
        <w:t>The</w:t>
      </w:r>
      <w:r>
        <w:rPr>
          <w:color w:val="57585A"/>
          <w:spacing w:val="-16"/>
          <w:sz w:val="20"/>
          <w:szCs w:val="20"/>
        </w:rPr>
        <w:t xml:space="preserve"> </w:t>
      </w:r>
      <w:r>
        <w:rPr>
          <w:color w:val="57585A"/>
          <w:spacing w:val="-10"/>
          <w:sz w:val="20"/>
          <w:szCs w:val="20"/>
        </w:rPr>
        <w:t>Argentine government extended the concessio</w:t>
      </w:r>
      <w:r>
        <w:rPr>
          <w:color w:val="57585A"/>
          <w:spacing w:val="-11"/>
          <w:sz w:val="20"/>
          <w:szCs w:val="20"/>
        </w:rPr>
        <w:t>n for exploration and development of</w:t>
      </w:r>
      <w:r>
        <w:rPr>
          <w:color w:val="57585A"/>
          <w:spacing w:val="-15"/>
          <w:sz w:val="20"/>
          <w:szCs w:val="20"/>
        </w:rPr>
        <w:t xml:space="preserve"> </w:t>
      </w:r>
      <w:r>
        <w:rPr>
          <w:color w:val="57585A"/>
          <w:spacing w:val="-11"/>
          <w:sz w:val="20"/>
          <w:szCs w:val="20"/>
        </w:rPr>
        <w:t>offshore acreage in the</w:t>
      </w:r>
      <w:r>
        <w:rPr>
          <w:color w:val="57585A"/>
          <w:spacing w:val="-16"/>
          <w:sz w:val="20"/>
          <w:szCs w:val="20"/>
        </w:rPr>
        <w:t xml:space="preserve"> </w:t>
      </w:r>
      <w:r>
        <w:rPr>
          <w:color w:val="57585A"/>
          <w:spacing w:val="-11"/>
          <w:sz w:val="20"/>
          <w:szCs w:val="20"/>
        </w:rPr>
        <w:t>Austral Basin</w:t>
      </w:r>
      <w:r>
        <w:rPr>
          <w:color w:val="57585A"/>
          <w:sz w:val="20"/>
          <w:szCs w:val="20"/>
        </w:rPr>
        <w:t xml:space="preserve">   </w:t>
      </w:r>
      <w:r>
        <w:rPr>
          <w:color w:val="57585A"/>
          <w:spacing w:val="-12"/>
          <w:sz w:val="20"/>
          <w:szCs w:val="20"/>
        </w:rPr>
        <w:t>till 2041 for three companies Total</w:t>
      </w:r>
      <w:r>
        <w:rPr>
          <w:color w:val="57585A"/>
          <w:spacing w:val="3"/>
          <w:sz w:val="20"/>
          <w:szCs w:val="20"/>
        </w:rPr>
        <w:t xml:space="preserve"> </w:t>
      </w:r>
      <w:r>
        <w:rPr>
          <w:color w:val="57585A"/>
          <w:spacing w:val="-12"/>
          <w:sz w:val="20"/>
          <w:szCs w:val="20"/>
        </w:rPr>
        <w:t>Austral,</w:t>
      </w:r>
      <w:r>
        <w:rPr>
          <w:color w:val="57585A"/>
          <w:spacing w:val="-15"/>
          <w:sz w:val="20"/>
          <w:szCs w:val="20"/>
        </w:rPr>
        <w:t xml:space="preserve"> </w:t>
      </w:r>
      <w:r>
        <w:rPr>
          <w:color w:val="57585A"/>
          <w:spacing w:val="-12"/>
          <w:sz w:val="20"/>
          <w:szCs w:val="20"/>
        </w:rPr>
        <w:t>Wintershall Dea</w:t>
      </w:r>
      <w:r>
        <w:rPr>
          <w:color w:val="57585A"/>
          <w:spacing w:val="-15"/>
          <w:sz w:val="20"/>
          <w:szCs w:val="20"/>
        </w:rPr>
        <w:t xml:space="preserve"> </w:t>
      </w:r>
      <w:r>
        <w:rPr>
          <w:color w:val="57585A"/>
          <w:spacing w:val="-12"/>
          <w:sz w:val="20"/>
          <w:szCs w:val="20"/>
        </w:rPr>
        <w:t>Argentina and Pan</w:t>
      </w:r>
      <w:r>
        <w:rPr>
          <w:color w:val="57585A"/>
          <w:spacing w:val="-16"/>
          <w:sz w:val="20"/>
          <w:szCs w:val="20"/>
        </w:rPr>
        <w:t xml:space="preserve"> </w:t>
      </w:r>
      <w:r>
        <w:rPr>
          <w:color w:val="57585A"/>
          <w:spacing w:val="-12"/>
          <w:sz w:val="20"/>
          <w:szCs w:val="20"/>
        </w:rPr>
        <w:t>American Sur. Companies committed to invest the</w:t>
      </w:r>
      <w:r>
        <w:rPr>
          <w:color w:val="57585A"/>
          <w:sz w:val="20"/>
          <w:szCs w:val="20"/>
        </w:rPr>
        <w:t xml:space="preserve"> </w:t>
      </w:r>
      <w:r>
        <w:rPr>
          <w:color w:val="57585A"/>
          <w:spacing w:val="-10"/>
          <w:sz w:val="20"/>
          <w:szCs w:val="20"/>
        </w:rPr>
        <w:t>total of USD700mn in the acre</w:t>
      </w:r>
      <w:r>
        <w:rPr>
          <w:color w:val="57585A"/>
          <w:spacing w:val="-11"/>
          <w:sz w:val="20"/>
          <w:szCs w:val="20"/>
        </w:rPr>
        <w:t>age between 2031-2041.</w:t>
      </w:r>
    </w:p>
    <w:p w14:paraId="240AAC90">
      <w:pPr>
        <w:pStyle w:val="4"/>
        <w:spacing w:line="314" w:lineRule="auto"/>
      </w:pPr>
    </w:p>
    <w:p w14:paraId="27128B75">
      <w:pPr>
        <w:pStyle w:val="4"/>
        <w:spacing w:line="314" w:lineRule="auto"/>
      </w:pPr>
    </w:p>
    <w:p w14:paraId="3272A97C">
      <w:pPr>
        <w:pStyle w:val="4"/>
        <w:spacing w:before="70" w:line="324"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339C828F">
      <w:pPr>
        <w:pStyle w:val="4"/>
        <w:spacing w:line="297" w:lineRule="auto"/>
      </w:pPr>
    </w:p>
    <w:p w14:paraId="56F9244F">
      <w:pPr>
        <w:pStyle w:val="4"/>
        <w:spacing w:before="59" w:line="241" w:lineRule="auto"/>
        <w:ind w:left="375"/>
        <w:rPr>
          <w:sz w:val="20"/>
          <w:szCs w:val="20"/>
        </w:rPr>
      </w:pPr>
      <w:r>
        <w:rPr>
          <w:b/>
          <w:bCs/>
          <w:color w:val="57585A"/>
          <w:spacing w:val="-8"/>
          <w:sz w:val="20"/>
          <w:szCs w:val="20"/>
        </w:rPr>
        <w:t>Foreign Investment Is Improving Following Market Re</w:t>
      </w:r>
      <w:r>
        <w:rPr>
          <w:b/>
          <w:bCs/>
          <w:color w:val="57585A"/>
          <w:spacing w:val="-9"/>
          <w:sz w:val="20"/>
          <w:szCs w:val="20"/>
        </w:rPr>
        <w:t>forms</w:t>
      </w:r>
    </w:p>
    <w:p w14:paraId="6AD00273">
      <w:pPr>
        <w:pStyle w:val="4"/>
        <w:spacing w:line="281" w:lineRule="auto"/>
      </w:pPr>
    </w:p>
    <w:p w14:paraId="2A4D0929">
      <w:pPr>
        <w:pStyle w:val="4"/>
        <w:spacing w:before="58" w:line="293" w:lineRule="auto"/>
        <w:ind w:left="366" w:right="677" w:hanging="7"/>
        <w:jc w:val="both"/>
        <w:rPr>
          <w:sz w:val="20"/>
          <w:szCs w:val="20"/>
        </w:rPr>
      </w:pPr>
      <w:r>
        <w:rPr>
          <w:color w:val="57585A"/>
          <w:spacing w:val="-11"/>
          <w:sz w:val="20"/>
          <w:szCs w:val="20"/>
        </w:rPr>
        <w:t>Argentina has significant oil and gas reserves - in 2024,</w:t>
      </w:r>
      <w:r>
        <w:rPr>
          <w:color w:val="57585A"/>
          <w:spacing w:val="-16"/>
          <w:sz w:val="20"/>
          <w:szCs w:val="20"/>
        </w:rPr>
        <w:t xml:space="preserve"> </w:t>
      </w:r>
      <w:r>
        <w:rPr>
          <w:color w:val="57585A"/>
          <w:spacing w:val="-11"/>
          <w:sz w:val="20"/>
          <w:szCs w:val="20"/>
        </w:rPr>
        <w:t>we estimate the market holds reser</w:t>
      </w:r>
      <w:r>
        <w:rPr>
          <w:color w:val="57585A"/>
          <w:spacing w:val="-12"/>
          <w:sz w:val="20"/>
          <w:szCs w:val="20"/>
        </w:rPr>
        <w:t>ves of 2.4bn bbl of oil and 0.47tcm of</w:t>
      </w:r>
      <w:r>
        <w:rPr>
          <w:color w:val="57585A"/>
          <w:sz w:val="20"/>
          <w:szCs w:val="20"/>
        </w:rPr>
        <w:t xml:space="preserve"> </w:t>
      </w:r>
      <w:r>
        <w:rPr>
          <w:color w:val="57585A"/>
          <w:spacing w:val="-11"/>
          <w:sz w:val="20"/>
          <w:szCs w:val="20"/>
        </w:rPr>
        <w:t>gas. The market has</w:t>
      </w:r>
      <w:r>
        <w:rPr>
          <w:color w:val="57585A"/>
          <w:spacing w:val="-12"/>
          <w:sz w:val="20"/>
          <w:szCs w:val="20"/>
        </w:rPr>
        <w:t xml:space="preserve"> a substantial unconventional resource base,</w:t>
      </w:r>
      <w:r>
        <w:rPr>
          <w:color w:val="57585A"/>
          <w:spacing w:val="-16"/>
          <w:sz w:val="20"/>
          <w:szCs w:val="20"/>
        </w:rPr>
        <w:t xml:space="preserve"> </w:t>
      </w:r>
      <w:r>
        <w:rPr>
          <w:color w:val="57585A"/>
          <w:spacing w:val="-12"/>
          <w:sz w:val="20"/>
          <w:szCs w:val="20"/>
        </w:rPr>
        <w:t>with an estimated 22.7tcm of</w:t>
      </w:r>
      <w:r>
        <w:rPr>
          <w:color w:val="57585A"/>
          <w:spacing w:val="-21"/>
          <w:sz w:val="20"/>
          <w:szCs w:val="20"/>
        </w:rPr>
        <w:t xml:space="preserve"> </w:t>
      </w:r>
      <w:r>
        <w:rPr>
          <w:color w:val="57585A"/>
          <w:spacing w:val="-12"/>
          <w:sz w:val="20"/>
          <w:szCs w:val="20"/>
        </w:rPr>
        <w:t>technically recoverable shale gas</w:t>
      </w:r>
      <w:r>
        <w:rPr>
          <w:color w:val="57585A"/>
          <w:sz w:val="20"/>
          <w:szCs w:val="20"/>
        </w:rPr>
        <w:t xml:space="preserve"> </w:t>
      </w:r>
      <w:r>
        <w:rPr>
          <w:color w:val="57585A"/>
          <w:spacing w:val="-11"/>
          <w:sz w:val="20"/>
          <w:szCs w:val="20"/>
        </w:rPr>
        <w:t>and 27bn bbl of recoverabl</w:t>
      </w:r>
      <w:r>
        <w:rPr>
          <w:color w:val="57585A"/>
          <w:spacing w:val="-12"/>
          <w:sz w:val="20"/>
          <w:szCs w:val="20"/>
        </w:rPr>
        <w:t>e shale oil.</w:t>
      </w:r>
    </w:p>
    <w:p w14:paraId="545ABC5F">
      <w:pPr>
        <w:pStyle w:val="4"/>
        <w:spacing w:before="285" w:line="231" w:lineRule="auto"/>
        <w:ind w:left="376"/>
        <w:rPr>
          <w:sz w:val="20"/>
          <w:szCs w:val="20"/>
        </w:rPr>
      </w:pPr>
      <w:r>
        <w:rPr>
          <w:color w:val="57585A"/>
          <w:spacing w:val="-10"/>
          <w:sz w:val="20"/>
          <w:szCs w:val="20"/>
        </w:rPr>
        <w:t>Despite strong below ground prospectivity, poor fiscal terms a</w:t>
      </w:r>
      <w:r>
        <w:rPr>
          <w:color w:val="57585A"/>
          <w:spacing w:val="-11"/>
          <w:sz w:val="20"/>
          <w:szCs w:val="20"/>
        </w:rPr>
        <w:t>nd an uncertain regulatory environment stemmed exploration in</w:t>
      </w:r>
    </w:p>
    <w:p w14:paraId="44209ADA">
      <w:pPr>
        <w:pStyle w:val="4"/>
        <w:spacing w:before="59" w:line="231" w:lineRule="auto"/>
        <w:ind w:left="359"/>
        <w:rPr>
          <w:sz w:val="20"/>
          <w:szCs w:val="20"/>
        </w:rPr>
      </w:pPr>
      <w:r>
        <w:rPr>
          <w:color w:val="57585A"/>
          <w:spacing w:val="-10"/>
          <w:sz w:val="20"/>
          <w:szCs w:val="20"/>
        </w:rPr>
        <w:t>Argentina over the first half</w:t>
      </w:r>
      <w:r>
        <w:rPr>
          <w:color w:val="57585A"/>
          <w:spacing w:val="-15"/>
          <w:sz w:val="20"/>
          <w:szCs w:val="20"/>
        </w:rPr>
        <w:t xml:space="preserve"> </w:t>
      </w:r>
      <w:r>
        <w:rPr>
          <w:color w:val="57585A"/>
          <w:spacing w:val="-10"/>
          <w:sz w:val="20"/>
          <w:szCs w:val="20"/>
        </w:rPr>
        <w:t>of</w:t>
      </w:r>
      <w:r>
        <w:rPr>
          <w:color w:val="57585A"/>
          <w:spacing w:val="-21"/>
          <w:sz w:val="20"/>
          <w:szCs w:val="20"/>
        </w:rPr>
        <w:t xml:space="preserve"> </w:t>
      </w:r>
      <w:r>
        <w:rPr>
          <w:color w:val="57585A"/>
          <w:spacing w:val="-10"/>
          <w:sz w:val="20"/>
          <w:szCs w:val="20"/>
        </w:rPr>
        <w:t>the decade. Momentum built in 2010 and 2011 behind the market</w:t>
      </w:r>
      <w:r>
        <w:rPr>
          <w:color w:val="57585A"/>
          <w:spacing w:val="-11"/>
          <w:sz w:val="20"/>
          <w:szCs w:val="20"/>
        </w:rPr>
        <w:t>'s emergent shale sector, but</w:t>
      </w:r>
    </w:p>
    <w:p w14:paraId="359D4DC5">
      <w:pPr>
        <w:pStyle w:val="4"/>
        <w:spacing w:before="57" w:line="283" w:lineRule="auto"/>
        <w:ind w:left="363" w:right="491" w:firstLine="6"/>
        <w:rPr>
          <w:sz w:val="20"/>
          <w:szCs w:val="20"/>
        </w:rPr>
      </w:pPr>
      <w:r>
        <w:rPr>
          <w:color w:val="57585A"/>
          <w:spacing w:val="-12"/>
          <w:sz w:val="20"/>
          <w:szCs w:val="20"/>
        </w:rPr>
        <w:t>came off</w:t>
      </w:r>
      <w:r>
        <w:rPr>
          <w:color w:val="57585A"/>
          <w:spacing w:val="-18"/>
          <w:sz w:val="20"/>
          <w:szCs w:val="20"/>
        </w:rPr>
        <w:t xml:space="preserve"> </w:t>
      </w:r>
      <w:r>
        <w:rPr>
          <w:color w:val="57585A"/>
          <w:spacing w:val="-12"/>
          <w:sz w:val="20"/>
          <w:szCs w:val="20"/>
        </w:rPr>
        <w:t>sharply in 2012 after the government's expropriation of</w:t>
      </w:r>
      <w:r>
        <w:rPr>
          <w:color w:val="57585A"/>
          <w:spacing w:val="-24"/>
          <w:sz w:val="20"/>
          <w:szCs w:val="20"/>
        </w:rPr>
        <w:t xml:space="preserve"> </w:t>
      </w:r>
      <w:r>
        <w:rPr>
          <w:color w:val="57585A"/>
          <w:spacing w:val="-12"/>
          <w:sz w:val="20"/>
          <w:szCs w:val="20"/>
        </w:rPr>
        <w:t>YPF from Spanish major Repsol. The resolution of</w:t>
      </w:r>
      <w:r>
        <w:rPr>
          <w:color w:val="57585A"/>
          <w:spacing w:val="-22"/>
          <w:sz w:val="20"/>
          <w:szCs w:val="20"/>
        </w:rPr>
        <w:t xml:space="preserve"> </w:t>
      </w:r>
      <w:r>
        <w:rPr>
          <w:color w:val="57585A"/>
          <w:spacing w:val="-12"/>
          <w:sz w:val="20"/>
          <w:szCs w:val="20"/>
        </w:rPr>
        <w:t>the Rep</w:t>
      </w:r>
      <w:r>
        <w:rPr>
          <w:color w:val="57585A"/>
          <w:spacing w:val="-13"/>
          <w:sz w:val="20"/>
          <w:szCs w:val="20"/>
        </w:rPr>
        <w:t>sol-YPF</w:t>
      </w:r>
      <w:r>
        <w:rPr>
          <w:color w:val="57585A"/>
          <w:sz w:val="20"/>
          <w:szCs w:val="20"/>
        </w:rPr>
        <w:t xml:space="preserve"> </w:t>
      </w:r>
      <w:r>
        <w:rPr>
          <w:color w:val="57585A"/>
          <w:spacing w:val="-12"/>
          <w:sz w:val="20"/>
          <w:szCs w:val="20"/>
        </w:rPr>
        <w:t>dispute in 2014 removed a major legal barrier to exploration. The deal, which awarde</w:t>
      </w:r>
      <w:r>
        <w:rPr>
          <w:color w:val="57585A"/>
          <w:spacing w:val="-13"/>
          <w:sz w:val="20"/>
          <w:szCs w:val="20"/>
        </w:rPr>
        <w:t>d Repsol a USD5bn settlement in bonds, saw</w:t>
      </w:r>
      <w:r>
        <w:rPr>
          <w:color w:val="57585A"/>
          <w:sz w:val="20"/>
          <w:szCs w:val="20"/>
        </w:rPr>
        <w:t xml:space="preserve"> </w:t>
      </w:r>
      <w:r>
        <w:rPr>
          <w:color w:val="57585A"/>
          <w:spacing w:val="-12"/>
          <w:sz w:val="20"/>
          <w:szCs w:val="20"/>
        </w:rPr>
        <w:t>the company relinquish its claim to</w:t>
      </w:r>
      <w:r>
        <w:rPr>
          <w:color w:val="57585A"/>
          <w:spacing w:val="-15"/>
          <w:sz w:val="20"/>
          <w:szCs w:val="20"/>
        </w:rPr>
        <w:t xml:space="preserve"> </w:t>
      </w:r>
      <w:r>
        <w:rPr>
          <w:color w:val="57585A"/>
          <w:spacing w:val="-12"/>
          <w:sz w:val="20"/>
          <w:szCs w:val="20"/>
        </w:rPr>
        <w:t>YPF's assets, opening the door to a series of</w:t>
      </w:r>
      <w:r>
        <w:rPr>
          <w:color w:val="57585A"/>
          <w:spacing w:val="-32"/>
          <w:sz w:val="20"/>
          <w:szCs w:val="20"/>
        </w:rPr>
        <w:t xml:space="preserve"> </w:t>
      </w:r>
      <w:r>
        <w:rPr>
          <w:color w:val="57585A"/>
          <w:spacing w:val="-12"/>
          <w:sz w:val="20"/>
          <w:szCs w:val="20"/>
        </w:rPr>
        <w:t>JV agreeme</w:t>
      </w:r>
      <w:r>
        <w:rPr>
          <w:color w:val="57585A"/>
          <w:spacing w:val="-13"/>
          <w:sz w:val="20"/>
          <w:szCs w:val="20"/>
        </w:rPr>
        <w:t>nts between the</w:t>
      </w:r>
      <w:r>
        <w:rPr>
          <w:color w:val="57585A"/>
          <w:spacing w:val="-16"/>
          <w:sz w:val="20"/>
          <w:szCs w:val="20"/>
        </w:rPr>
        <w:t xml:space="preserve"> </w:t>
      </w:r>
      <w:r>
        <w:rPr>
          <w:color w:val="57585A"/>
          <w:spacing w:val="-13"/>
          <w:sz w:val="20"/>
          <w:szCs w:val="20"/>
        </w:rPr>
        <w:t>Argentine NOC and</w:t>
      </w:r>
      <w:r>
        <w:rPr>
          <w:color w:val="57585A"/>
          <w:sz w:val="20"/>
          <w:szCs w:val="20"/>
        </w:rPr>
        <w:t xml:space="preserve">   </w:t>
      </w:r>
      <w:r>
        <w:rPr>
          <w:color w:val="57585A"/>
          <w:spacing w:val="-9"/>
          <w:sz w:val="20"/>
          <w:szCs w:val="20"/>
        </w:rPr>
        <w:t>foreign</w:t>
      </w:r>
      <w:r>
        <w:rPr>
          <w:color w:val="57585A"/>
          <w:spacing w:val="-11"/>
          <w:sz w:val="20"/>
          <w:szCs w:val="20"/>
        </w:rPr>
        <w:t xml:space="preserve"> </w:t>
      </w:r>
      <w:r>
        <w:rPr>
          <w:color w:val="57585A"/>
          <w:spacing w:val="-9"/>
          <w:sz w:val="20"/>
          <w:szCs w:val="20"/>
        </w:rPr>
        <w:t>firms.</w:t>
      </w:r>
    </w:p>
    <w:p w14:paraId="760A361F">
      <w:pPr>
        <w:pStyle w:val="4"/>
        <w:spacing w:line="265" w:lineRule="auto"/>
      </w:pPr>
    </w:p>
    <w:p w14:paraId="35CD344E">
      <w:pPr>
        <w:pStyle w:val="4"/>
        <w:spacing w:before="58" w:line="231" w:lineRule="auto"/>
        <w:ind w:left="360"/>
        <w:rPr>
          <w:sz w:val="20"/>
          <w:szCs w:val="20"/>
        </w:rPr>
      </w:pPr>
      <w:r>
        <w:rPr>
          <w:color w:val="57585A"/>
          <w:spacing w:val="-10"/>
          <w:sz w:val="20"/>
          <w:szCs w:val="20"/>
        </w:rPr>
        <w:t>The settlement followed a number of incremental reforms in</w:t>
      </w:r>
      <w:r>
        <w:rPr>
          <w:color w:val="57585A"/>
          <w:spacing w:val="-11"/>
          <w:sz w:val="20"/>
          <w:szCs w:val="20"/>
        </w:rPr>
        <w:t xml:space="preserve"> 2012 and 2013, improving the market's business environment:</w:t>
      </w:r>
    </w:p>
    <w:p w14:paraId="0318AB9F">
      <w:pPr>
        <w:pStyle w:val="4"/>
        <w:spacing w:line="286" w:lineRule="auto"/>
      </w:pPr>
    </w:p>
    <w:p w14:paraId="3823EB9F">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In November 2012, the government raised the</w:t>
      </w:r>
      <w:r>
        <w:rPr>
          <w:color w:val="57585A"/>
          <w:spacing w:val="-16"/>
          <w:sz w:val="20"/>
          <w:szCs w:val="20"/>
        </w:rPr>
        <w:t xml:space="preserve"> </w:t>
      </w:r>
      <w:r>
        <w:rPr>
          <w:color w:val="57585A"/>
          <w:spacing w:val="-11"/>
          <w:sz w:val="20"/>
          <w:szCs w:val="20"/>
        </w:rPr>
        <w:t>wellhead price of natural gas from USD5.00/mnBTU, to USD7.50</w:t>
      </w:r>
      <w:r>
        <w:rPr>
          <w:color w:val="57585A"/>
          <w:spacing w:val="-12"/>
          <w:sz w:val="20"/>
          <w:szCs w:val="20"/>
        </w:rPr>
        <w:t>/mnBTU.</w:t>
      </w:r>
    </w:p>
    <w:p w14:paraId="18A90308">
      <w:pPr>
        <w:pStyle w:val="4"/>
        <w:spacing w:before="56" w:line="234" w:lineRule="auto"/>
        <w:ind w:left="357"/>
        <w:rPr>
          <w:sz w:val="20"/>
          <w:szCs w:val="20"/>
        </w:rPr>
      </w:pPr>
      <w:r>
        <w:rPr>
          <w:color w:val="33CCFF"/>
          <w:spacing w:val="-10"/>
          <w:sz w:val="20"/>
          <w:szCs w:val="20"/>
        </w:rPr>
        <w:t xml:space="preserve">•   </w:t>
      </w:r>
      <w:r>
        <w:rPr>
          <w:color w:val="57585A"/>
          <w:spacing w:val="-10"/>
          <w:sz w:val="20"/>
          <w:szCs w:val="20"/>
        </w:rPr>
        <w:t>In</w:t>
      </w:r>
      <w:r>
        <w:rPr>
          <w:color w:val="57585A"/>
          <w:spacing w:val="-23"/>
          <w:sz w:val="20"/>
          <w:szCs w:val="20"/>
        </w:rPr>
        <w:t xml:space="preserve"> </w:t>
      </w:r>
      <w:r>
        <w:rPr>
          <w:color w:val="57585A"/>
          <w:spacing w:val="-10"/>
          <w:sz w:val="20"/>
          <w:szCs w:val="20"/>
        </w:rPr>
        <w:t>January 2013, they cut export tax on crude,</w:t>
      </w:r>
      <w:r>
        <w:rPr>
          <w:color w:val="57585A"/>
          <w:spacing w:val="-15"/>
          <w:sz w:val="20"/>
          <w:szCs w:val="20"/>
        </w:rPr>
        <w:t xml:space="preserve"> </w:t>
      </w:r>
      <w:r>
        <w:rPr>
          <w:color w:val="57585A"/>
          <w:spacing w:val="-10"/>
          <w:sz w:val="20"/>
          <w:szCs w:val="20"/>
        </w:rPr>
        <w:t>which significa</w:t>
      </w:r>
      <w:r>
        <w:rPr>
          <w:color w:val="57585A"/>
          <w:spacing w:val="-11"/>
          <w:sz w:val="20"/>
          <w:szCs w:val="20"/>
        </w:rPr>
        <w:t>ntly increased the return on oil sold abroad.</w:t>
      </w:r>
    </w:p>
    <w:p w14:paraId="6120B703">
      <w:pPr>
        <w:spacing w:line="234" w:lineRule="auto"/>
        <w:rPr>
          <w:sz w:val="20"/>
          <w:szCs w:val="20"/>
        </w:rPr>
        <w:sectPr>
          <w:footerReference r:id="rId11" w:type="default"/>
          <w:pgSz w:w="11906" w:h="16838"/>
          <w:pgMar w:top="400" w:right="490" w:bottom="883" w:left="490" w:header="0" w:footer="0" w:gutter="0"/>
          <w:cols w:space="720" w:num="1"/>
        </w:sectPr>
      </w:pPr>
    </w:p>
    <w:p w14:paraId="2BF12DB3">
      <w:pPr>
        <w:pStyle w:val="4"/>
        <w:spacing w:before="73" w:line="241" w:lineRule="auto"/>
        <w:ind w:left="7372"/>
        <w:rPr>
          <w:sz w:val="20"/>
          <w:szCs w:val="20"/>
        </w:rPr>
      </w:pPr>
      <w:r>
        <w:drawing>
          <wp:anchor distT="0" distB="0" distL="0" distR="0" simplePos="0" relativeHeight="25168384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85888" behindDoc="0" locked="0" layoutInCell="0" allowOverlap="1">
            <wp:simplePos x="0" y="0"/>
            <wp:positionH relativeFrom="page">
              <wp:posOffset>311150</wp:posOffset>
            </wp:positionH>
            <wp:positionV relativeFrom="page">
              <wp:posOffset>0</wp:posOffset>
            </wp:positionV>
            <wp:extent cx="19050" cy="814070"/>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43AA1A5">
      <w:pPr>
        <w:pStyle w:val="4"/>
        <w:spacing w:line="278" w:lineRule="auto"/>
      </w:pPr>
    </w:p>
    <w:p w14:paraId="1645030F">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A5446B1">
      <w:pPr>
        <w:pStyle w:val="4"/>
        <w:spacing w:line="469" w:lineRule="auto"/>
      </w:pPr>
    </w:p>
    <w:p w14:paraId="67DDB2CA">
      <w:pPr>
        <w:pStyle w:val="4"/>
        <w:spacing w:before="58" w:line="273" w:lineRule="auto"/>
        <w:ind w:left="612" w:right="521" w:hanging="255"/>
        <w:rPr>
          <w:sz w:val="20"/>
          <w:szCs w:val="20"/>
        </w:rPr>
      </w:pPr>
      <w:r>
        <w:rPr>
          <w:color w:val="33CCFF"/>
          <w:spacing w:val="-10"/>
          <w:sz w:val="20"/>
          <w:szCs w:val="20"/>
        </w:rPr>
        <w:t xml:space="preserve">•   </w:t>
      </w:r>
      <w:r>
        <w:rPr>
          <w:color w:val="57585A"/>
          <w:spacing w:val="-10"/>
          <w:sz w:val="20"/>
          <w:szCs w:val="20"/>
        </w:rPr>
        <w:t>In</w:t>
      </w:r>
      <w:r>
        <w:rPr>
          <w:color w:val="57585A"/>
          <w:spacing w:val="-23"/>
          <w:sz w:val="20"/>
          <w:szCs w:val="20"/>
        </w:rPr>
        <w:t xml:space="preserve"> </w:t>
      </w:r>
      <w:r>
        <w:rPr>
          <w:color w:val="57585A"/>
          <w:spacing w:val="-10"/>
          <w:sz w:val="20"/>
          <w:szCs w:val="20"/>
        </w:rPr>
        <w:t>July 2013, presidential degree 929 stipulated that i</w:t>
      </w:r>
      <w:r>
        <w:rPr>
          <w:color w:val="57585A"/>
          <w:spacing w:val="-11"/>
          <w:sz w:val="20"/>
          <w:szCs w:val="20"/>
        </w:rPr>
        <w:t>nternational companies investing at least</w:t>
      </w:r>
      <w:r>
        <w:rPr>
          <w:color w:val="57585A"/>
          <w:sz w:val="20"/>
          <w:szCs w:val="20"/>
        </w:rPr>
        <w:t xml:space="preserve"> </w:t>
      </w:r>
      <w:r>
        <w:rPr>
          <w:color w:val="57585A"/>
          <w:spacing w:val="-11"/>
          <w:sz w:val="20"/>
          <w:szCs w:val="20"/>
        </w:rPr>
        <w:t>USD1bn in the</w:t>
      </w:r>
      <w:r>
        <w:rPr>
          <w:color w:val="57585A"/>
          <w:spacing w:val="-16"/>
          <w:sz w:val="20"/>
          <w:szCs w:val="20"/>
        </w:rPr>
        <w:t xml:space="preserve"> </w:t>
      </w:r>
      <w:r>
        <w:rPr>
          <w:color w:val="57585A"/>
          <w:spacing w:val="-11"/>
          <w:sz w:val="20"/>
          <w:szCs w:val="20"/>
        </w:rPr>
        <w:t>Argentine oil and</w:t>
      </w:r>
      <w:r>
        <w:rPr>
          <w:color w:val="57585A"/>
          <w:sz w:val="20"/>
          <w:szCs w:val="20"/>
        </w:rPr>
        <w:t xml:space="preserve"> </w:t>
      </w:r>
      <w:r>
        <w:rPr>
          <w:color w:val="57585A"/>
          <w:spacing w:val="-10"/>
          <w:sz w:val="20"/>
          <w:szCs w:val="20"/>
        </w:rPr>
        <w:t>gas sector in the first</w:t>
      </w:r>
      <w:r>
        <w:rPr>
          <w:color w:val="57585A"/>
          <w:spacing w:val="-11"/>
          <w:sz w:val="20"/>
          <w:szCs w:val="20"/>
        </w:rPr>
        <w:t>-five</w:t>
      </w:r>
      <w:r>
        <w:rPr>
          <w:color w:val="57585A"/>
          <w:spacing w:val="-15"/>
          <w:sz w:val="20"/>
          <w:szCs w:val="20"/>
        </w:rPr>
        <w:t xml:space="preserve"> </w:t>
      </w:r>
      <w:r>
        <w:rPr>
          <w:color w:val="57585A"/>
          <w:spacing w:val="-11"/>
          <w:sz w:val="20"/>
          <w:szCs w:val="20"/>
        </w:rPr>
        <w:t>years of</w:t>
      </w:r>
      <w:r>
        <w:rPr>
          <w:color w:val="57585A"/>
          <w:spacing w:val="-17"/>
          <w:sz w:val="20"/>
          <w:szCs w:val="20"/>
        </w:rPr>
        <w:t xml:space="preserve"> </w:t>
      </w:r>
      <w:r>
        <w:rPr>
          <w:color w:val="57585A"/>
          <w:spacing w:val="-11"/>
          <w:sz w:val="20"/>
          <w:szCs w:val="20"/>
        </w:rPr>
        <w:t>a project</w:t>
      </w:r>
      <w:r>
        <w:rPr>
          <w:color w:val="57585A"/>
          <w:spacing w:val="-15"/>
          <w:sz w:val="20"/>
          <w:szCs w:val="20"/>
        </w:rPr>
        <w:t xml:space="preserve"> </w:t>
      </w:r>
      <w:r>
        <w:rPr>
          <w:color w:val="57585A"/>
          <w:spacing w:val="-11"/>
          <w:sz w:val="20"/>
          <w:szCs w:val="20"/>
        </w:rPr>
        <w:t>were allowed to export 20% of</w:t>
      </w:r>
      <w:r>
        <w:rPr>
          <w:color w:val="57585A"/>
          <w:spacing w:val="-22"/>
          <w:sz w:val="20"/>
          <w:szCs w:val="20"/>
        </w:rPr>
        <w:t xml:space="preserve"> </w:t>
      </w:r>
      <w:r>
        <w:rPr>
          <w:color w:val="57585A"/>
          <w:spacing w:val="-11"/>
          <w:sz w:val="20"/>
          <w:szCs w:val="20"/>
        </w:rPr>
        <w:t>their production tax exempt, and could repatriate a</w:t>
      </w:r>
      <w:r>
        <w:rPr>
          <w:color w:val="57585A"/>
          <w:sz w:val="20"/>
          <w:szCs w:val="20"/>
        </w:rPr>
        <w:t xml:space="preserve"> </w:t>
      </w:r>
      <w:r>
        <w:rPr>
          <w:color w:val="57585A"/>
          <w:spacing w:val="-11"/>
          <w:sz w:val="20"/>
          <w:szCs w:val="20"/>
        </w:rPr>
        <w:t>portion of</w:t>
      </w:r>
      <w:r>
        <w:rPr>
          <w:color w:val="57585A"/>
          <w:spacing w:val="-4"/>
          <w:sz w:val="20"/>
          <w:szCs w:val="20"/>
        </w:rPr>
        <w:t xml:space="preserve"> </w:t>
      </w:r>
      <w:r>
        <w:rPr>
          <w:color w:val="57585A"/>
          <w:spacing w:val="-11"/>
          <w:sz w:val="20"/>
          <w:szCs w:val="20"/>
        </w:rPr>
        <w:t>the revenue.</w:t>
      </w:r>
      <w:r>
        <w:rPr>
          <w:color w:val="57585A"/>
          <w:spacing w:val="-15"/>
          <w:sz w:val="20"/>
          <w:szCs w:val="20"/>
        </w:rPr>
        <w:t xml:space="preserve"> </w:t>
      </w:r>
      <w:r>
        <w:rPr>
          <w:color w:val="57585A"/>
          <w:spacing w:val="-11"/>
          <w:sz w:val="20"/>
          <w:szCs w:val="20"/>
        </w:rPr>
        <w:t>The threshold investment has now been reduced to USD250mn.</w:t>
      </w:r>
    </w:p>
    <w:p w14:paraId="4C67E521">
      <w:pPr>
        <w:pStyle w:val="4"/>
        <w:spacing w:before="55" w:line="262" w:lineRule="auto"/>
        <w:ind w:left="604" w:right="668" w:hanging="247"/>
        <w:rPr>
          <w:sz w:val="20"/>
          <w:szCs w:val="20"/>
        </w:rPr>
      </w:pPr>
      <w:r>
        <w:rPr>
          <w:color w:val="33CCFF"/>
          <w:spacing w:val="-12"/>
          <w:sz w:val="20"/>
          <w:szCs w:val="20"/>
        </w:rPr>
        <w:t xml:space="preserve">•   </w:t>
      </w:r>
      <w:r>
        <w:rPr>
          <w:color w:val="57585A"/>
          <w:spacing w:val="-12"/>
          <w:sz w:val="20"/>
          <w:szCs w:val="20"/>
        </w:rPr>
        <w:t>In</w:t>
      </w:r>
      <w:r>
        <w:rPr>
          <w:color w:val="57585A"/>
          <w:spacing w:val="-14"/>
          <w:sz w:val="20"/>
          <w:szCs w:val="20"/>
        </w:rPr>
        <w:t xml:space="preserve"> </w:t>
      </w:r>
      <w:r>
        <w:rPr>
          <w:color w:val="57585A"/>
          <w:spacing w:val="-12"/>
          <w:sz w:val="20"/>
          <w:szCs w:val="20"/>
        </w:rPr>
        <w:t>July 2013, US supermajor Chevron and</w:t>
      </w:r>
      <w:r>
        <w:rPr>
          <w:color w:val="57585A"/>
          <w:spacing w:val="-16"/>
          <w:sz w:val="20"/>
          <w:szCs w:val="20"/>
        </w:rPr>
        <w:t xml:space="preserve"> </w:t>
      </w:r>
      <w:r>
        <w:rPr>
          <w:color w:val="57585A"/>
          <w:spacing w:val="-12"/>
          <w:sz w:val="20"/>
          <w:szCs w:val="20"/>
        </w:rPr>
        <w:t>YPF signed a USD1.2bnJV agreement,</w:t>
      </w:r>
      <w:r>
        <w:rPr>
          <w:color w:val="57585A"/>
          <w:spacing w:val="-15"/>
          <w:sz w:val="20"/>
          <w:szCs w:val="20"/>
        </w:rPr>
        <w:t xml:space="preserve"> </w:t>
      </w:r>
      <w:r>
        <w:rPr>
          <w:color w:val="57585A"/>
          <w:spacing w:val="-12"/>
          <w:sz w:val="20"/>
          <w:szCs w:val="20"/>
        </w:rPr>
        <w:t>which included the commitment to drill</w:t>
      </w:r>
      <w:r>
        <w:rPr>
          <w:color w:val="57585A"/>
          <w:spacing w:val="2"/>
          <w:sz w:val="20"/>
          <w:szCs w:val="20"/>
        </w:rPr>
        <w:t xml:space="preserve"> </w:t>
      </w:r>
      <w:r>
        <w:rPr>
          <w:color w:val="57585A"/>
          <w:spacing w:val="-12"/>
          <w:sz w:val="20"/>
          <w:szCs w:val="20"/>
        </w:rPr>
        <w:t>100</w:t>
      </w:r>
      <w:r>
        <w:rPr>
          <w:color w:val="57585A"/>
          <w:sz w:val="20"/>
          <w:szCs w:val="20"/>
        </w:rPr>
        <w:t xml:space="preserve"> </w:t>
      </w:r>
      <w:r>
        <w:rPr>
          <w:color w:val="57585A"/>
          <w:spacing w:val="-11"/>
          <w:sz w:val="20"/>
          <w:szCs w:val="20"/>
        </w:rPr>
        <w:t>wells in the Vaca Muerta shale fo</w:t>
      </w:r>
      <w:r>
        <w:rPr>
          <w:color w:val="57585A"/>
          <w:spacing w:val="-12"/>
          <w:sz w:val="20"/>
          <w:szCs w:val="20"/>
        </w:rPr>
        <w:t>rmation.</w:t>
      </w:r>
      <w:r>
        <w:rPr>
          <w:color w:val="57585A"/>
          <w:spacing w:val="-15"/>
          <w:sz w:val="20"/>
          <w:szCs w:val="20"/>
        </w:rPr>
        <w:t xml:space="preserve"> </w:t>
      </w:r>
      <w:r>
        <w:rPr>
          <w:color w:val="57585A"/>
          <w:spacing w:val="-12"/>
          <w:sz w:val="20"/>
          <w:szCs w:val="20"/>
        </w:rPr>
        <w:t>This has since been upgraded to a USD1.6bn investment and a commitment to drill</w:t>
      </w:r>
    </w:p>
    <w:p w14:paraId="2C73A3D3">
      <w:pPr>
        <w:pStyle w:val="4"/>
        <w:spacing w:before="58" w:line="261" w:lineRule="exact"/>
        <w:ind w:left="622"/>
        <w:rPr>
          <w:sz w:val="20"/>
          <w:szCs w:val="20"/>
        </w:rPr>
      </w:pPr>
      <w:r>
        <w:rPr>
          <w:color w:val="57585A"/>
          <w:spacing w:val="-12"/>
          <w:position w:val="1"/>
          <w:sz w:val="20"/>
          <w:szCs w:val="20"/>
        </w:rPr>
        <w:t>170</w:t>
      </w:r>
      <w:r>
        <w:rPr>
          <w:color w:val="57585A"/>
          <w:spacing w:val="-14"/>
          <w:position w:val="1"/>
          <w:sz w:val="20"/>
          <w:szCs w:val="20"/>
        </w:rPr>
        <w:t xml:space="preserve"> </w:t>
      </w:r>
      <w:r>
        <w:rPr>
          <w:color w:val="57585A"/>
          <w:spacing w:val="-12"/>
          <w:position w:val="1"/>
          <w:sz w:val="20"/>
          <w:szCs w:val="20"/>
        </w:rPr>
        <w:t>wells.</w:t>
      </w:r>
    </w:p>
    <w:p w14:paraId="4286209A">
      <w:pPr>
        <w:pStyle w:val="4"/>
        <w:spacing w:line="248" w:lineRule="auto"/>
      </w:pPr>
    </w:p>
    <w:p w14:paraId="0C9CED42">
      <w:pPr>
        <w:pStyle w:val="4"/>
        <w:spacing w:before="58" w:line="279" w:lineRule="auto"/>
        <w:ind w:left="373" w:right="581" w:hanging="7"/>
        <w:jc w:val="both"/>
        <w:rPr>
          <w:sz w:val="20"/>
          <w:szCs w:val="20"/>
        </w:rPr>
      </w:pPr>
      <w:r>
        <w:rPr>
          <w:color w:val="57585A"/>
          <w:spacing w:val="-11"/>
          <w:sz w:val="20"/>
          <w:szCs w:val="20"/>
        </w:rPr>
        <w:t>Since then, there has been a slow b</w:t>
      </w:r>
      <w:r>
        <w:rPr>
          <w:color w:val="57585A"/>
          <w:spacing w:val="-12"/>
          <w:sz w:val="20"/>
          <w:szCs w:val="20"/>
        </w:rPr>
        <w:t>ut steady increase in the number and amounts companies have invested in the market. Other</w:t>
      </w:r>
      <w:r>
        <w:rPr>
          <w:color w:val="57585A"/>
          <w:sz w:val="20"/>
          <w:szCs w:val="20"/>
        </w:rPr>
        <w:t xml:space="preserve"> </w:t>
      </w:r>
      <w:r>
        <w:rPr>
          <w:color w:val="57585A"/>
          <w:spacing w:val="-13"/>
          <w:sz w:val="20"/>
          <w:szCs w:val="20"/>
        </w:rPr>
        <w:t>major agreements include ExxonMobil, Shell, TotalEnergies and Petronas. Following the YPF-Repsol settlement in 2015, this trend</w:t>
      </w:r>
      <w:r>
        <w:rPr>
          <w:color w:val="57585A"/>
          <w:spacing w:val="12"/>
          <w:sz w:val="20"/>
          <w:szCs w:val="20"/>
        </w:rPr>
        <w:t xml:space="preserve"> </w:t>
      </w:r>
      <w:r>
        <w:rPr>
          <w:color w:val="57585A"/>
          <w:spacing w:val="-11"/>
          <w:sz w:val="20"/>
          <w:szCs w:val="20"/>
        </w:rPr>
        <w:t>has accelerated, marking the gradual de-risking of</w:t>
      </w:r>
      <w:r>
        <w:rPr>
          <w:color w:val="57585A"/>
          <w:spacing w:val="-21"/>
          <w:sz w:val="20"/>
          <w:szCs w:val="20"/>
        </w:rPr>
        <w:t xml:space="preserve"> </w:t>
      </w:r>
      <w:r>
        <w:rPr>
          <w:color w:val="57585A"/>
          <w:spacing w:val="-11"/>
          <w:sz w:val="20"/>
          <w:szCs w:val="20"/>
        </w:rPr>
        <w:t>the business env</w:t>
      </w:r>
      <w:r>
        <w:rPr>
          <w:color w:val="57585A"/>
          <w:spacing w:val="-12"/>
          <w:sz w:val="20"/>
          <w:szCs w:val="20"/>
        </w:rPr>
        <w:t>ironment.</w:t>
      </w:r>
    </w:p>
    <w:p w14:paraId="3E625C8B">
      <w:pPr>
        <w:pStyle w:val="4"/>
        <w:spacing w:line="321" w:lineRule="auto"/>
      </w:pPr>
    </w:p>
    <w:p w14:paraId="26532ABE">
      <w:pPr>
        <w:pStyle w:val="4"/>
        <w:spacing w:line="321" w:lineRule="auto"/>
      </w:pPr>
    </w:p>
    <w:p w14:paraId="331AE94E">
      <w:pPr>
        <w:pStyle w:val="4"/>
        <w:spacing w:before="70" w:line="184" w:lineRule="auto"/>
        <w:ind w:left="3913"/>
        <w:outlineLvl w:val="1"/>
        <w:rPr>
          <w:sz w:val="24"/>
          <w:szCs w:val="24"/>
        </w:rPr>
      </w:pPr>
      <w:r>
        <w:rPr>
          <w:color w:val="174174"/>
          <w:spacing w:val="-13"/>
          <w:sz w:val="24"/>
          <w:szCs w:val="24"/>
        </w:rPr>
        <w:t xml:space="preserve">Rig Count Continues </w:t>
      </w:r>
      <w:r>
        <w:rPr>
          <w:color w:val="174174"/>
          <w:spacing w:val="-14"/>
          <w:sz w:val="24"/>
          <w:szCs w:val="24"/>
        </w:rPr>
        <w:t>To Recover</w:t>
      </w:r>
    </w:p>
    <w:p w14:paraId="10B0E737">
      <w:pPr>
        <w:pStyle w:val="4"/>
        <w:spacing w:before="38" w:line="231" w:lineRule="auto"/>
        <w:ind w:left="2818"/>
        <w:outlineLvl w:val="1"/>
        <w:rPr>
          <w:sz w:val="20"/>
          <w:szCs w:val="20"/>
        </w:rPr>
      </w:pPr>
      <w:r>
        <w:rPr>
          <w:color w:val="333333"/>
          <w:spacing w:val="-12"/>
          <w:sz w:val="20"/>
          <w:szCs w:val="20"/>
        </w:rPr>
        <w:t>Argentina - Number Of</w:t>
      </w:r>
      <w:r>
        <w:rPr>
          <w:color w:val="333333"/>
          <w:spacing w:val="-19"/>
          <w:sz w:val="20"/>
          <w:szCs w:val="20"/>
        </w:rPr>
        <w:t xml:space="preserve"> </w:t>
      </w:r>
      <w:r>
        <w:rPr>
          <w:color w:val="333333"/>
          <w:spacing w:val="-12"/>
          <w:sz w:val="20"/>
          <w:szCs w:val="20"/>
        </w:rPr>
        <w:t>Active Oil- and Gas-directed Rigs, 2019-2024</w:t>
      </w:r>
    </w:p>
    <w:p w14:paraId="534B11A3">
      <w:pPr>
        <w:spacing w:before="96" w:line="4500" w:lineRule="exact"/>
        <w:ind w:firstLine="1862"/>
      </w:pPr>
      <w:r>
        <w:drawing>
          <wp:anchor distT="0" distB="0" distL="0" distR="0" simplePos="0" relativeHeight="251684864" behindDoc="0" locked="0" layoutInCell="1" allowOverlap="1">
            <wp:simplePos x="0" y="0"/>
            <wp:positionH relativeFrom="column">
              <wp:posOffset>1182370</wp:posOffset>
            </wp:positionH>
            <wp:positionV relativeFrom="paragraph">
              <wp:posOffset>3006090</wp:posOffset>
            </wp:positionV>
            <wp:extent cx="4572000" cy="9525"/>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12"/>
                    <a:stretch>
                      <a:fillRect/>
                    </a:stretch>
                  </pic:blipFill>
                  <pic:spPr>
                    <a:xfrm>
                      <a:off x="0" y="0"/>
                      <a:ext cx="4572000" cy="9525"/>
                    </a:xfrm>
                    <a:prstGeom prst="rect">
                      <a:avLst/>
                    </a:prstGeom>
                  </pic:spPr>
                </pic:pic>
              </a:graphicData>
            </a:graphic>
          </wp:anchor>
        </w:drawing>
      </w:r>
      <w:r>
        <w:rPr>
          <w:position w:val="-90"/>
        </w:rPr>
        <w:drawing>
          <wp:inline distT="0" distB="0" distL="0" distR="0">
            <wp:extent cx="4572000" cy="285750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13"/>
                    <a:stretch>
                      <a:fillRect/>
                    </a:stretch>
                  </pic:blipFill>
                  <pic:spPr>
                    <a:xfrm>
                      <a:off x="0" y="0"/>
                      <a:ext cx="4572000" cy="2857500"/>
                    </a:xfrm>
                    <a:prstGeom prst="rect">
                      <a:avLst/>
                    </a:prstGeom>
                  </pic:spPr>
                </pic:pic>
              </a:graphicData>
            </a:graphic>
          </wp:inline>
        </w:drawing>
      </w:r>
    </w:p>
    <w:p w14:paraId="1047C163">
      <w:pPr>
        <w:pStyle w:val="4"/>
        <w:spacing w:before="181" w:line="185" w:lineRule="auto"/>
        <w:ind w:left="1871"/>
        <w:rPr>
          <w:sz w:val="15"/>
          <w:szCs w:val="15"/>
        </w:rPr>
      </w:pPr>
      <w:r>
        <w:rPr>
          <w:i/>
          <w:iCs/>
          <w:color w:val="333333"/>
          <w:spacing w:val="-6"/>
          <w:w w:val="92"/>
          <w:sz w:val="15"/>
          <w:szCs w:val="15"/>
        </w:rPr>
        <w:t>Source: Baker</w:t>
      </w:r>
      <w:r>
        <w:rPr>
          <w:i/>
          <w:iCs/>
          <w:color w:val="333333"/>
          <w:spacing w:val="-2"/>
          <w:sz w:val="15"/>
          <w:szCs w:val="15"/>
        </w:rPr>
        <w:t xml:space="preserve"> </w:t>
      </w:r>
      <w:r>
        <w:rPr>
          <w:i/>
          <w:iCs/>
          <w:color w:val="333333"/>
          <w:spacing w:val="-6"/>
          <w:w w:val="92"/>
          <w:sz w:val="15"/>
          <w:szCs w:val="15"/>
        </w:rPr>
        <w:t>Hughes, BMI</w:t>
      </w:r>
    </w:p>
    <w:p w14:paraId="6F3C4ACC">
      <w:pPr>
        <w:pStyle w:val="4"/>
        <w:spacing w:line="370" w:lineRule="auto"/>
      </w:pPr>
    </w:p>
    <w:p w14:paraId="38E40D7E">
      <w:pPr>
        <w:pStyle w:val="4"/>
        <w:spacing w:before="58" w:line="273" w:lineRule="auto"/>
        <w:ind w:left="370" w:right="416" w:hanging="11"/>
        <w:rPr>
          <w:sz w:val="20"/>
          <w:szCs w:val="20"/>
        </w:rPr>
      </w:pPr>
      <w:r>
        <w:rPr>
          <w:color w:val="57585A"/>
          <w:spacing w:val="-11"/>
          <w:sz w:val="20"/>
          <w:szCs w:val="20"/>
        </w:rPr>
        <w:t>Argentine shale, and in particular the Vaca Muerta, is highly</w:t>
      </w:r>
      <w:r>
        <w:rPr>
          <w:color w:val="57585A"/>
          <w:spacing w:val="-12"/>
          <w:sz w:val="20"/>
          <w:szCs w:val="20"/>
        </w:rPr>
        <w:t xml:space="preserve"> prospective but underexplored, and drilling remains high</w:t>
      </w:r>
      <w:r>
        <w:rPr>
          <w:color w:val="57585A"/>
          <w:spacing w:val="-2"/>
          <w:sz w:val="20"/>
          <w:szCs w:val="20"/>
        </w:rPr>
        <w:t xml:space="preserve"> </w:t>
      </w:r>
      <w:r>
        <w:rPr>
          <w:color w:val="57585A"/>
          <w:spacing w:val="-12"/>
          <w:sz w:val="20"/>
          <w:szCs w:val="20"/>
        </w:rPr>
        <w:t>risk and capital</w:t>
      </w:r>
      <w:r>
        <w:rPr>
          <w:color w:val="57585A"/>
          <w:sz w:val="20"/>
          <w:szCs w:val="20"/>
        </w:rPr>
        <w:t xml:space="preserve"> </w:t>
      </w:r>
      <w:r>
        <w:rPr>
          <w:color w:val="57585A"/>
          <w:spacing w:val="-11"/>
          <w:sz w:val="20"/>
          <w:szCs w:val="20"/>
        </w:rPr>
        <w:t>intensive.</w:t>
      </w:r>
      <w:r>
        <w:rPr>
          <w:color w:val="57585A"/>
          <w:spacing w:val="-10"/>
          <w:sz w:val="20"/>
          <w:szCs w:val="20"/>
        </w:rPr>
        <w:t xml:space="preserve"> </w:t>
      </w:r>
      <w:r>
        <w:rPr>
          <w:color w:val="57585A"/>
          <w:spacing w:val="-11"/>
          <w:sz w:val="20"/>
          <w:szCs w:val="20"/>
        </w:rPr>
        <w:t>A recession across 2019-2020 and uncertainty of</w:t>
      </w:r>
      <w:r>
        <w:rPr>
          <w:color w:val="57585A"/>
          <w:spacing w:val="-21"/>
          <w:sz w:val="20"/>
          <w:szCs w:val="20"/>
        </w:rPr>
        <w:t xml:space="preserve"> </w:t>
      </w:r>
      <w:r>
        <w:rPr>
          <w:color w:val="57585A"/>
          <w:spacing w:val="-11"/>
          <w:sz w:val="20"/>
          <w:szCs w:val="20"/>
        </w:rPr>
        <w:t>the stance on reforms of</w:t>
      </w:r>
      <w:r>
        <w:rPr>
          <w:color w:val="57585A"/>
          <w:spacing w:val="-22"/>
          <w:sz w:val="20"/>
          <w:szCs w:val="20"/>
        </w:rPr>
        <w:t xml:space="preserve"> </w:t>
      </w:r>
      <w:r>
        <w:rPr>
          <w:color w:val="57585A"/>
          <w:spacing w:val="-11"/>
          <w:sz w:val="20"/>
          <w:szCs w:val="20"/>
        </w:rPr>
        <w:t>former</w:t>
      </w:r>
      <w:r>
        <w:rPr>
          <w:color w:val="57585A"/>
          <w:spacing w:val="-15"/>
          <w:sz w:val="20"/>
          <w:szCs w:val="20"/>
        </w:rPr>
        <w:t xml:space="preserve"> </w:t>
      </w:r>
      <w:r>
        <w:rPr>
          <w:color w:val="57585A"/>
          <w:spacing w:val="-11"/>
          <w:sz w:val="20"/>
          <w:szCs w:val="20"/>
        </w:rPr>
        <w:t>Alberto Fernández's cabinet slowed</w:t>
      </w:r>
    </w:p>
    <w:p w14:paraId="4668EBE8">
      <w:pPr>
        <w:pStyle w:val="4"/>
        <w:spacing w:before="37" w:line="273" w:lineRule="auto"/>
        <w:ind w:left="359" w:right="502" w:firstLine="9"/>
        <w:rPr>
          <w:sz w:val="20"/>
          <w:szCs w:val="20"/>
        </w:rPr>
      </w:pPr>
      <w:r>
        <w:rPr>
          <w:color w:val="57585A"/>
          <w:spacing w:val="-11"/>
          <w:sz w:val="20"/>
          <w:szCs w:val="20"/>
        </w:rPr>
        <w:t>down private investments, as did the fall in global demand in the</w:t>
      </w:r>
      <w:r>
        <w:rPr>
          <w:color w:val="57585A"/>
          <w:spacing w:val="-15"/>
          <w:sz w:val="20"/>
          <w:szCs w:val="20"/>
        </w:rPr>
        <w:t xml:space="preserve"> </w:t>
      </w:r>
      <w:r>
        <w:rPr>
          <w:color w:val="57585A"/>
          <w:spacing w:val="-11"/>
          <w:sz w:val="20"/>
          <w:szCs w:val="20"/>
        </w:rPr>
        <w:t>wake of</w:t>
      </w:r>
      <w:r>
        <w:rPr>
          <w:color w:val="57585A"/>
          <w:spacing w:val="-22"/>
          <w:sz w:val="20"/>
          <w:szCs w:val="20"/>
        </w:rPr>
        <w:t xml:space="preserve"> </w:t>
      </w:r>
      <w:r>
        <w:rPr>
          <w:color w:val="57585A"/>
          <w:spacing w:val="-11"/>
          <w:sz w:val="20"/>
          <w:szCs w:val="20"/>
        </w:rPr>
        <w:t>the Covid-19 pan</w:t>
      </w:r>
      <w:r>
        <w:rPr>
          <w:color w:val="57585A"/>
          <w:spacing w:val="-12"/>
          <w:sz w:val="20"/>
          <w:szCs w:val="20"/>
        </w:rPr>
        <w:t>demic. While exploration activity</w:t>
      </w:r>
      <w:r>
        <w:rPr>
          <w:color w:val="57585A"/>
          <w:spacing w:val="-15"/>
          <w:sz w:val="20"/>
          <w:szCs w:val="20"/>
        </w:rPr>
        <w:t xml:space="preserve"> </w:t>
      </w:r>
      <w:r>
        <w:rPr>
          <w:color w:val="57585A"/>
          <w:spacing w:val="-12"/>
          <w:sz w:val="20"/>
          <w:szCs w:val="20"/>
        </w:rPr>
        <w:t>waned,</w:t>
      </w:r>
      <w:r>
        <w:rPr>
          <w:color w:val="57585A"/>
          <w:sz w:val="20"/>
          <w:szCs w:val="20"/>
        </w:rPr>
        <w:t xml:space="preserve"> </w:t>
      </w:r>
      <w:r>
        <w:rPr>
          <w:color w:val="57585A"/>
          <w:spacing w:val="-10"/>
          <w:sz w:val="20"/>
          <w:szCs w:val="20"/>
        </w:rPr>
        <w:t>we expect long-term growth due to:</w:t>
      </w:r>
    </w:p>
    <w:p w14:paraId="720B2C46">
      <w:pPr>
        <w:pStyle w:val="4"/>
        <w:spacing w:line="262" w:lineRule="auto"/>
      </w:pPr>
    </w:p>
    <w:p w14:paraId="42D736FA">
      <w:pPr>
        <w:pStyle w:val="4"/>
        <w:spacing w:before="58" w:line="273" w:lineRule="auto"/>
        <w:ind w:left="604" w:right="381" w:hanging="247"/>
        <w:rPr>
          <w:sz w:val="20"/>
          <w:szCs w:val="20"/>
        </w:rPr>
      </w:pPr>
      <w:r>
        <w:rPr>
          <w:color w:val="33CCFF"/>
          <w:spacing w:val="-10"/>
          <w:sz w:val="20"/>
          <w:szCs w:val="20"/>
        </w:rPr>
        <w:t xml:space="preserve">•   </w:t>
      </w:r>
      <w:r>
        <w:rPr>
          <w:b/>
          <w:bCs/>
          <w:color w:val="57585A"/>
          <w:spacing w:val="-10"/>
          <w:sz w:val="20"/>
          <w:szCs w:val="20"/>
        </w:rPr>
        <w:t>Lowering Operat</w:t>
      </w:r>
      <w:r>
        <w:rPr>
          <w:b/>
          <w:bCs/>
          <w:color w:val="57585A"/>
          <w:spacing w:val="-11"/>
          <w:sz w:val="20"/>
          <w:szCs w:val="20"/>
        </w:rPr>
        <w:t xml:space="preserve">ing Costs: </w:t>
      </w:r>
      <w:r>
        <w:rPr>
          <w:color w:val="57585A"/>
          <w:spacing w:val="-11"/>
          <w:sz w:val="20"/>
          <w:szCs w:val="20"/>
        </w:rPr>
        <w:t>The cost to develop</w:t>
      </w:r>
      <w:r>
        <w:rPr>
          <w:color w:val="57585A"/>
          <w:spacing w:val="-15"/>
          <w:sz w:val="20"/>
          <w:szCs w:val="20"/>
        </w:rPr>
        <w:t xml:space="preserve"> </w:t>
      </w:r>
      <w:r>
        <w:rPr>
          <w:color w:val="57585A"/>
          <w:spacing w:val="-11"/>
          <w:sz w:val="20"/>
          <w:szCs w:val="20"/>
        </w:rPr>
        <w:t>wells is falling.</w:t>
      </w:r>
      <w:r>
        <w:rPr>
          <w:color w:val="57585A"/>
          <w:spacing w:val="-16"/>
          <w:sz w:val="20"/>
          <w:szCs w:val="20"/>
        </w:rPr>
        <w:t xml:space="preserve"> </w:t>
      </w:r>
      <w:r>
        <w:rPr>
          <w:color w:val="57585A"/>
          <w:spacing w:val="-11"/>
          <w:sz w:val="20"/>
          <w:szCs w:val="20"/>
        </w:rPr>
        <w:t>According to</w:t>
      </w:r>
      <w:r>
        <w:rPr>
          <w:color w:val="57585A"/>
          <w:spacing w:val="-15"/>
          <w:sz w:val="20"/>
          <w:szCs w:val="20"/>
        </w:rPr>
        <w:t xml:space="preserve"> </w:t>
      </w:r>
      <w:r>
        <w:rPr>
          <w:color w:val="57585A"/>
          <w:spacing w:val="-11"/>
          <w:sz w:val="20"/>
          <w:szCs w:val="20"/>
        </w:rPr>
        <w:t>YPF, drilling and completion of</w:t>
      </w:r>
      <w:r>
        <w:rPr>
          <w:color w:val="57585A"/>
          <w:spacing w:val="-17"/>
          <w:sz w:val="20"/>
          <w:szCs w:val="20"/>
        </w:rPr>
        <w:t xml:space="preserve"> </w:t>
      </w:r>
      <w:r>
        <w:rPr>
          <w:color w:val="57585A"/>
          <w:spacing w:val="-11"/>
          <w:sz w:val="20"/>
          <w:szCs w:val="20"/>
        </w:rPr>
        <w:t>a shale exploration</w:t>
      </w:r>
      <w:r>
        <w:rPr>
          <w:color w:val="57585A"/>
          <w:sz w:val="20"/>
          <w:szCs w:val="20"/>
        </w:rPr>
        <w:t xml:space="preserve"> </w:t>
      </w:r>
      <w:r>
        <w:rPr>
          <w:color w:val="57585A"/>
          <w:spacing w:val="-10"/>
          <w:sz w:val="20"/>
          <w:szCs w:val="20"/>
        </w:rPr>
        <w:t>well</w:t>
      </w:r>
      <w:r>
        <w:rPr>
          <w:color w:val="57585A"/>
          <w:spacing w:val="-16"/>
          <w:sz w:val="20"/>
          <w:szCs w:val="20"/>
        </w:rPr>
        <w:t xml:space="preserve"> </w:t>
      </w:r>
      <w:r>
        <w:rPr>
          <w:color w:val="57585A"/>
          <w:spacing w:val="-10"/>
          <w:sz w:val="20"/>
          <w:szCs w:val="20"/>
        </w:rPr>
        <w:t>was around USD29/boe in 201</w:t>
      </w:r>
      <w:r>
        <w:rPr>
          <w:color w:val="57585A"/>
          <w:spacing w:val="-11"/>
          <w:sz w:val="20"/>
          <w:szCs w:val="20"/>
        </w:rPr>
        <w:t>5, and fell to approximately USD11/boe in 2018. Drilling efficiencies</w:t>
      </w:r>
      <w:r>
        <w:rPr>
          <w:color w:val="57585A"/>
          <w:spacing w:val="-15"/>
          <w:sz w:val="20"/>
          <w:szCs w:val="20"/>
        </w:rPr>
        <w:t xml:space="preserve"> </w:t>
      </w:r>
      <w:r>
        <w:rPr>
          <w:color w:val="57585A"/>
          <w:spacing w:val="-11"/>
          <w:sz w:val="20"/>
          <w:szCs w:val="20"/>
        </w:rPr>
        <w:t>will improve</w:t>
      </w:r>
      <w:r>
        <w:rPr>
          <w:color w:val="57585A"/>
          <w:spacing w:val="-16"/>
          <w:sz w:val="20"/>
          <w:szCs w:val="20"/>
        </w:rPr>
        <w:t xml:space="preserve"> </w:t>
      </w:r>
      <w:r>
        <w:rPr>
          <w:color w:val="57585A"/>
          <w:spacing w:val="-11"/>
          <w:sz w:val="20"/>
          <w:szCs w:val="20"/>
        </w:rPr>
        <w:t>via reducing</w:t>
      </w:r>
      <w:r>
        <w:rPr>
          <w:color w:val="57585A"/>
          <w:sz w:val="20"/>
          <w:szCs w:val="20"/>
        </w:rPr>
        <w:t xml:space="preserve"> </w:t>
      </w:r>
      <w:r>
        <w:rPr>
          <w:color w:val="57585A"/>
          <w:spacing w:val="-10"/>
          <w:sz w:val="20"/>
          <w:szCs w:val="20"/>
        </w:rPr>
        <w:t>the number of</w:t>
      </w:r>
      <w:r>
        <w:rPr>
          <w:color w:val="57585A"/>
          <w:spacing w:val="-15"/>
          <w:sz w:val="20"/>
          <w:szCs w:val="20"/>
        </w:rPr>
        <w:t xml:space="preserve"> </w:t>
      </w:r>
      <w:r>
        <w:rPr>
          <w:color w:val="57585A"/>
          <w:spacing w:val="-10"/>
          <w:sz w:val="20"/>
          <w:szCs w:val="20"/>
        </w:rPr>
        <w:t xml:space="preserve">drilling days and </w:t>
      </w:r>
      <w:r>
        <w:rPr>
          <w:color w:val="57585A"/>
          <w:spacing w:val="-11"/>
          <w:sz w:val="20"/>
          <w:szCs w:val="20"/>
        </w:rPr>
        <w:t>increasing laterals from current levels.</w:t>
      </w:r>
    </w:p>
    <w:p w14:paraId="00048898">
      <w:pPr>
        <w:pStyle w:val="4"/>
        <w:spacing w:before="55" w:line="273" w:lineRule="auto"/>
        <w:ind w:left="612" w:right="629" w:hanging="255"/>
        <w:rPr>
          <w:sz w:val="20"/>
          <w:szCs w:val="20"/>
        </w:rPr>
      </w:pPr>
      <w:r>
        <w:rPr>
          <w:color w:val="33CCFF"/>
          <w:spacing w:val="-11"/>
          <w:sz w:val="20"/>
          <w:szCs w:val="20"/>
        </w:rPr>
        <w:t xml:space="preserve">•   </w:t>
      </w:r>
      <w:r>
        <w:rPr>
          <w:b/>
          <w:bCs/>
          <w:color w:val="57585A"/>
          <w:spacing w:val="-11"/>
          <w:sz w:val="20"/>
          <w:szCs w:val="20"/>
        </w:rPr>
        <w:t xml:space="preserve">Growing Prospectivity: </w:t>
      </w:r>
      <w:r>
        <w:rPr>
          <w:color w:val="57585A"/>
          <w:spacing w:val="-11"/>
          <w:sz w:val="20"/>
          <w:szCs w:val="20"/>
        </w:rPr>
        <w:t>Early exploration in the Vaca Muerta has</w:t>
      </w:r>
      <w:r>
        <w:rPr>
          <w:color w:val="57585A"/>
          <w:spacing w:val="2"/>
          <w:sz w:val="20"/>
          <w:szCs w:val="20"/>
        </w:rPr>
        <w:t xml:space="preserve"> </w:t>
      </w:r>
      <w:r>
        <w:rPr>
          <w:color w:val="57585A"/>
          <w:spacing w:val="-11"/>
          <w:sz w:val="20"/>
          <w:szCs w:val="20"/>
        </w:rPr>
        <w:t>returned</w:t>
      </w:r>
      <w:r>
        <w:rPr>
          <w:color w:val="57585A"/>
          <w:spacing w:val="-1"/>
          <w:sz w:val="20"/>
          <w:szCs w:val="20"/>
        </w:rPr>
        <w:t xml:space="preserve"> </w:t>
      </w:r>
      <w:r>
        <w:rPr>
          <w:color w:val="57585A"/>
          <w:spacing w:val="-11"/>
          <w:sz w:val="20"/>
          <w:szCs w:val="20"/>
        </w:rPr>
        <w:t>broadly</w:t>
      </w:r>
      <w:r>
        <w:rPr>
          <w:color w:val="57585A"/>
          <w:spacing w:val="-2"/>
          <w:sz w:val="20"/>
          <w:szCs w:val="20"/>
        </w:rPr>
        <w:t xml:space="preserve"> </w:t>
      </w:r>
      <w:r>
        <w:rPr>
          <w:color w:val="57585A"/>
          <w:spacing w:val="-11"/>
          <w:sz w:val="20"/>
          <w:szCs w:val="20"/>
        </w:rPr>
        <w:t>positive drilling</w:t>
      </w:r>
      <w:r>
        <w:rPr>
          <w:color w:val="57585A"/>
          <w:spacing w:val="-2"/>
          <w:sz w:val="20"/>
          <w:szCs w:val="20"/>
        </w:rPr>
        <w:t xml:space="preserve"> </w:t>
      </w:r>
      <w:r>
        <w:rPr>
          <w:color w:val="57585A"/>
          <w:spacing w:val="-11"/>
          <w:sz w:val="20"/>
          <w:szCs w:val="20"/>
        </w:rPr>
        <w:t>results. Testing points to</w:t>
      </w:r>
      <w:r>
        <w:rPr>
          <w:color w:val="57585A"/>
          <w:sz w:val="20"/>
          <w:szCs w:val="20"/>
        </w:rPr>
        <w:t xml:space="preserve"> </w:t>
      </w:r>
      <w:r>
        <w:rPr>
          <w:color w:val="57585A"/>
          <w:spacing w:val="-11"/>
          <w:sz w:val="20"/>
          <w:szCs w:val="20"/>
        </w:rPr>
        <w:t>good reservoir quality and a high recovery rate.</w:t>
      </w:r>
      <w:r>
        <w:rPr>
          <w:color w:val="57585A"/>
          <w:spacing w:val="-16"/>
          <w:sz w:val="20"/>
          <w:szCs w:val="20"/>
        </w:rPr>
        <w:t xml:space="preserve"> </w:t>
      </w:r>
      <w:r>
        <w:rPr>
          <w:color w:val="57585A"/>
          <w:spacing w:val="-11"/>
          <w:sz w:val="20"/>
          <w:szCs w:val="20"/>
        </w:rPr>
        <w:t>A string of</w:t>
      </w:r>
      <w:r>
        <w:rPr>
          <w:color w:val="57585A"/>
          <w:spacing w:val="-15"/>
          <w:sz w:val="20"/>
          <w:szCs w:val="20"/>
        </w:rPr>
        <w:t xml:space="preserve"> </w:t>
      </w:r>
      <w:r>
        <w:rPr>
          <w:color w:val="57585A"/>
          <w:spacing w:val="-11"/>
          <w:sz w:val="20"/>
          <w:szCs w:val="20"/>
        </w:rPr>
        <w:t>discoveries should help support the upward tren</w:t>
      </w:r>
      <w:r>
        <w:rPr>
          <w:color w:val="57585A"/>
          <w:spacing w:val="-12"/>
          <w:sz w:val="20"/>
          <w:szCs w:val="20"/>
        </w:rPr>
        <w:t>d in investment, as</w:t>
      </w:r>
      <w:r>
        <w:rPr>
          <w:color w:val="57585A"/>
          <w:sz w:val="20"/>
          <w:szCs w:val="20"/>
        </w:rPr>
        <w:t xml:space="preserve"> </w:t>
      </w:r>
      <w:r>
        <w:rPr>
          <w:color w:val="57585A"/>
          <w:spacing w:val="-10"/>
          <w:sz w:val="20"/>
          <w:szCs w:val="20"/>
        </w:rPr>
        <w:t>companies</w:t>
      </w:r>
      <w:r>
        <w:rPr>
          <w:color w:val="57585A"/>
          <w:spacing w:val="-15"/>
          <w:sz w:val="20"/>
          <w:szCs w:val="20"/>
        </w:rPr>
        <w:t xml:space="preserve"> </w:t>
      </w:r>
      <w:r>
        <w:rPr>
          <w:color w:val="57585A"/>
          <w:spacing w:val="-10"/>
          <w:sz w:val="20"/>
          <w:szCs w:val="20"/>
        </w:rPr>
        <w:t>weigh continued operational ris</w:t>
      </w:r>
      <w:r>
        <w:rPr>
          <w:color w:val="57585A"/>
          <w:spacing w:val="-11"/>
          <w:sz w:val="20"/>
          <w:szCs w:val="20"/>
        </w:rPr>
        <w:t>k against the market's shale potential.</w:t>
      </w:r>
    </w:p>
    <w:p w14:paraId="738793C2">
      <w:pPr>
        <w:spacing w:line="273" w:lineRule="auto"/>
        <w:rPr>
          <w:sz w:val="20"/>
          <w:szCs w:val="20"/>
        </w:rPr>
        <w:sectPr>
          <w:footerReference r:id="rId12" w:type="default"/>
          <w:pgSz w:w="11906" w:h="16838"/>
          <w:pgMar w:top="400" w:right="490" w:bottom="883" w:left="490" w:header="0" w:footer="0" w:gutter="0"/>
          <w:cols w:space="720" w:num="1"/>
        </w:sectPr>
      </w:pPr>
    </w:p>
    <w:p w14:paraId="56CC9A30">
      <w:pPr>
        <w:pStyle w:val="4"/>
        <w:spacing w:before="73" w:line="241" w:lineRule="auto"/>
        <w:ind w:left="7372"/>
        <w:rPr>
          <w:sz w:val="20"/>
          <w:szCs w:val="20"/>
        </w:rPr>
      </w:pPr>
      <w:r>
        <w:drawing>
          <wp:anchor distT="0" distB="0" distL="0" distR="0" simplePos="0" relativeHeight="25168793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311150</wp:posOffset>
            </wp:positionH>
            <wp:positionV relativeFrom="page">
              <wp:posOffset>0</wp:posOffset>
            </wp:positionV>
            <wp:extent cx="19050" cy="81407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5DA695D">
      <w:pPr>
        <w:pStyle w:val="4"/>
        <w:spacing w:line="278" w:lineRule="auto"/>
      </w:pPr>
    </w:p>
    <w:p w14:paraId="08BEB83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21F6DDC">
      <w:pPr>
        <w:pStyle w:val="4"/>
        <w:spacing w:line="251" w:lineRule="auto"/>
      </w:pPr>
    </w:p>
    <w:p w14:paraId="1CA3802B">
      <w:pPr>
        <w:pStyle w:val="4"/>
        <w:spacing w:line="251" w:lineRule="auto"/>
      </w:pPr>
    </w:p>
    <w:p w14:paraId="6B1B17EA">
      <w:pPr>
        <w:pStyle w:val="4"/>
        <w:spacing w:line="251" w:lineRule="auto"/>
      </w:pPr>
    </w:p>
    <w:p w14:paraId="1A6078EE">
      <w:pPr>
        <w:pStyle w:val="4"/>
        <w:spacing w:before="58" w:line="241" w:lineRule="auto"/>
        <w:ind w:left="359"/>
        <w:rPr>
          <w:sz w:val="20"/>
          <w:szCs w:val="20"/>
          <w:highlight w:val="yellow"/>
        </w:rPr>
      </w:pPr>
      <w:r>
        <w:rPr>
          <w:b/>
          <w:bCs/>
          <w:color w:val="57585A"/>
          <w:spacing w:val="-10"/>
          <w:sz w:val="20"/>
          <w:szCs w:val="20"/>
        </w:rPr>
        <w:t>YPF, Majors</w:t>
      </w:r>
      <w:r>
        <w:rPr>
          <w:b/>
          <w:bCs/>
          <w:color w:val="57585A"/>
          <w:spacing w:val="2"/>
          <w:sz w:val="20"/>
          <w:szCs w:val="20"/>
        </w:rPr>
        <w:t xml:space="preserve"> </w:t>
      </w:r>
      <w:r>
        <w:rPr>
          <w:b/>
          <w:bCs/>
          <w:color w:val="57585A"/>
          <w:spacing w:val="-10"/>
          <w:sz w:val="20"/>
          <w:szCs w:val="20"/>
        </w:rPr>
        <w:t>And Smaller Private Companies Focus On</w:t>
      </w:r>
      <w:r>
        <w:rPr>
          <w:b/>
          <w:bCs/>
          <w:color w:val="57585A"/>
          <w:spacing w:val="-15"/>
          <w:sz w:val="20"/>
          <w:szCs w:val="20"/>
        </w:rPr>
        <w:t xml:space="preserve"> </w:t>
      </w:r>
      <w:r>
        <w:rPr>
          <w:b/>
          <w:bCs/>
          <w:color w:val="57585A"/>
          <w:spacing w:val="-10"/>
          <w:sz w:val="20"/>
          <w:szCs w:val="20"/>
          <w:highlight w:val="yellow"/>
        </w:rPr>
        <w:t>Vaca Muerta</w:t>
      </w:r>
    </w:p>
    <w:p w14:paraId="58A2EED3">
      <w:pPr>
        <w:pStyle w:val="4"/>
        <w:spacing w:line="281" w:lineRule="auto"/>
      </w:pPr>
    </w:p>
    <w:p w14:paraId="19A0C9C3">
      <w:pPr>
        <w:pStyle w:val="4"/>
        <w:spacing w:before="57" w:line="273" w:lineRule="auto"/>
        <w:ind w:left="376" w:right="440" w:hanging="15"/>
        <w:rPr>
          <w:sz w:val="20"/>
          <w:szCs w:val="20"/>
        </w:rPr>
      </w:pPr>
      <w:r>
        <w:rPr>
          <w:color w:val="57585A"/>
          <w:spacing w:val="-12"/>
          <w:sz w:val="20"/>
          <w:szCs w:val="20"/>
        </w:rPr>
        <w:t>We estimate commercial breakev</w:t>
      </w:r>
      <w:r>
        <w:rPr>
          <w:color w:val="57585A"/>
          <w:spacing w:val="-13"/>
          <w:sz w:val="20"/>
          <w:szCs w:val="20"/>
        </w:rPr>
        <w:t>en costs for the Chevron-YPF</w:t>
      </w:r>
      <w:r>
        <w:rPr>
          <w:color w:val="57585A"/>
          <w:spacing w:val="-17"/>
          <w:sz w:val="20"/>
          <w:szCs w:val="20"/>
        </w:rPr>
        <w:t xml:space="preserve"> </w:t>
      </w:r>
      <w:r>
        <w:rPr>
          <w:color w:val="57585A"/>
          <w:spacing w:val="-13"/>
          <w:sz w:val="20"/>
          <w:szCs w:val="20"/>
        </w:rPr>
        <w:t>joint venture in Loma La Lata Norte and Loma Campana in the Vaca</w:t>
      </w:r>
      <w:r>
        <w:rPr>
          <w:color w:val="57585A"/>
          <w:sz w:val="20"/>
          <w:szCs w:val="20"/>
        </w:rPr>
        <w:t xml:space="preserve"> </w:t>
      </w:r>
      <w:r>
        <w:rPr>
          <w:color w:val="57585A"/>
          <w:spacing w:val="-11"/>
          <w:sz w:val="20"/>
          <w:szCs w:val="20"/>
        </w:rPr>
        <w:t>Muerta are below USD40-50/bbl,</w:t>
      </w:r>
      <w:r>
        <w:rPr>
          <w:color w:val="57585A"/>
          <w:spacing w:val="-16"/>
          <w:sz w:val="20"/>
          <w:szCs w:val="20"/>
        </w:rPr>
        <w:t xml:space="preserve"> </w:t>
      </w:r>
      <w:r>
        <w:rPr>
          <w:color w:val="57585A"/>
          <w:spacing w:val="-11"/>
          <w:sz w:val="20"/>
          <w:szCs w:val="20"/>
        </w:rPr>
        <w:t>which is looking less profitable due to the early 2020 fall in global oil prices. Project costs</w:t>
      </w:r>
      <w:r>
        <w:rPr>
          <w:color w:val="57585A"/>
          <w:spacing w:val="-16"/>
          <w:sz w:val="20"/>
          <w:szCs w:val="20"/>
        </w:rPr>
        <w:t xml:space="preserve"> </w:t>
      </w:r>
      <w:r>
        <w:rPr>
          <w:color w:val="57585A"/>
          <w:spacing w:val="-11"/>
          <w:sz w:val="20"/>
          <w:szCs w:val="20"/>
        </w:rPr>
        <w:t>vary</w:t>
      </w:r>
    </w:p>
    <w:p w14:paraId="691065F6">
      <w:pPr>
        <w:pStyle w:val="4"/>
        <w:spacing w:before="36" w:line="231" w:lineRule="auto"/>
        <w:ind w:left="366"/>
        <w:rPr>
          <w:sz w:val="20"/>
          <w:szCs w:val="20"/>
        </w:rPr>
      </w:pPr>
      <w:r>
        <w:rPr>
          <w:color w:val="57585A"/>
          <w:spacing w:val="-10"/>
          <w:sz w:val="20"/>
          <w:szCs w:val="20"/>
        </w:rPr>
        <w:t>significantly and break-evens for theJV project</w:t>
      </w:r>
      <w:r>
        <w:rPr>
          <w:color w:val="57585A"/>
          <w:spacing w:val="-16"/>
          <w:sz w:val="20"/>
          <w:szCs w:val="20"/>
        </w:rPr>
        <w:t xml:space="preserve"> </w:t>
      </w:r>
      <w:r>
        <w:rPr>
          <w:color w:val="57585A"/>
          <w:spacing w:val="-10"/>
          <w:sz w:val="20"/>
          <w:szCs w:val="20"/>
        </w:rPr>
        <w:t>will fall to the lower end of</w:t>
      </w:r>
      <w:r>
        <w:rPr>
          <w:color w:val="57585A"/>
          <w:spacing w:val="-21"/>
          <w:sz w:val="20"/>
          <w:szCs w:val="20"/>
        </w:rPr>
        <w:t xml:space="preserve"> </w:t>
      </w:r>
      <w:r>
        <w:rPr>
          <w:color w:val="57585A"/>
          <w:spacing w:val="-10"/>
          <w:sz w:val="20"/>
          <w:szCs w:val="20"/>
        </w:rPr>
        <w:t>t</w:t>
      </w:r>
      <w:r>
        <w:rPr>
          <w:color w:val="57585A"/>
          <w:spacing w:val="-11"/>
          <w:sz w:val="20"/>
          <w:szCs w:val="20"/>
        </w:rPr>
        <w:t>he spectrum.</w:t>
      </w:r>
      <w:r>
        <w:rPr>
          <w:color w:val="57585A"/>
          <w:spacing w:val="-15"/>
          <w:sz w:val="20"/>
          <w:szCs w:val="20"/>
        </w:rPr>
        <w:t xml:space="preserve"> </w:t>
      </w:r>
      <w:r>
        <w:rPr>
          <w:color w:val="57585A"/>
          <w:spacing w:val="-11"/>
          <w:sz w:val="20"/>
          <w:szCs w:val="20"/>
        </w:rPr>
        <w:t>The project is the most advanced in</w:t>
      </w:r>
    </w:p>
    <w:p w14:paraId="4C4627FC">
      <w:pPr>
        <w:pStyle w:val="4"/>
        <w:spacing w:before="60" w:line="279" w:lineRule="auto"/>
        <w:ind w:left="366" w:right="665" w:hanging="7"/>
        <w:rPr>
          <w:sz w:val="20"/>
          <w:szCs w:val="20"/>
        </w:rPr>
      </w:pPr>
      <w:r>
        <w:rPr>
          <w:color w:val="57585A"/>
          <w:spacing w:val="-11"/>
          <w:sz w:val="20"/>
          <w:szCs w:val="20"/>
        </w:rPr>
        <w:t>Argentina and the companies involved have bot</w:t>
      </w:r>
      <w:r>
        <w:rPr>
          <w:color w:val="57585A"/>
          <w:spacing w:val="-12"/>
          <w:sz w:val="20"/>
          <w:szCs w:val="20"/>
        </w:rPr>
        <w:t>h substantial experience and strong technical capability. Lower breakevens have</w:t>
      </w:r>
      <w:r>
        <w:rPr>
          <w:color w:val="57585A"/>
          <w:sz w:val="20"/>
          <w:szCs w:val="20"/>
        </w:rPr>
        <w:t xml:space="preserve"> </w:t>
      </w:r>
      <w:r>
        <w:rPr>
          <w:color w:val="57585A"/>
          <w:spacing w:val="-11"/>
          <w:sz w:val="20"/>
          <w:szCs w:val="20"/>
        </w:rPr>
        <w:t>been supported by a significant drawdown in drilling costs over the pa</w:t>
      </w:r>
      <w:r>
        <w:rPr>
          <w:color w:val="57585A"/>
          <w:spacing w:val="-12"/>
          <w:sz w:val="20"/>
          <w:szCs w:val="20"/>
        </w:rPr>
        <w:t>st several</w:t>
      </w:r>
      <w:r>
        <w:rPr>
          <w:color w:val="57585A"/>
          <w:spacing w:val="-15"/>
          <w:sz w:val="20"/>
          <w:szCs w:val="20"/>
        </w:rPr>
        <w:t xml:space="preserve"> </w:t>
      </w:r>
      <w:r>
        <w:rPr>
          <w:color w:val="57585A"/>
          <w:spacing w:val="-12"/>
          <w:sz w:val="20"/>
          <w:szCs w:val="20"/>
        </w:rPr>
        <w:t>years as</w:t>
      </w:r>
      <w:r>
        <w:rPr>
          <w:color w:val="57585A"/>
          <w:spacing w:val="-16"/>
          <w:sz w:val="20"/>
          <w:szCs w:val="20"/>
        </w:rPr>
        <w:t xml:space="preserve"> </w:t>
      </w:r>
      <w:r>
        <w:rPr>
          <w:color w:val="57585A"/>
          <w:spacing w:val="-12"/>
          <w:sz w:val="20"/>
          <w:szCs w:val="20"/>
        </w:rPr>
        <w:t>well as improved</w:t>
      </w:r>
      <w:r>
        <w:rPr>
          <w:color w:val="57585A"/>
          <w:spacing w:val="-15"/>
          <w:sz w:val="20"/>
          <w:szCs w:val="20"/>
        </w:rPr>
        <w:t xml:space="preserve"> </w:t>
      </w:r>
      <w:r>
        <w:rPr>
          <w:color w:val="57585A"/>
          <w:spacing w:val="-12"/>
          <w:sz w:val="20"/>
          <w:szCs w:val="20"/>
        </w:rPr>
        <w:t>well productivity and</w:t>
      </w:r>
      <w:r>
        <w:rPr>
          <w:color w:val="57585A"/>
          <w:sz w:val="20"/>
          <w:szCs w:val="20"/>
        </w:rPr>
        <w:t xml:space="preserve"> </w:t>
      </w:r>
      <w:r>
        <w:rPr>
          <w:color w:val="57585A"/>
          <w:spacing w:val="-11"/>
          <w:sz w:val="20"/>
          <w:szCs w:val="20"/>
        </w:rPr>
        <w:t>access</w:t>
      </w:r>
      <w:r>
        <w:rPr>
          <w:color w:val="57585A"/>
          <w:spacing w:val="6"/>
          <w:sz w:val="20"/>
          <w:szCs w:val="20"/>
        </w:rPr>
        <w:t xml:space="preserve"> </w:t>
      </w:r>
      <w:r>
        <w:rPr>
          <w:color w:val="57585A"/>
          <w:spacing w:val="-11"/>
          <w:sz w:val="20"/>
          <w:szCs w:val="20"/>
        </w:rPr>
        <w:t>to pre-existing infrastructure.</w:t>
      </w:r>
    </w:p>
    <w:p w14:paraId="5DB24BB9">
      <w:pPr>
        <w:pStyle w:val="4"/>
        <w:spacing w:line="265" w:lineRule="auto"/>
      </w:pPr>
    </w:p>
    <w:p w14:paraId="03F59196">
      <w:pPr>
        <w:pStyle w:val="4"/>
        <w:spacing w:before="58" w:line="273" w:lineRule="auto"/>
        <w:ind w:left="363" w:right="497" w:firstLine="12"/>
        <w:rPr>
          <w:sz w:val="20"/>
          <w:szCs w:val="20"/>
        </w:rPr>
      </w:pPr>
      <w:r>
        <w:rPr>
          <w:color w:val="57585A"/>
          <w:spacing w:val="-12"/>
          <w:sz w:val="20"/>
          <w:szCs w:val="20"/>
        </w:rPr>
        <w:t>In May 2016, Chevron revealed it was considering a new unconventional development project at its</w:t>
      </w:r>
      <w:r>
        <w:rPr>
          <w:color w:val="57585A"/>
          <w:spacing w:val="-2"/>
          <w:sz w:val="20"/>
          <w:szCs w:val="20"/>
        </w:rPr>
        <w:t xml:space="preserve"> </w:t>
      </w:r>
      <w:r>
        <w:rPr>
          <w:color w:val="57585A"/>
          <w:spacing w:val="-12"/>
          <w:sz w:val="20"/>
          <w:szCs w:val="20"/>
        </w:rPr>
        <w:t>maturing</w:t>
      </w:r>
      <w:r>
        <w:rPr>
          <w:color w:val="57585A"/>
          <w:spacing w:val="1"/>
          <w:sz w:val="20"/>
          <w:szCs w:val="20"/>
        </w:rPr>
        <w:t xml:space="preserve"> </w:t>
      </w:r>
      <w:r>
        <w:rPr>
          <w:color w:val="57585A"/>
          <w:spacing w:val="-12"/>
          <w:sz w:val="20"/>
          <w:szCs w:val="20"/>
        </w:rPr>
        <w:t>El Trapial concession</w:t>
      </w:r>
      <w:r>
        <w:rPr>
          <w:color w:val="57585A"/>
          <w:sz w:val="20"/>
          <w:szCs w:val="20"/>
        </w:rPr>
        <w:t xml:space="preserve"> </w:t>
      </w:r>
      <w:r>
        <w:rPr>
          <w:color w:val="57585A"/>
          <w:spacing w:val="-10"/>
          <w:sz w:val="20"/>
          <w:szCs w:val="20"/>
        </w:rPr>
        <w:t>following promising exploration tests. The company r</w:t>
      </w:r>
      <w:r>
        <w:rPr>
          <w:color w:val="57585A"/>
          <w:spacing w:val="-11"/>
          <w:sz w:val="20"/>
          <w:szCs w:val="20"/>
        </w:rPr>
        <w:t>eportedly evaluated the results of</w:t>
      </w:r>
      <w:r>
        <w:rPr>
          <w:color w:val="57585A"/>
          <w:spacing w:val="-21"/>
          <w:sz w:val="20"/>
          <w:szCs w:val="20"/>
        </w:rPr>
        <w:t xml:space="preserve"> </w:t>
      </w:r>
      <w:r>
        <w:rPr>
          <w:color w:val="57585A"/>
          <w:spacing w:val="-11"/>
          <w:sz w:val="20"/>
          <w:szCs w:val="20"/>
        </w:rPr>
        <w:t>four shale</w:t>
      </w:r>
      <w:r>
        <w:rPr>
          <w:color w:val="57585A"/>
          <w:spacing w:val="-16"/>
          <w:sz w:val="20"/>
          <w:szCs w:val="20"/>
        </w:rPr>
        <w:t xml:space="preserve"> </w:t>
      </w:r>
      <w:r>
        <w:rPr>
          <w:color w:val="57585A"/>
          <w:spacing w:val="-11"/>
          <w:sz w:val="20"/>
          <w:szCs w:val="20"/>
        </w:rPr>
        <w:t>wells drilled in the play</w:t>
      </w:r>
      <w:r>
        <w:rPr>
          <w:color w:val="57585A"/>
          <w:spacing w:val="-16"/>
          <w:sz w:val="20"/>
          <w:szCs w:val="20"/>
        </w:rPr>
        <w:t xml:space="preserve"> </w:t>
      </w:r>
      <w:r>
        <w:rPr>
          <w:color w:val="57585A"/>
          <w:spacing w:val="-11"/>
          <w:sz w:val="20"/>
          <w:szCs w:val="20"/>
        </w:rPr>
        <w:t>which</w:t>
      </w:r>
    </w:p>
    <w:p w14:paraId="06677FDC">
      <w:pPr>
        <w:pStyle w:val="4"/>
        <w:spacing w:before="38" w:line="279" w:lineRule="auto"/>
        <w:ind w:left="363" w:right="552" w:firstLine="3"/>
        <w:rPr>
          <w:sz w:val="20"/>
          <w:szCs w:val="20"/>
        </w:rPr>
      </w:pPr>
      <w:r>
        <w:rPr>
          <w:color w:val="57585A"/>
          <w:spacing w:val="-11"/>
          <w:sz w:val="20"/>
          <w:szCs w:val="20"/>
        </w:rPr>
        <w:t>suggested upwards of 1bn bbls of recoverable oil equivalent, the focu</w:t>
      </w:r>
      <w:r>
        <w:rPr>
          <w:color w:val="57585A"/>
          <w:spacing w:val="-12"/>
          <w:sz w:val="20"/>
          <w:szCs w:val="20"/>
        </w:rPr>
        <w:t>s of</w:t>
      </w:r>
      <w:r>
        <w:rPr>
          <w:color w:val="57585A"/>
          <w:spacing w:val="-24"/>
          <w:sz w:val="20"/>
          <w:szCs w:val="20"/>
        </w:rPr>
        <w:t xml:space="preserve"> </w:t>
      </w:r>
      <w:r>
        <w:rPr>
          <w:color w:val="57585A"/>
          <w:spacing w:val="-12"/>
          <w:sz w:val="20"/>
          <w:szCs w:val="20"/>
        </w:rPr>
        <w:t>which</w:t>
      </w:r>
      <w:r>
        <w:rPr>
          <w:color w:val="57585A"/>
          <w:spacing w:val="-16"/>
          <w:sz w:val="20"/>
          <w:szCs w:val="20"/>
        </w:rPr>
        <w:t xml:space="preserve"> </w:t>
      </w:r>
      <w:r>
        <w:rPr>
          <w:color w:val="57585A"/>
          <w:spacing w:val="-12"/>
          <w:sz w:val="20"/>
          <w:szCs w:val="20"/>
        </w:rPr>
        <w:t>will be gas condensate. The company hoped to</w:t>
      </w:r>
      <w:r>
        <w:rPr>
          <w:color w:val="57585A"/>
          <w:sz w:val="20"/>
          <w:szCs w:val="20"/>
        </w:rPr>
        <w:t xml:space="preserve">  </w:t>
      </w:r>
      <w:r>
        <w:rPr>
          <w:color w:val="57585A"/>
          <w:spacing w:val="-10"/>
          <w:sz w:val="20"/>
          <w:szCs w:val="20"/>
        </w:rPr>
        <w:t>begin the eight-well appraisal project</w:t>
      </w:r>
      <w:r>
        <w:rPr>
          <w:color w:val="57585A"/>
          <w:spacing w:val="-16"/>
          <w:sz w:val="20"/>
          <w:szCs w:val="20"/>
        </w:rPr>
        <w:t xml:space="preserve"> </w:t>
      </w:r>
      <w:r>
        <w:rPr>
          <w:color w:val="57585A"/>
          <w:spacing w:val="-10"/>
          <w:sz w:val="20"/>
          <w:szCs w:val="20"/>
        </w:rPr>
        <w:t>which no later than mid-2017, but delayed the campaig</w:t>
      </w:r>
      <w:r>
        <w:rPr>
          <w:color w:val="57585A"/>
          <w:spacing w:val="-11"/>
          <w:sz w:val="20"/>
          <w:szCs w:val="20"/>
        </w:rPr>
        <w:t>n into 2018 after offering USD20mn</w:t>
      </w:r>
      <w:r>
        <w:rPr>
          <w:color w:val="57585A"/>
          <w:sz w:val="20"/>
          <w:szCs w:val="20"/>
        </w:rPr>
        <w:t xml:space="preserve"> </w:t>
      </w:r>
      <w:r>
        <w:rPr>
          <w:color w:val="57585A"/>
          <w:spacing w:val="-11"/>
          <w:sz w:val="20"/>
          <w:szCs w:val="20"/>
        </w:rPr>
        <w:t>for the plan in Q417.</w:t>
      </w:r>
      <w:r>
        <w:rPr>
          <w:color w:val="57585A"/>
          <w:spacing w:val="2"/>
          <w:sz w:val="20"/>
          <w:szCs w:val="20"/>
        </w:rPr>
        <w:t xml:space="preserve"> </w:t>
      </w:r>
      <w:r>
        <w:rPr>
          <w:color w:val="57585A"/>
          <w:spacing w:val="-11"/>
          <w:sz w:val="20"/>
          <w:szCs w:val="20"/>
        </w:rPr>
        <w:t>As of 2020, Chevron reports it is using</w:t>
      </w:r>
      <w:r>
        <w:rPr>
          <w:color w:val="57585A"/>
          <w:spacing w:val="-15"/>
          <w:sz w:val="20"/>
          <w:szCs w:val="20"/>
        </w:rPr>
        <w:t xml:space="preserve"> </w:t>
      </w:r>
      <w:r>
        <w:rPr>
          <w:color w:val="57585A"/>
          <w:spacing w:val="-11"/>
          <w:sz w:val="20"/>
          <w:szCs w:val="20"/>
        </w:rPr>
        <w:t>waterflood operations to offset declining output at El Trapial.</w:t>
      </w:r>
    </w:p>
    <w:p w14:paraId="5904F765">
      <w:pPr>
        <w:pStyle w:val="4"/>
        <w:spacing w:line="265" w:lineRule="auto"/>
      </w:pPr>
    </w:p>
    <w:p w14:paraId="589B55C5">
      <w:pPr>
        <w:pStyle w:val="4"/>
        <w:spacing w:before="58" w:line="273" w:lineRule="auto"/>
        <w:ind w:left="369" w:right="365" w:firstLine="7"/>
        <w:rPr>
          <w:sz w:val="20"/>
          <w:szCs w:val="20"/>
        </w:rPr>
      </w:pPr>
      <w:r>
        <w:rPr>
          <w:color w:val="57585A"/>
          <w:spacing w:val="-12"/>
          <w:sz w:val="20"/>
          <w:szCs w:val="20"/>
        </w:rPr>
        <w:t>In December 2015, the</w:t>
      </w:r>
      <w:r>
        <w:rPr>
          <w:color w:val="57585A"/>
          <w:spacing w:val="-23"/>
          <w:sz w:val="20"/>
          <w:szCs w:val="20"/>
        </w:rPr>
        <w:t xml:space="preserve"> </w:t>
      </w:r>
      <w:r>
        <w:rPr>
          <w:color w:val="57585A"/>
          <w:spacing w:val="-12"/>
          <w:sz w:val="20"/>
          <w:szCs w:val="20"/>
        </w:rPr>
        <w:t>JV betwe</w:t>
      </w:r>
      <w:r>
        <w:rPr>
          <w:color w:val="57585A"/>
          <w:spacing w:val="-13"/>
          <w:sz w:val="20"/>
          <w:szCs w:val="20"/>
        </w:rPr>
        <w:t>en ExxonMobil and Gas</w:t>
      </w:r>
      <w:r>
        <w:rPr>
          <w:color w:val="57585A"/>
          <w:spacing w:val="-15"/>
          <w:sz w:val="20"/>
          <w:szCs w:val="20"/>
        </w:rPr>
        <w:t xml:space="preserve"> </w:t>
      </w:r>
      <w:r>
        <w:rPr>
          <w:color w:val="57585A"/>
          <w:spacing w:val="-13"/>
          <w:sz w:val="20"/>
          <w:szCs w:val="20"/>
        </w:rPr>
        <w:t>y Petroleo del NeuquenJV</w:t>
      </w:r>
      <w:r>
        <w:rPr>
          <w:color w:val="57585A"/>
          <w:spacing w:val="-16"/>
          <w:sz w:val="20"/>
          <w:szCs w:val="20"/>
        </w:rPr>
        <w:t xml:space="preserve"> </w:t>
      </w:r>
      <w:r>
        <w:rPr>
          <w:color w:val="57585A"/>
          <w:spacing w:val="-13"/>
          <w:sz w:val="20"/>
          <w:szCs w:val="20"/>
        </w:rPr>
        <w:t>was approved by the government of Neuquen to</w:t>
      </w:r>
      <w:r>
        <w:rPr>
          <w:color w:val="57585A"/>
          <w:sz w:val="20"/>
          <w:szCs w:val="20"/>
        </w:rPr>
        <w:t xml:space="preserve"> </w:t>
      </w:r>
      <w:r>
        <w:rPr>
          <w:color w:val="57585A"/>
          <w:spacing w:val="-12"/>
          <w:sz w:val="20"/>
          <w:szCs w:val="20"/>
        </w:rPr>
        <w:t>develop shale resources in the Bajo el Choique and La Invernanda blocks. The</w:t>
      </w:r>
      <w:r>
        <w:rPr>
          <w:color w:val="57585A"/>
          <w:spacing w:val="-23"/>
          <w:sz w:val="20"/>
          <w:szCs w:val="20"/>
        </w:rPr>
        <w:t xml:space="preserve"> </w:t>
      </w:r>
      <w:r>
        <w:rPr>
          <w:color w:val="57585A"/>
          <w:spacing w:val="-12"/>
          <w:sz w:val="20"/>
          <w:szCs w:val="20"/>
        </w:rPr>
        <w:t xml:space="preserve">JV planned to drill </w:t>
      </w:r>
      <w:r>
        <w:rPr>
          <w:color w:val="57585A"/>
          <w:spacing w:val="-13"/>
          <w:sz w:val="20"/>
          <w:szCs w:val="20"/>
        </w:rPr>
        <w:t>over 550</w:t>
      </w:r>
      <w:r>
        <w:rPr>
          <w:color w:val="57585A"/>
          <w:spacing w:val="-16"/>
          <w:sz w:val="20"/>
          <w:szCs w:val="20"/>
        </w:rPr>
        <w:t xml:space="preserve"> </w:t>
      </w:r>
      <w:r>
        <w:rPr>
          <w:color w:val="57585A"/>
          <w:spacing w:val="-13"/>
          <w:sz w:val="20"/>
          <w:szCs w:val="20"/>
        </w:rPr>
        <w:t>wells</w:t>
      </w:r>
      <w:r>
        <w:rPr>
          <w:color w:val="57585A"/>
          <w:spacing w:val="-16"/>
          <w:sz w:val="20"/>
          <w:szCs w:val="20"/>
        </w:rPr>
        <w:t xml:space="preserve"> </w:t>
      </w:r>
      <w:r>
        <w:rPr>
          <w:color w:val="57585A"/>
          <w:spacing w:val="-13"/>
          <w:sz w:val="20"/>
          <w:szCs w:val="20"/>
        </w:rPr>
        <w:t>with investments</w:t>
      </w:r>
    </w:p>
    <w:p w14:paraId="3DB7C151">
      <w:pPr>
        <w:pStyle w:val="4"/>
        <w:spacing w:before="37" w:line="231" w:lineRule="auto"/>
        <w:ind w:left="373"/>
        <w:rPr>
          <w:sz w:val="20"/>
          <w:szCs w:val="20"/>
        </w:rPr>
      </w:pPr>
      <w:r>
        <w:rPr>
          <w:color w:val="57585A"/>
          <w:spacing w:val="-11"/>
          <w:sz w:val="20"/>
          <w:szCs w:val="20"/>
        </w:rPr>
        <w:t>likely to reach upwards of USD1</w:t>
      </w:r>
      <w:r>
        <w:rPr>
          <w:color w:val="57585A"/>
          <w:spacing w:val="-12"/>
          <w:sz w:val="20"/>
          <w:szCs w:val="20"/>
        </w:rPr>
        <w:t>0.0bn investment. This strategy follows on from a USD225mn investment through the Exxon</w:t>
      </w:r>
    </w:p>
    <w:p w14:paraId="21C1CB3D">
      <w:pPr>
        <w:pStyle w:val="4"/>
        <w:spacing w:before="58" w:line="273" w:lineRule="auto"/>
        <w:ind w:left="368" w:right="729" w:hanging="2"/>
        <w:rPr>
          <w:sz w:val="20"/>
          <w:szCs w:val="20"/>
        </w:rPr>
      </w:pPr>
      <w:r>
        <w:rPr>
          <w:color w:val="57585A"/>
          <w:spacing w:val="-11"/>
          <w:sz w:val="20"/>
          <w:szCs w:val="20"/>
        </w:rPr>
        <w:t>subsidiary XTO Energy</w:t>
      </w:r>
      <w:r>
        <w:rPr>
          <w:color w:val="57585A"/>
          <w:spacing w:val="-16"/>
          <w:sz w:val="20"/>
          <w:szCs w:val="20"/>
        </w:rPr>
        <w:t xml:space="preserve"> </w:t>
      </w:r>
      <w:r>
        <w:rPr>
          <w:color w:val="57585A"/>
          <w:spacing w:val="-11"/>
          <w:sz w:val="20"/>
          <w:szCs w:val="20"/>
        </w:rPr>
        <w:t>whi</w:t>
      </w:r>
      <w:r>
        <w:rPr>
          <w:color w:val="57585A"/>
          <w:spacing w:val="-12"/>
          <w:sz w:val="20"/>
          <w:szCs w:val="20"/>
        </w:rPr>
        <w:t>ch explored for unconventional resources in the blocks and has had strong results thus far</w:t>
      </w:r>
      <w:r>
        <w:rPr>
          <w:color w:val="57585A"/>
          <w:spacing w:val="-15"/>
          <w:sz w:val="20"/>
          <w:szCs w:val="20"/>
        </w:rPr>
        <w:t xml:space="preserve"> </w:t>
      </w:r>
      <w:r>
        <w:rPr>
          <w:color w:val="57585A"/>
          <w:spacing w:val="-12"/>
          <w:sz w:val="20"/>
          <w:szCs w:val="20"/>
        </w:rPr>
        <w:t>with more</w:t>
      </w:r>
      <w:r>
        <w:rPr>
          <w:color w:val="57585A"/>
          <w:sz w:val="20"/>
          <w:szCs w:val="20"/>
        </w:rPr>
        <w:t xml:space="preserve"> </w:t>
      </w:r>
      <w:r>
        <w:rPr>
          <w:color w:val="57585A"/>
          <w:spacing w:val="-11"/>
          <w:sz w:val="20"/>
          <w:szCs w:val="20"/>
        </w:rPr>
        <w:t>discoveries likely to follow given the supermajor's more stable financial position. In</w:t>
      </w:r>
      <w:r>
        <w:rPr>
          <w:color w:val="57585A"/>
          <w:spacing w:val="-16"/>
          <w:sz w:val="20"/>
          <w:szCs w:val="20"/>
        </w:rPr>
        <w:t xml:space="preserve"> </w:t>
      </w:r>
      <w:r>
        <w:rPr>
          <w:color w:val="57585A"/>
          <w:spacing w:val="-11"/>
          <w:sz w:val="20"/>
          <w:szCs w:val="20"/>
        </w:rPr>
        <w:t>Apri</w:t>
      </w:r>
      <w:r>
        <w:rPr>
          <w:color w:val="57585A"/>
          <w:spacing w:val="-12"/>
          <w:sz w:val="20"/>
          <w:szCs w:val="20"/>
        </w:rPr>
        <w:t>l 2016, ExxonMobil unveiled its upstream</w:t>
      </w:r>
    </w:p>
    <w:p w14:paraId="0E35369B">
      <w:pPr>
        <w:pStyle w:val="4"/>
        <w:spacing w:before="37" w:line="273" w:lineRule="auto"/>
        <w:ind w:left="363" w:right="967" w:firstLine="8"/>
        <w:rPr>
          <w:sz w:val="20"/>
          <w:szCs w:val="20"/>
        </w:rPr>
      </w:pPr>
      <w:r>
        <w:rPr>
          <w:color w:val="57585A"/>
          <w:spacing w:val="-12"/>
          <w:sz w:val="20"/>
          <w:szCs w:val="20"/>
        </w:rPr>
        <w:t>investment plan for the</w:t>
      </w:r>
      <w:r>
        <w:rPr>
          <w:color w:val="57585A"/>
          <w:spacing w:val="-14"/>
          <w:sz w:val="20"/>
          <w:szCs w:val="20"/>
        </w:rPr>
        <w:t xml:space="preserve"> </w:t>
      </w:r>
      <w:r>
        <w:rPr>
          <w:color w:val="57585A"/>
          <w:spacing w:val="-12"/>
          <w:sz w:val="20"/>
          <w:szCs w:val="20"/>
        </w:rPr>
        <w:t>Vaca Muerta shale play, reveal</w:t>
      </w:r>
      <w:r>
        <w:rPr>
          <w:color w:val="57585A"/>
          <w:spacing w:val="-13"/>
          <w:sz w:val="20"/>
          <w:szCs w:val="20"/>
        </w:rPr>
        <w:t>ing spending could reach USD10bn over the next several decades as it</w:t>
      </w:r>
      <w:r>
        <w:rPr>
          <w:color w:val="57585A"/>
          <w:sz w:val="20"/>
          <w:szCs w:val="20"/>
        </w:rPr>
        <w:t xml:space="preserve"> </w:t>
      </w:r>
      <w:r>
        <w:rPr>
          <w:color w:val="57585A"/>
          <w:spacing w:val="-11"/>
          <w:sz w:val="20"/>
          <w:szCs w:val="20"/>
        </w:rPr>
        <w:t xml:space="preserve">transfers its US unconventional strategy into the market. We note that in 2020, </w:t>
      </w:r>
      <w:r>
        <w:rPr>
          <w:color w:val="57585A"/>
          <w:spacing w:val="-12"/>
          <w:sz w:val="20"/>
          <w:szCs w:val="20"/>
        </w:rPr>
        <w:t>ExxonMobil excluded its</w:t>
      </w:r>
      <w:r>
        <w:rPr>
          <w:color w:val="57585A"/>
          <w:spacing w:val="-16"/>
          <w:sz w:val="20"/>
          <w:szCs w:val="20"/>
        </w:rPr>
        <w:t xml:space="preserve"> </w:t>
      </w:r>
      <w:r>
        <w:rPr>
          <w:color w:val="57585A"/>
          <w:spacing w:val="-12"/>
          <w:sz w:val="20"/>
          <w:szCs w:val="20"/>
        </w:rPr>
        <w:t>Argentine</w:t>
      </w:r>
    </w:p>
    <w:p w14:paraId="4743F016">
      <w:pPr>
        <w:pStyle w:val="4"/>
        <w:spacing w:before="37" w:line="231" w:lineRule="auto"/>
        <w:ind w:left="372"/>
        <w:rPr>
          <w:sz w:val="20"/>
          <w:szCs w:val="20"/>
        </w:rPr>
      </w:pPr>
      <w:r>
        <w:rPr>
          <w:color w:val="57585A"/>
          <w:spacing w:val="-11"/>
          <w:sz w:val="20"/>
          <w:szCs w:val="20"/>
        </w:rPr>
        <w:t>upstream projects from its</w:t>
      </w:r>
      <w:r>
        <w:rPr>
          <w:color w:val="57585A"/>
          <w:spacing w:val="-12"/>
          <w:sz w:val="20"/>
          <w:szCs w:val="20"/>
        </w:rPr>
        <w:t xml:space="preserve"> core assets.</w:t>
      </w:r>
    </w:p>
    <w:p w14:paraId="2080CDF9">
      <w:pPr>
        <w:pStyle w:val="4"/>
        <w:spacing w:line="288" w:lineRule="auto"/>
      </w:pPr>
    </w:p>
    <w:p w14:paraId="2439CB93">
      <w:pPr>
        <w:pStyle w:val="4"/>
        <w:spacing w:before="58" w:line="279" w:lineRule="auto"/>
        <w:ind w:left="369" w:right="436" w:hanging="8"/>
        <w:rPr>
          <w:sz w:val="20"/>
          <w:szCs w:val="20"/>
        </w:rPr>
      </w:pPr>
      <w:r>
        <w:rPr>
          <w:color w:val="57585A"/>
          <w:spacing w:val="-12"/>
          <w:sz w:val="20"/>
          <w:szCs w:val="20"/>
        </w:rPr>
        <w:t>We note that some companies focus predominantly on shale oil rather than natural g</w:t>
      </w:r>
      <w:r>
        <w:rPr>
          <w:color w:val="57585A"/>
          <w:spacing w:val="-13"/>
          <w:sz w:val="20"/>
          <w:szCs w:val="20"/>
        </w:rPr>
        <w:t>as. As an example - Vista Oil &amp; Gas intensifies</w:t>
      </w:r>
      <w:r>
        <w:rPr>
          <w:color w:val="57585A"/>
          <w:sz w:val="20"/>
          <w:szCs w:val="20"/>
        </w:rPr>
        <w:t xml:space="preserve"> </w:t>
      </w:r>
      <w:r>
        <w:rPr>
          <w:color w:val="57585A"/>
          <w:spacing w:val="-11"/>
          <w:sz w:val="20"/>
          <w:szCs w:val="20"/>
        </w:rPr>
        <w:t>exploration and development of</w:t>
      </w:r>
      <w:r>
        <w:rPr>
          <w:color w:val="57585A"/>
          <w:spacing w:val="-18"/>
          <w:sz w:val="20"/>
          <w:szCs w:val="20"/>
        </w:rPr>
        <w:t xml:space="preserve"> </w:t>
      </w:r>
      <w:r>
        <w:rPr>
          <w:color w:val="57585A"/>
          <w:spacing w:val="-11"/>
          <w:sz w:val="20"/>
          <w:szCs w:val="20"/>
        </w:rPr>
        <w:t>shale oil asse</w:t>
      </w:r>
      <w:r>
        <w:rPr>
          <w:color w:val="57585A"/>
          <w:spacing w:val="-12"/>
          <w:sz w:val="20"/>
          <w:szCs w:val="20"/>
        </w:rPr>
        <w:t>ts in Vaca Muerta. By the end of 2021, Vista has become the third-largest oil producer</w:t>
      </w:r>
      <w:r>
        <w:rPr>
          <w:color w:val="57585A"/>
          <w:sz w:val="20"/>
          <w:szCs w:val="20"/>
        </w:rPr>
        <w:t xml:space="preserve"> </w:t>
      </w:r>
      <w:r>
        <w:rPr>
          <w:color w:val="57585A"/>
          <w:spacing w:val="-11"/>
          <w:sz w:val="20"/>
          <w:szCs w:val="20"/>
        </w:rPr>
        <w:t xml:space="preserve">in the market. The company has plans to double its production over the next </w:t>
      </w:r>
      <w:r>
        <w:rPr>
          <w:color w:val="57585A"/>
          <w:spacing w:val="-12"/>
          <w:sz w:val="20"/>
          <w:szCs w:val="20"/>
        </w:rPr>
        <w:t>five</w:t>
      </w:r>
      <w:r>
        <w:rPr>
          <w:color w:val="57585A"/>
          <w:spacing w:val="-16"/>
          <w:sz w:val="20"/>
          <w:szCs w:val="20"/>
        </w:rPr>
        <w:t xml:space="preserve"> </w:t>
      </w:r>
      <w:r>
        <w:rPr>
          <w:color w:val="57585A"/>
          <w:spacing w:val="-12"/>
          <w:sz w:val="20"/>
          <w:szCs w:val="20"/>
        </w:rPr>
        <w:t>years.</w:t>
      </w:r>
    </w:p>
    <w:p w14:paraId="32BD0BDA">
      <w:pPr>
        <w:pStyle w:val="4"/>
        <w:spacing w:line="265" w:lineRule="auto"/>
      </w:pPr>
    </w:p>
    <w:p w14:paraId="5CDD3F2C">
      <w:pPr>
        <w:pStyle w:val="4"/>
        <w:spacing w:before="58" w:line="231" w:lineRule="auto"/>
        <w:ind w:left="376"/>
        <w:rPr>
          <w:sz w:val="20"/>
          <w:szCs w:val="20"/>
        </w:rPr>
      </w:pPr>
      <w:r>
        <w:rPr>
          <w:color w:val="57585A"/>
          <w:spacing w:val="-11"/>
          <w:sz w:val="20"/>
          <w:szCs w:val="20"/>
        </w:rPr>
        <w:t xml:space="preserve">Breakeven costs for smaller and less-evolved pilot </w:t>
      </w:r>
      <w:r>
        <w:rPr>
          <w:color w:val="57585A"/>
          <w:spacing w:val="-12"/>
          <w:sz w:val="20"/>
          <w:szCs w:val="20"/>
        </w:rPr>
        <w:t>projects</w:t>
      </w:r>
      <w:r>
        <w:rPr>
          <w:color w:val="57585A"/>
          <w:spacing w:val="-16"/>
          <w:sz w:val="20"/>
          <w:szCs w:val="20"/>
        </w:rPr>
        <w:t xml:space="preserve"> </w:t>
      </w:r>
      <w:r>
        <w:rPr>
          <w:color w:val="57585A"/>
          <w:spacing w:val="-12"/>
          <w:sz w:val="20"/>
          <w:szCs w:val="20"/>
        </w:rPr>
        <w:t>will likely be higher, and these types of projects may come under</w:t>
      </w:r>
    </w:p>
    <w:p w14:paraId="1911832A">
      <w:pPr>
        <w:pStyle w:val="4"/>
        <w:spacing w:before="60" w:line="293" w:lineRule="auto"/>
        <w:ind w:left="359" w:right="817" w:firstLine="13"/>
        <w:rPr>
          <w:sz w:val="20"/>
          <w:szCs w:val="20"/>
        </w:rPr>
      </w:pPr>
      <w:r>
        <w:rPr>
          <w:color w:val="57585A"/>
          <w:spacing w:val="-11"/>
          <w:sz w:val="20"/>
          <w:szCs w:val="20"/>
        </w:rPr>
        <w:t>pressure in a lower</w:t>
      </w:r>
      <w:r>
        <w:rPr>
          <w:color w:val="57585A"/>
          <w:spacing w:val="-12"/>
          <w:sz w:val="20"/>
          <w:szCs w:val="20"/>
        </w:rPr>
        <w:t xml:space="preserve"> price environment. Exploration in the more frontier Noroeste and Chaco Paranaense</w:t>
      </w:r>
      <w:r>
        <w:rPr>
          <w:color w:val="57585A"/>
          <w:spacing w:val="-2"/>
          <w:sz w:val="20"/>
          <w:szCs w:val="20"/>
        </w:rPr>
        <w:t xml:space="preserve"> </w:t>
      </w:r>
      <w:r>
        <w:rPr>
          <w:color w:val="57585A"/>
          <w:spacing w:val="-12"/>
          <w:sz w:val="20"/>
          <w:szCs w:val="20"/>
        </w:rPr>
        <w:t>regions is</w:t>
      </w:r>
      <w:r>
        <w:rPr>
          <w:color w:val="57585A"/>
          <w:spacing w:val="-1"/>
          <w:sz w:val="20"/>
          <w:szCs w:val="20"/>
        </w:rPr>
        <w:t xml:space="preserve"> </w:t>
      </w:r>
      <w:r>
        <w:rPr>
          <w:color w:val="57585A"/>
          <w:spacing w:val="-12"/>
          <w:sz w:val="20"/>
          <w:szCs w:val="20"/>
        </w:rPr>
        <w:t>particularly</w:t>
      </w:r>
      <w:r>
        <w:rPr>
          <w:color w:val="57585A"/>
          <w:sz w:val="20"/>
          <w:szCs w:val="20"/>
        </w:rPr>
        <w:t xml:space="preserve"> </w:t>
      </w:r>
      <w:r>
        <w:rPr>
          <w:color w:val="57585A"/>
          <w:spacing w:val="-12"/>
          <w:sz w:val="20"/>
          <w:szCs w:val="20"/>
        </w:rPr>
        <w:t>vulnerable; investment inflows to the more commercially developed regions, such as Neuquén and Golfo San</w:t>
      </w:r>
      <w:r>
        <w:rPr>
          <w:color w:val="57585A"/>
          <w:spacing w:val="-5"/>
          <w:sz w:val="20"/>
          <w:szCs w:val="20"/>
        </w:rPr>
        <w:t xml:space="preserve"> </w:t>
      </w:r>
      <w:r>
        <w:rPr>
          <w:color w:val="57585A"/>
          <w:spacing w:val="-12"/>
          <w:sz w:val="20"/>
          <w:szCs w:val="20"/>
        </w:rPr>
        <w:t>Jorge</w:t>
      </w:r>
      <w:r>
        <w:rPr>
          <w:color w:val="57585A"/>
          <w:spacing w:val="-15"/>
          <w:sz w:val="20"/>
          <w:szCs w:val="20"/>
        </w:rPr>
        <w:t xml:space="preserve"> </w:t>
      </w:r>
      <w:r>
        <w:rPr>
          <w:color w:val="57585A"/>
          <w:spacing w:val="-12"/>
          <w:sz w:val="20"/>
          <w:szCs w:val="20"/>
        </w:rPr>
        <w:t>will remain</w:t>
      </w:r>
      <w:r>
        <w:rPr>
          <w:color w:val="57585A"/>
          <w:sz w:val="20"/>
          <w:szCs w:val="20"/>
        </w:rPr>
        <w:t xml:space="preserve"> </w:t>
      </w:r>
      <w:r>
        <w:rPr>
          <w:color w:val="57585A"/>
          <w:spacing w:val="-9"/>
          <w:sz w:val="20"/>
          <w:szCs w:val="20"/>
        </w:rPr>
        <w:t>more robust.</w:t>
      </w:r>
    </w:p>
    <w:p w14:paraId="7287E822">
      <w:pPr>
        <w:pStyle w:val="4"/>
        <w:spacing w:before="281" w:line="241" w:lineRule="auto"/>
        <w:ind w:left="375"/>
        <w:rPr>
          <w:sz w:val="20"/>
          <w:szCs w:val="20"/>
        </w:rPr>
      </w:pPr>
      <w:r>
        <w:rPr>
          <w:b/>
          <w:bCs/>
          <w:color w:val="57585A"/>
          <w:spacing w:val="-8"/>
          <w:sz w:val="20"/>
          <w:szCs w:val="20"/>
        </w:rPr>
        <w:t>Brighter Outlook For Offshore D</w:t>
      </w:r>
      <w:r>
        <w:rPr>
          <w:b/>
          <w:bCs/>
          <w:color w:val="57585A"/>
          <w:spacing w:val="-9"/>
          <w:sz w:val="20"/>
          <w:szCs w:val="20"/>
        </w:rPr>
        <w:t>evelopment</w:t>
      </w:r>
    </w:p>
    <w:p w14:paraId="66C2D4A5">
      <w:pPr>
        <w:pStyle w:val="4"/>
        <w:spacing w:line="279" w:lineRule="auto"/>
      </w:pPr>
    </w:p>
    <w:p w14:paraId="6810B9FC">
      <w:pPr>
        <w:pStyle w:val="4"/>
        <w:spacing w:before="58" w:line="283" w:lineRule="auto"/>
        <w:ind w:left="359" w:right="501"/>
        <w:rPr>
          <w:sz w:val="20"/>
          <w:szCs w:val="20"/>
        </w:rPr>
      </w:pPr>
      <w:r>
        <w:rPr>
          <w:color w:val="57585A"/>
          <w:spacing w:val="-11"/>
          <w:sz w:val="20"/>
          <w:szCs w:val="20"/>
        </w:rPr>
        <w:t>As of now, most offshore development is located offshore the southern-most province of</w:t>
      </w:r>
      <w:r>
        <w:rPr>
          <w:color w:val="57585A"/>
          <w:spacing w:val="-24"/>
          <w:sz w:val="20"/>
          <w:szCs w:val="20"/>
        </w:rPr>
        <w:t xml:space="preserve"> </w:t>
      </w:r>
      <w:r>
        <w:rPr>
          <w:color w:val="57585A"/>
          <w:spacing w:val="-12"/>
          <w:sz w:val="20"/>
          <w:szCs w:val="20"/>
        </w:rPr>
        <w:t>Tierra del Fuego. Offshore prospects are</w:t>
      </w:r>
      <w:r>
        <w:rPr>
          <w:color w:val="57585A"/>
          <w:sz w:val="20"/>
          <w:szCs w:val="20"/>
        </w:rPr>
        <w:t xml:space="preserve"> </w:t>
      </w:r>
      <w:r>
        <w:rPr>
          <w:color w:val="57585A"/>
          <w:spacing w:val="-10"/>
          <w:sz w:val="20"/>
          <w:szCs w:val="20"/>
        </w:rPr>
        <w:t>improving in the</w:t>
      </w:r>
      <w:r>
        <w:rPr>
          <w:color w:val="57585A"/>
          <w:spacing w:val="-16"/>
          <w:sz w:val="20"/>
          <w:szCs w:val="20"/>
        </w:rPr>
        <w:t xml:space="preserve"> </w:t>
      </w:r>
      <w:r>
        <w:rPr>
          <w:color w:val="57585A"/>
          <w:spacing w:val="-10"/>
          <w:sz w:val="20"/>
          <w:szCs w:val="20"/>
        </w:rPr>
        <w:t>wake of</w:t>
      </w:r>
      <w:r>
        <w:rPr>
          <w:color w:val="57585A"/>
          <w:spacing w:val="-21"/>
          <w:sz w:val="20"/>
          <w:szCs w:val="20"/>
        </w:rPr>
        <w:t xml:space="preserve"> </w:t>
      </w:r>
      <w:r>
        <w:rPr>
          <w:color w:val="57585A"/>
          <w:spacing w:val="-10"/>
          <w:sz w:val="20"/>
          <w:szCs w:val="20"/>
        </w:rPr>
        <w:t>the market's first offshore licensing round</w:t>
      </w:r>
      <w:r>
        <w:rPr>
          <w:color w:val="57585A"/>
          <w:spacing w:val="-15"/>
          <w:sz w:val="20"/>
          <w:szCs w:val="20"/>
        </w:rPr>
        <w:t xml:space="preserve"> </w:t>
      </w:r>
      <w:r>
        <w:rPr>
          <w:color w:val="57585A"/>
          <w:spacing w:val="-10"/>
          <w:sz w:val="20"/>
          <w:szCs w:val="20"/>
        </w:rPr>
        <w:t>which closed in</w:t>
      </w:r>
      <w:r>
        <w:rPr>
          <w:color w:val="57585A"/>
          <w:spacing w:val="-16"/>
          <w:sz w:val="20"/>
          <w:szCs w:val="20"/>
        </w:rPr>
        <w:t xml:space="preserve"> </w:t>
      </w:r>
      <w:r>
        <w:rPr>
          <w:color w:val="57585A"/>
          <w:spacing w:val="-10"/>
          <w:sz w:val="20"/>
          <w:szCs w:val="20"/>
        </w:rPr>
        <w:t>April 2019.</w:t>
      </w:r>
      <w:r>
        <w:rPr>
          <w:color w:val="57585A"/>
          <w:spacing w:val="-15"/>
          <w:sz w:val="20"/>
          <w:szCs w:val="20"/>
        </w:rPr>
        <w:t xml:space="preserve"> </w:t>
      </w:r>
      <w:r>
        <w:rPr>
          <w:color w:val="57585A"/>
          <w:spacing w:val="-10"/>
          <w:sz w:val="20"/>
          <w:szCs w:val="20"/>
        </w:rPr>
        <w:t>A total of</w:t>
      </w:r>
      <w:r>
        <w:rPr>
          <w:color w:val="57585A"/>
          <w:spacing w:val="-16"/>
          <w:sz w:val="20"/>
          <w:szCs w:val="20"/>
        </w:rPr>
        <w:t xml:space="preserve"> </w:t>
      </w:r>
      <w:r>
        <w:rPr>
          <w:color w:val="57585A"/>
          <w:spacing w:val="-10"/>
          <w:sz w:val="20"/>
          <w:szCs w:val="20"/>
        </w:rPr>
        <w:t>38 blocks</w:t>
      </w:r>
      <w:r>
        <w:rPr>
          <w:color w:val="57585A"/>
          <w:spacing w:val="-16"/>
          <w:sz w:val="20"/>
          <w:szCs w:val="20"/>
        </w:rPr>
        <w:t xml:space="preserve"> </w:t>
      </w:r>
      <w:r>
        <w:rPr>
          <w:color w:val="57585A"/>
          <w:spacing w:val="-10"/>
          <w:sz w:val="20"/>
          <w:szCs w:val="20"/>
        </w:rPr>
        <w:t xml:space="preserve">were on </w:t>
      </w:r>
      <w:r>
        <w:rPr>
          <w:color w:val="57585A"/>
          <w:spacing w:val="-11"/>
          <w:sz w:val="20"/>
          <w:szCs w:val="20"/>
        </w:rPr>
        <w:t>offer in</w:t>
      </w:r>
      <w:r>
        <w:rPr>
          <w:color w:val="57585A"/>
          <w:sz w:val="20"/>
          <w:szCs w:val="20"/>
        </w:rPr>
        <w:t xml:space="preserve"> </w:t>
      </w:r>
      <w:r>
        <w:rPr>
          <w:color w:val="57585A"/>
          <w:spacing w:val="-11"/>
          <w:sz w:val="20"/>
          <w:szCs w:val="20"/>
        </w:rPr>
        <w:t>the licensing round, the first open bid round for</w:t>
      </w:r>
      <w:r>
        <w:rPr>
          <w:color w:val="57585A"/>
          <w:spacing w:val="-15"/>
          <w:sz w:val="20"/>
          <w:szCs w:val="20"/>
        </w:rPr>
        <w:t xml:space="preserve"> </w:t>
      </w:r>
      <w:r>
        <w:rPr>
          <w:color w:val="57585A"/>
          <w:spacing w:val="-11"/>
          <w:sz w:val="20"/>
          <w:szCs w:val="20"/>
        </w:rPr>
        <w:t>Argentinean offshore acreage in more than 20</w:t>
      </w:r>
      <w:r>
        <w:rPr>
          <w:color w:val="57585A"/>
          <w:spacing w:val="-16"/>
          <w:sz w:val="20"/>
          <w:szCs w:val="20"/>
        </w:rPr>
        <w:t xml:space="preserve"> </w:t>
      </w:r>
      <w:r>
        <w:rPr>
          <w:color w:val="57585A"/>
          <w:spacing w:val="-11"/>
          <w:sz w:val="20"/>
          <w:szCs w:val="20"/>
        </w:rPr>
        <w:t>year</w:t>
      </w:r>
      <w:r>
        <w:rPr>
          <w:color w:val="57585A"/>
          <w:spacing w:val="-12"/>
          <w:sz w:val="20"/>
          <w:szCs w:val="20"/>
        </w:rPr>
        <w:t>s. The blocks are spread along</w:t>
      </w:r>
      <w:r>
        <w:rPr>
          <w:color w:val="57585A"/>
          <w:sz w:val="20"/>
          <w:szCs w:val="20"/>
        </w:rPr>
        <w:t xml:space="preserve"> </w:t>
      </w:r>
      <w:r>
        <w:rPr>
          <w:color w:val="57585A"/>
          <w:spacing w:val="-12"/>
          <w:sz w:val="20"/>
          <w:szCs w:val="20"/>
        </w:rPr>
        <w:t xml:space="preserve">Argentina's coast; in the Malvinas basin, approximately 320km </w:t>
      </w:r>
      <w:r>
        <w:rPr>
          <w:color w:val="57585A"/>
          <w:spacing w:val="-13"/>
          <w:sz w:val="20"/>
          <w:szCs w:val="20"/>
        </w:rPr>
        <w:t>offshore Tierra del Fuego and include MLO-113,</w:t>
      </w:r>
    </w:p>
    <w:p w14:paraId="2C6C9D01">
      <w:pPr>
        <w:pStyle w:val="4"/>
        <w:spacing w:before="37" w:line="234" w:lineRule="auto"/>
        <w:ind w:left="376"/>
        <w:rPr>
          <w:sz w:val="20"/>
          <w:szCs w:val="20"/>
        </w:rPr>
      </w:pPr>
      <w:r>
        <w:rPr>
          <w:color w:val="57585A"/>
          <w:spacing w:val="-12"/>
          <w:sz w:val="20"/>
          <w:szCs w:val="20"/>
        </w:rPr>
        <w:t>MLO-117 and MLO-118 and further north</w:t>
      </w:r>
      <w:r>
        <w:rPr>
          <w:color w:val="57585A"/>
          <w:spacing w:val="-15"/>
          <w:sz w:val="20"/>
          <w:szCs w:val="20"/>
        </w:rPr>
        <w:t xml:space="preserve"> </w:t>
      </w:r>
      <w:r>
        <w:rPr>
          <w:color w:val="57585A"/>
          <w:spacing w:val="-12"/>
          <w:sz w:val="20"/>
          <w:szCs w:val="20"/>
        </w:rPr>
        <w:t>with CAN100,102,108 and 114 off Mar al Plata i</w:t>
      </w:r>
      <w:r>
        <w:rPr>
          <w:color w:val="57585A"/>
          <w:spacing w:val="-13"/>
          <w:sz w:val="20"/>
          <w:szCs w:val="20"/>
        </w:rPr>
        <w:t>n Buenos</w:t>
      </w:r>
      <w:r>
        <w:rPr>
          <w:color w:val="57585A"/>
          <w:spacing w:val="-16"/>
          <w:sz w:val="20"/>
          <w:szCs w:val="20"/>
        </w:rPr>
        <w:t xml:space="preserve"> </w:t>
      </w:r>
      <w:r>
        <w:rPr>
          <w:color w:val="57585A"/>
          <w:spacing w:val="-13"/>
          <w:sz w:val="20"/>
          <w:szCs w:val="20"/>
        </w:rPr>
        <w:t>Aires. Equinor,</w:t>
      </w:r>
      <w:r>
        <w:rPr>
          <w:color w:val="57585A"/>
          <w:spacing w:val="-15"/>
          <w:sz w:val="20"/>
          <w:szCs w:val="20"/>
        </w:rPr>
        <w:t xml:space="preserve"> </w:t>
      </w:r>
      <w:r>
        <w:rPr>
          <w:color w:val="57585A"/>
          <w:spacing w:val="-13"/>
          <w:sz w:val="20"/>
          <w:szCs w:val="20"/>
        </w:rPr>
        <w:t>with</w:t>
      </w:r>
      <w:r>
        <w:rPr>
          <w:color w:val="57585A"/>
          <w:spacing w:val="-2"/>
          <w:sz w:val="20"/>
          <w:szCs w:val="20"/>
        </w:rPr>
        <w:t xml:space="preserve"> </w:t>
      </w:r>
      <w:r>
        <w:rPr>
          <w:color w:val="57585A"/>
          <w:spacing w:val="-13"/>
          <w:sz w:val="20"/>
          <w:szCs w:val="20"/>
        </w:rPr>
        <w:t>partners</w:t>
      </w:r>
    </w:p>
    <w:p w14:paraId="6B832887">
      <w:pPr>
        <w:pStyle w:val="4"/>
        <w:spacing w:before="57" w:line="279" w:lineRule="auto"/>
        <w:ind w:left="359" w:right="410" w:firstLine="9"/>
        <w:rPr>
          <w:sz w:val="20"/>
          <w:szCs w:val="20"/>
        </w:rPr>
      </w:pPr>
      <w:r>
        <w:rPr>
          <w:color w:val="57585A"/>
          <w:spacing w:val="-12"/>
          <w:sz w:val="20"/>
          <w:szCs w:val="20"/>
        </w:rPr>
        <w:t>(YPF and Shell), conducts seismic studies in CAN100 a</w:t>
      </w:r>
      <w:r>
        <w:rPr>
          <w:color w:val="57585A"/>
          <w:spacing w:val="-13"/>
          <w:sz w:val="20"/>
          <w:szCs w:val="20"/>
        </w:rPr>
        <w:t>fter receiving approval for an exploration campaign in December 2021. Total</w:t>
      </w:r>
      <w:r>
        <w:rPr>
          <w:color w:val="57585A"/>
          <w:sz w:val="20"/>
          <w:szCs w:val="20"/>
        </w:rPr>
        <w:t xml:space="preserve"> </w:t>
      </w:r>
      <w:r>
        <w:rPr>
          <w:color w:val="57585A"/>
          <w:spacing w:val="-12"/>
          <w:sz w:val="20"/>
          <w:szCs w:val="20"/>
        </w:rPr>
        <w:t>Austral pursues its Fenix offshore gas project off Tierra del Fuego. We note that we see some regulatory hurdles for offshore projects</w:t>
      </w:r>
      <w:r>
        <w:rPr>
          <w:color w:val="57585A"/>
          <w:sz w:val="20"/>
          <w:szCs w:val="20"/>
        </w:rPr>
        <w:t xml:space="preserve"> </w:t>
      </w:r>
      <w:r>
        <w:rPr>
          <w:color w:val="57585A"/>
          <w:spacing w:val="-11"/>
          <w:sz w:val="20"/>
          <w:szCs w:val="20"/>
        </w:rPr>
        <w:t>in</w:t>
      </w:r>
      <w:r>
        <w:rPr>
          <w:color w:val="57585A"/>
          <w:spacing w:val="-16"/>
          <w:sz w:val="20"/>
          <w:szCs w:val="20"/>
        </w:rPr>
        <w:t xml:space="preserve"> </w:t>
      </w:r>
      <w:r>
        <w:rPr>
          <w:color w:val="57585A"/>
          <w:spacing w:val="-11"/>
          <w:sz w:val="20"/>
          <w:szCs w:val="20"/>
        </w:rPr>
        <w:t>Argentina as federal</w:t>
      </w:r>
      <w:r>
        <w:rPr>
          <w:color w:val="57585A"/>
          <w:spacing w:val="-17"/>
          <w:sz w:val="20"/>
          <w:szCs w:val="20"/>
        </w:rPr>
        <w:t xml:space="preserve"> </w:t>
      </w:r>
      <w:r>
        <w:rPr>
          <w:color w:val="57585A"/>
          <w:spacing w:val="-11"/>
          <w:sz w:val="20"/>
          <w:szCs w:val="20"/>
        </w:rPr>
        <w:t>judge has suspended</w:t>
      </w:r>
      <w:r>
        <w:rPr>
          <w:color w:val="57585A"/>
          <w:spacing w:val="-12"/>
          <w:sz w:val="20"/>
          <w:szCs w:val="20"/>
        </w:rPr>
        <w:t xml:space="preserve"> the exploration campaign in CAN100 in February 200 on the basis of</w:t>
      </w:r>
      <w:r>
        <w:rPr>
          <w:color w:val="57585A"/>
          <w:spacing w:val="-16"/>
          <w:sz w:val="20"/>
          <w:szCs w:val="20"/>
        </w:rPr>
        <w:t xml:space="preserve"> </w:t>
      </w:r>
      <w:r>
        <w:rPr>
          <w:color w:val="57585A"/>
          <w:spacing w:val="-12"/>
          <w:sz w:val="20"/>
          <w:szCs w:val="20"/>
        </w:rPr>
        <w:t>environmental</w:t>
      </w:r>
    </w:p>
    <w:p w14:paraId="2D00216A">
      <w:pPr>
        <w:pStyle w:val="4"/>
        <w:spacing w:before="37" w:line="231" w:lineRule="auto"/>
        <w:ind w:left="373"/>
        <w:rPr>
          <w:sz w:val="20"/>
          <w:szCs w:val="20"/>
        </w:rPr>
      </w:pPr>
      <w:r>
        <w:rPr>
          <w:color w:val="57585A"/>
          <w:spacing w:val="-10"/>
          <w:sz w:val="20"/>
          <w:szCs w:val="20"/>
        </w:rPr>
        <w:t>risks.</w:t>
      </w:r>
      <w:r>
        <w:rPr>
          <w:color w:val="57585A"/>
          <w:spacing w:val="-16"/>
          <w:sz w:val="20"/>
          <w:szCs w:val="20"/>
        </w:rPr>
        <w:t xml:space="preserve"> </w:t>
      </w:r>
      <w:r>
        <w:rPr>
          <w:color w:val="57585A"/>
          <w:spacing w:val="-10"/>
          <w:sz w:val="20"/>
          <w:szCs w:val="20"/>
        </w:rPr>
        <w:t>Although the government plans to appeal the</w:t>
      </w:r>
      <w:r>
        <w:rPr>
          <w:color w:val="57585A"/>
          <w:spacing w:val="-15"/>
          <w:sz w:val="20"/>
          <w:szCs w:val="20"/>
        </w:rPr>
        <w:t xml:space="preserve"> </w:t>
      </w:r>
      <w:r>
        <w:rPr>
          <w:color w:val="57585A"/>
          <w:spacing w:val="-10"/>
          <w:sz w:val="20"/>
          <w:szCs w:val="20"/>
        </w:rPr>
        <w:t>verdict,</w:t>
      </w:r>
      <w:r>
        <w:rPr>
          <w:color w:val="57585A"/>
          <w:spacing w:val="-16"/>
          <w:sz w:val="20"/>
          <w:szCs w:val="20"/>
        </w:rPr>
        <w:t xml:space="preserve"> </w:t>
      </w:r>
      <w:r>
        <w:rPr>
          <w:color w:val="57585A"/>
          <w:spacing w:val="-10"/>
          <w:sz w:val="20"/>
          <w:szCs w:val="20"/>
        </w:rPr>
        <w:t>we ind</w:t>
      </w:r>
      <w:r>
        <w:rPr>
          <w:color w:val="57585A"/>
          <w:spacing w:val="-11"/>
          <w:sz w:val="20"/>
          <w:szCs w:val="20"/>
        </w:rPr>
        <w:t>icate on regulatory risks related to offshore projects in</w:t>
      </w:r>
      <w:r>
        <w:rPr>
          <w:color w:val="57585A"/>
          <w:spacing w:val="-15"/>
          <w:sz w:val="20"/>
          <w:szCs w:val="20"/>
        </w:rPr>
        <w:t xml:space="preserve"> </w:t>
      </w:r>
      <w:r>
        <w:rPr>
          <w:color w:val="57585A"/>
          <w:spacing w:val="-11"/>
          <w:sz w:val="20"/>
          <w:szCs w:val="20"/>
        </w:rPr>
        <w:t>Argentina.</w:t>
      </w:r>
    </w:p>
    <w:p w14:paraId="7D7471C4">
      <w:pPr>
        <w:spacing w:line="231" w:lineRule="auto"/>
        <w:rPr>
          <w:sz w:val="20"/>
          <w:szCs w:val="20"/>
        </w:rPr>
        <w:sectPr>
          <w:footerReference r:id="rId13" w:type="default"/>
          <w:pgSz w:w="11906" w:h="16838"/>
          <w:pgMar w:top="400" w:right="490" w:bottom="883" w:left="490" w:header="0" w:footer="0" w:gutter="0"/>
          <w:cols w:space="720" w:num="1"/>
        </w:sectPr>
      </w:pPr>
    </w:p>
    <w:p w14:paraId="797CDCEC">
      <w:pPr>
        <w:pStyle w:val="4"/>
        <w:spacing w:before="73" w:line="241" w:lineRule="auto"/>
        <w:ind w:left="7372"/>
        <w:rPr>
          <w:sz w:val="20"/>
          <w:szCs w:val="20"/>
        </w:rPr>
      </w:pPr>
      <w:r>
        <w:drawing>
          <wp:anchor distT="0" distB="0" distL="0" distR="0" simplePos="0" relativeHeight="25169203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93056" behindDoc="0" locked="0" layoutInCell="0" allowOverlap="1">
            <wp:simplePos x="0" y="0"/>
            <wp:positionH relativeFrom="page">
              <wp:posOffset>311150</wp:posOffset>
            </wp:positionH>
            <wp:positionV relativeFrom="page">
              <wp:posOffset>0</wp:posOffset>
            </wp:positionV>
            <wp:extent cx="19050" cy="814070"/>
            <wp:effectExtent l="0" t="0" r="0" b="0"/>
            <wp:wrapNone/>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1A18D0A">
      <w:pPr>
        <w:pStyle w:val="4"/>
        <w:spacing w:line="278" w:lineRule="auto"/>
      </w:pPr>
    </w:p>
    <w:p w14:paraId="4757A932">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5CD6144">
      <w:pPr>
        <w:pStyle w:val="4"/>
        <w:spacing w:line="266" w:lineRule="auto"/>
      </w:pPr>
    </w:p>
    <w:p w14:paraId="0736BD14">
      <w:pPr>
        <w:pStyle w:val="4"/>
        <w:spacing w:line="266" w:lineRule="auto"/>
      </w:pPr>
    </w:p>
    <w:p w14:paraId="5BACF68A">
      <w:pPr>
        <w:pStyle w:val="4"/>
        <w:spacing w:line="267" w:lineRule="auto"/>
      </w:pPr>
    </w:p>
    <w:p w14:paraId="12FFBD26">
      <w:pPr>
        <w:pStyle w:val="4"/>
        <w:spacing w:before="57" w:line="187" w:lineRule="auto"/>
        <w:ind w:left="375"/>
        <w:rPr>
          <w:sz w:val="20"/>
          <w:szCs w:val="20"/>
        </w:rPr>
      </w:pPr>
      <w:r>
        <w:rPr>
          <w:b/>
          <w:bCs/>
          <w:color w:val="57585A"/>
          <w:spacing w:val="-12"/>
          <w:sz w:val="20"/>
          <w:szCs w:val="20"/>
        </w:rPr>
        <w:t>Risks</w:t>
      </w:r>
      <w:r>
        <w:rPr>
          <w:b/>
          <w:bCs/>
          <w:color w:val="57585A"/>
          <w:spacing w:val="-3"/>
          <w:sz w:val="20"/>
          <w:szCs w:val="20"/>
        </w:rPr>
        <w:t xml:space="preserve"> </w:t>
      </w:r>
      <w:r>
        <w:rPr>
          <w:b/>
          <w:bCs/>
          <w:color w:val="57585A"/>
          <w:spacing w:val="-12"/>
          <w:sz w:val="20"/>
          <w:szCs w:val="20"/>
        </w:rPr>
        <w:t>To Outlook</w:t>
      </w:r>
    </w:p>
    <w:p w14:paraId="64F26FEF">
      <w:pPr>
        <w:pStyle w:val="4"/>
        <w:spacing w:line="286" w:lineRule="auto"/>
      </w:pPr>
    </w:p>
    <w:p w14:paraId="7DEC83A7">
      <w:pPr>
        <w:pStyle w:val="4"/>
        <w:spacing w:before="58" w:line="273" w:lineRule="auto"/>
        <w:ind w:left="372" w:right="366" w:hanging="12"/>
        <w:rPr>
          <w:sz w:val="20"/>
          <w:szCs w:val="20"/>
        </w:rPr>
      </w:pPr>
      <w:r>
        <w:rPr>
          <w:color w:val="57585A"/>
          <w:spacing w:val="-10"/>
          <w:sz w:val="20"/>
          <w:szCs w:val="20"/>
        </w:rPr>
        <w:t>The key risks to the</w:t>
      </w:r>
      <w:r>
        <w:rPr>
          <w:color w:val="57585A"/>
          <w:spacing w:val="-16"/>
          <w:sz w:val="20"/>
          <w:szCs w:val="20"/>
        </w:rPr>
        <w:t xml:space="preserve"> </w:t>
      </w:r>
      <w:r>
        <w:rPr>
          <w:color w:val="57585A"/>
          <w:spacing w:val="-10"/>
          <w:sz w:val="20"/>
          <w:szCs w:val="20"/>
        </w:rPr>
        <w:t>Argentine shale sector are political uncertainty, macr</w:t>
      </w:r>
      <w:r>
        <w:rPr>
          <w:color w:val="57585A"/>
          <w:spacing w:val="-11"/>
          <w:sz w:val="20"/>
          <w:szCs w:val="20"/>
        </w:rPr>
        <w:t>oeconomic instability and commodity price</w:t>
      </w:r>
      <w:r>
        <w:rPr>
          <w:color w:val="57585A"/>
          <w:spacing w:val="-15"/>
          <w:sz w:val="20"/>
          <w:szCs w:val="20"/>
        </w:rPr>
        <w:t xml:space="preserve"> </w:t>
      </w:r>
      <w:r>
        <w:rPr>
          <w:color w:val="57585A"/>
          <w:spacing w:val="-11"/>
          <w:sz w:val="20"/>
          <w:szCs w:val="20"/>
        </w:rPr>
        <w:t>volatility. Under</w:t>
      </w:r>
      <w:r>
        <w:rPr>
          <w:color w:val="57585A"/>
          <w:sz w:val="20"/>
          <w:szCs w:val="20"/>
        </w:rPr>
        <w:t xml:space="preserve"> </w:t>
      </w:r>
      <w:r>
        <w:rPr>
          <w:color w:val="57585A"/>
          <w:spacing w:val="-11"/>
          <w:sz w:val="20"/>
          <w:szCs w:val="20"/>
        </w:rPr>
        <w:t>new president</w:t>
      </w:r>
      <w:r>
        <w:rPr>
          <w:color w:val="57585A"/>
          <w:spacing w:val="-23"/>
          <w:sz w:val="20"/>
          <w:szCs w:val="20"/>
        </w:rPr>
        <w:t xml:space="preserve"> </w:t>
      </w:r>
      <w:r>
        <w:rPr>
          <w:color w:val="57585A"/>
          <w:spacing w:val="-11"/>
          <w:sz w:val="20"/>
          <w:szCs w:val="20"/>
        </w:rPr>
        <w:t>Javier Milei,</w:t>
      </w:r>
      <w:r>
        <w:rPr>
          <w:color w:val="57585A"/>
          <w:spacing w:val="-16"/>
          <w:sz w:val="20"/>
          <w:szCs w:val="20"/>
        </w:rPr>
        <w:t xml:space="preserve"> </w:t>
      </w:r>
      <w:r>
        <w:rPr>
          <w:color w:val="57585A"/>
          <w:spacing w:val="-11"/>
          <w:sz w:val="20"/>
          <w:szCs w:val="20"/>
        </w:rPr>
        <w:t>we estimate the economy contracted by 1.7% in 202</w:t>
      </w:r>
      <w:r>
        <w:rPr>
          <w:color w:val="57585A"/>
          <w:spacing w:val="-12"/>
          <w:sz w:val="20"/>
          <w:szCs w:val="20"/>
        </w:rPr>
        <w:t>4. However,</w:t>
      </w:r>
      <w:r>
        <w:rPr>
          <w:color w:val="57585A"/>
          <w:spacing w:val="-15"/>
          <w:sz w:val="20"/>
          <w:szCs w:val="20"/>
        </w:rPr>
        <w:t xml:space="preserve"> </w:t>
      </w:r>
      <w:r>
        <w:rPr>
          <w:color w:val="57585A"/>
          <w:spacing w:val="-12"/>
          <w:sz w:val="20"/>
          <w:szCs w:val="20"/>
        </w:rPr>
        <w:t>we forecast the market to return to</w:t>
      </w:r>
    </w:p>
    <w:p w14:paraId="49378D2D">
      <w:pPr>
        <w:pStyle w:val="4"/>
        <w:spacing w:before="37" w:line="231" w:lineRule="auto"/>
        <w:ind w:left="367"/>
        <w:rPr>
          <w:sz w:val="20"/>
          <w:szCs w:val="20"/>
        </w:rPr>
      </w:pPr>
      <w:r>
        <w:rPr>
          <w:color w:val="57585A"/>
          <w:spacing w:val="-11"/>
          <w:sz w:val="20"/>
          <w:szCs w:val="20"/>
        </w:rPr>
        <w:t>growth in 2025,</w:t>
      </w:r>
      <w:r>
        <w:rPr>
          <w:color w:val="57585A"/>
          <w:spacing w:val="-16"/>
          <w:sz w:val="20"/>
          <w:szCs w:val="20"/>
        </w:rPr>
        <w:t xml:space="preserve"> </w:t>
      </w:r>
      <w:r>
        <w:rPr>
          <w:color w:val="57585A"/>
          <w:spacing w:val="-11"/>
          <w:sz w:val="20"/>
          <w:szCs w:val="20"/>
        </w:rPr>
        <w:t xml:space="preserve">with </w:t>
      </w:r>
      <w:r>
        <w:rPr>
          <w:color w:val="57585A"/>
          <w:spacing w:val="-12"/>
          <w:sz w:val="20"/>
          <w:szCs w:val="20"/>
        </w:rPr>
        <w:t>our Country Risk team forecasting real GDP growth of</w:t>
      </w:r>
      <w:r>
        <w:rPr>
          <w:color w:val="57585A"/>
          <w:spacing w:val="-16"/>
          <w:sz w:val="20"/>
          <w:szCs w:val="20"/>
        </w:rPr>
        <w:t xml:space="preserve"> </w:t>
      </w:r>
      <w:r>
        <w:rPr>
          <w:color w:val="57585A"/>
          <w:spacing w:val="-12"/>
          <w:sz w:val="20"/>
          <w:szCs w:val="20"/>
        </w:rPr>
        <w:t>4.8% in 2025 and 4.4% in 2026.</w:t>
      </w:r>
    </w:p>
    <w:p w14:paraId="17B7FA59">
      <w:pPr>
        <w:pStyle w:val="4"/>
        <w:spacing w:line="287" w:lineRule="auto"/>
      </w:pPr>
    </w:p>
    <w:p w14:paraId="05298107">
      <w:pPr>
        <w:pStyle w:val="4"/>
        <w:spacing w:before="57" w:line="273" w:lineRule="auto"/>
        <w:ind w:left="359" w:right="561"/>
        <w:rPr>
          <w:sz w:val="20"/>
          <w:szCs w:val="20"/>
        </w:rPr>
      </w:pPr>
      <w:r>
        <w:rPr>
          <w:color w:val="57585A"/>
          <w:spacing w:val="-11"/>
          <w:sz w:val="20"/>
          <w:szCs w:val="20"/>
        </w:rPr>
        <w:t>At the same time, Milei's free-market agenda</w:t>
      </w:r>
      <w:r>
        <w:rPr>
          <w:color w:val="57585A"/>
          <w:spacing w:val="-16"/>
          <w:sz w:val="20"/>
          <w:szCs w:val="20"/>
        </w:rPr>
        <w:t xml:space="preserve"> </w:t>
      </w:r>
      <w:r>
        <w:rPr>
          <w:color w:val="57585A"/>
          <w:spacing w:val="-11"/>
          <w:sz w:val="20"/>
          <w:szCs w:val="20"/>
        </w:rPr>
        <w:t xml:space="preserve">would likely result in an improved regulatory environment for oil </w:t>
      </w:r>
      <w:r>
        <w:rPr>
          <w:color w:val="57585A"/>
          <w:spacing w:val="-12"/>
          <w:sz w:val="20"/>
          <w:szCs w:val="20"/>
        </w:rPr>
        <w:t>and gas companies.</w:t>
      </w:r>
      <w:r>
        <w:rPr>
          <w:color w:val="57585A"/>
          <w:sz w:val="20"/>
          <w:szCs w:val="20"/>
        </w:rPr>
        <w:t xml:space="preserve"> </w:t>
      </w:r>
      <w:r>
        <w:rPr>
          <w:color w:val="57585A"/>
          <w:spacing w:val="-10"/>
          <w:sz w:val="20"/>
          <w:szCs w:val="20"/>
        </w:rPr>
        <w:t>The president has been promoting limited government interference in the market</w:t>
      </w:r>
      <w:r>
        <w:rPr>
          <w:color w:val="57585A"/>
          <w:spacing w:val="-4"/>
          <w:sz w:val="20"/>
          <w:szCs w:val="20"/>
        </w:rPr>
        <w:t xml:space="preserve"> </w:t>
      </w:r>
      <w:r>
        <w:rPr>
          <w:color w:val="57585A"/>
          <w:spacing w:val="-10"/>
          <w:sz w:val="20"/>
          <w:szCs w:val="20"/>
        </w:rPr>
        <w:t>with his free-market agenda that</w:t>
      </w:r>
      <w:r>
        <w:rPr>
          <w:color w:val="57585A"/>
          <w:spacing w:val="-15"/>
          <w:sz w:val="20"/>
          <w:szCs w:val="20"/>
        </w:rPr>
        <w:t xml:space="preserve"> </w:t>
      </w:r>
      <w:r>
        <w:rPr>
          <w:color w:val="57585A"/>
          <w:spacing w:val="-10"/>
          <w:sz w:val="20"/>
          <w:szCs w:val="20"/>
        </w:rPr>
        <w:t>will likely</w:t>
      </w:r>
    </w:p>
    <w:p w14:paraId="58C9ED46">
      <w:pPr>
        <w:pStyle w:val="4"/>
        <w:spacing w:before="37" w:line="231" w:lineRule="auto"/>
        <w:ind w:left="371"/>
        <w:rPr>
          <w:sz w:val="20"/>
          <w:szCs w:val="20"/>
        </w:rPr>
      </w:pPr>
      <w:r>
        <w:rPr>
          <w:color w:val="57585A"/>
          <w:spacing w:val="-10"/>
          <w:sz w:val="20"/>
          <w:szCs w:val="20"/>
        </w:rPr>
        <w:t>include efforts to lift capital controls, limit price setting, and remov</w:t>
      </w:r>
      <w:r>
        <w:rPr>
          <w:color w:val="57585A"/>
          <w:spacing w:val="-11"/>
          <w:sz w:val="20"/>
          <w:szCs w:val="20"/>
        </w:rPr>
        <w:t>e hydrocarbons export taxes. However,</w:t>
      </w:r>
      <w:r>
        <w:rPr>
          <w:color w:val="57585A"/>
          <w:spacing w:val="-15"/>
          <w:sz w:val="20"/>
          <w:szCs w:val="20"/>
        </w:rPr>
        <w:t xml:space="preserve"> </w:t>
      </w:r>
      <w:r>
        <w:rPr>
          <w:color w:val="57585A"/>
          <w:spacing w:val="-11"/>
          <w:sz w:val="20"/>
          <w:szCs w:val="20"/>
        </w:rPr>
        <w:t>we highlight lingering</w:t>
      </w:r>
    </w:p>
    <w:p w14:paraId="011E348D">
      <w:pPr>
        <w:pStyle w:val="4"/>
        <w:spacing w:before="59" w:line="273" w:lineRule="auto"/>
        <w:ind w:left="366" w:right="536" w:firstLine="6"/>
        <w:rPr>
          <w:sz w:val="20"/>
          <w:szCs w:val="20"/>
        </w:rPr>
      </w:pPr>
      <w:r>
        <w:rPr>
          <w:color w:val="57585A"/>
          <w:spacing w:val="-10"/>
          <w:sz w:val="20"/>
          <w:szCs w:val="20"/>
        </w:rPr>
        <w:t>regulatory uncertainty on the bac</w:t>
      </w:r>
      <w:r>
        <w:rPr>
          <w:color w:val="57585A"/>
          <w:spacing w:val="-11"/>
          <w:sz w:val="20"/>
          <w:szCs w:val="20"/>
        </w:rPr>
        <w:t>k of</w:t>
      </w:r>
      <w:r>
        <w:rPr>
          <w:color w:val="57585A"/>
          <w:spacing w:val="-25"/>
          <w:sz w:val="20"/>
          <w:szCs w:val="20"/>
        </w:rPr>
        <w:t xml:space="preserve"> </w:t>
      </w:r>
      <w:r>
        <w:rPr>
          <w:color w:val="57585A"/>
          <w:spacing w:val="-11"/>
          <w:sz w:val="20"/>
          <w:szCs w:val="20"/>
        </w:rPr>
        <w:t>very narrow legislative margins. Hence although</w:t>
      </w:r>
      <w:r>
        <w:rPr>
          <w:color w:val="57585A"/>
          <w:spacing w:val="-15"/>
          <w:sz w:val="20"/>
          <w:szCs w:val="20"/>
        </w:rPr>
        <w:t xml:space="preserve"> </w:t>
      </w:r>
      <w:r>
        <w:rPr>
          <w:color w:val="57585A"/>
          <w:spacing w:val="-11"/>
          <w:sz w:val="20"/>
          <w:szCs w:val="20"/>
        </w:rPr>
        <w:t>we expect a push to market liberalisation in</w:t>
      </w:r>
      <w:r>
        <w:rPr>
          <w:color w:val="57585A"/>
          <w:sz w:val="20"/>
          <w:szCs w:val="20"/>
        </w:rPr>
        <w:t xml:space="preserve"> </w:t>
      </w:r>
      <w:r>
        <w:rPr>
          <w:color w:val="57585A"/>
          <w:spacing w:val="-10"/>
          <w:sz w:val="20"/>
          <w:szCs w:val="20"/>
        </w:rPr>
        <w:t>some form form the Milei government,</w:t>
      </w:r>
      <w:r>
        <w:rPr>
          <w:color w:val="57585A"/>
          <w:spacing w:val="-16"/>
          <w:sz w:val="20"/>
          <w:szCs w:val="20"/>
        </w:rPr>
        <w:t xml:space="preserve"> </w:t>
      </w:r>
      <w:r>
        <w:rPr>
          <w:color w:val="57585A"/>
          <w:spacing w:val="-10"/>
          <w:sz w:val="20"/>
          <w:szCs w:val="20"/>
        </w:rPr>
        <w:t xml:space="preserve">we note that there remains relatively heightened uncertainty over the final shape </w:t>
      </w:r>
      <w:r>
        <w:rPr>
          <w:color w:val="57585A"/>
          <w:spacing w:val="-11"/>
          <w:sz w:val="20"/>
          <w:szCs w:val="20"/>
        </w:rPr>
        <w:t>of</w:t>
      </w:r>
      <w:r>
        <w:rPr>
          <w:color w:val="57585A"/>
          <w:spacing w:val="-21"/>
          <w:sz w:val="20"/>
          <w:szCs w:val="20"/>
        </w:rPr>
        <w:t xml:space="preserve"> </w:t>
      </w:r>
      <w:r>
        <w:rPr>
          <w:color w:val="57585A"/>
          <w:spacing w:val="-11"/>
          <w:sz w:val="20"/>
          <w:szCs w:val="20"/>
        </w:rPr>
        <w:t>the</w:t>
      </w:r>
    </w:p>
    <w:p w14:paraId="63327625">
      <w:pPr>
        <w:pStyle w:val="4"/>
        <w:spacing w:before="36" w:line="262" w:lineRule="exact"/>
        <w:ind w:left="373"/>
        <w:rPr>
          <w:sz w:val="20"/>
          <w:szCs w:val="20"/>
        </w:rPr>
      </w:pPr>
      <w:r>
        <w:rPr>
          <w:color w:val="57585A"/>
          <w:spacing w:val="-11"/>
          <w:position w:val="1"/>
          <w:sz w:val="20"/>
          <w:szCs w:val="20"/>
        </w:rPr>
        <w:t>reforms.</w:t>
      </w:r>
    </w:p>
    <w:p w14:paraId="1505BA61">
      <w:pPr>
        <w:spacing w:line="262" w:lineRule="exact"/>
        <w:rPr>
          <w:sz w:val="20"/>
          <w:szCs w:val="20"/>
        </w:rPr>
        <w:sectPr>
          <w:footerReference r:id="rId14" w:type="default"/>
          <w:pgSz w:w="11906" w:h="16838"/>
          <w:pgMar w:top="400" w:right="490" w:bottom="883" w:left="490" w:header="0" w:footer="0" w:gutter="0"/>
          <w:cols w:space="720" w:num="1"/>
        </w:sectPr>
      </w:pPr>
    </w:p>
    <w:p w14:paraId="5D67B4CA">
      <w:pPr>
        <w:pStyle w:val="4"/>
        <w:spacing w:before="73" w:line="241" w:lineRule="auto"/>
        <w:ind w:left="7372"/>
        <w:rPr>
          <w:sz w:val="20"/>
          <w:szCs w:val="20"/>
        </w:rPr>
      </w:pPr>
      <w:r>
        <w:drawing>
          <wp:anchor distT="0" distB="0" distL="0" distR="0" simplePos="0" relativeHeight="25169612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697152" behindDoc="0" locked="0" layoutInCell="0" allowOverlap="1">
            <wp:simplePos x="0" y="0"/>
            <wp:positionH relativeFrom="page">
              <wp:posOffset>311150</wp:posOffset>
            </wp:positionH>
            <wp:positionV relativeFrom="page">
              <wp:posOffset>0</wp:posOffset>
            </wp:positionV>
            <wp:extent cx="19050" cy="81407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D0765AC">
      <w:pPr>
        <w:pStyle w:val="4"/>
        <w:spacing w:line="278" w:lineRule="auto"/>
      </w:pPr>
    </w:p>
    <w:p w14:paraId="70D64357">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F1A04C1">
      <w:pPr>
        <w:pStyle w:val="4"/>
        <w:spacing w:line="428" w:lineRule="auto"/>
      </w:pPr>
    </w:p>
    <w:p w14:paraId="10ADB596">
      <w:pPr>
        <w:pStyle w:val="4"/>
        <w:spacing w:before="86" w:line="234" w:lineRule="auto"/>
        <w:ind w:left="383"/>
        <w:outlineLvl w:val="0"/>
        <w:rPr>
          <w:sz w:val="30"/>
          <w:szCs w:val="30"/>
          <w:highlight w:val="yellow"/>
        </w:rPr>
      </w:pPr>
      <w:bookmarkStart w:id="10" w:name="bookmark36"/>
      <w:bookmarkEnd w:id="10"/>
      <w:r>
        <w:rPr>
          <w:color w:val="2A8ABF"/>
          <w:spacing w:val="-13"/>
          <w:sz w:val="30"/>
          <w:szCs w:val="30"/>
          <w:highlight w:val="yellow"/>
        </w:rPr>
        <w:t>Upstream Projects</w:t>
      </w:r>
    </w:p>
    <w:p w14:paraId="7888321D">
      <w:pPr>
        <w:pStyle w:val="4"/>
        <w:spacing w:before="202" w:line="234" w:lineRule="auto"/>
        <w:ind w:left="427"/>
        <w:rPr>
          <w:sz w:val="24"/>
          <w:szCs w:val="24"/>
          <w:highlight w:val="yellow"/>
        </w:rPr>
      </w:pPr>
      <w:bookmarkStart w:id="11" w:name="bookmark6"/>
      <w:bookmarkEnd w:id="11"/>
      <w:r>
        <w:rPr>
          <w:color w:val="174174"/>
          <w:spacing w:val="-11"/>
          <w:sz w:val="24"/>
          <w:szCs w:val="24"/>
          <w:highlight w:val="yellow"/>
        </w:rPr>
        <w:t>Key Upstream Projec</w:t>
      </w:r>
      <w:r>
        <w:rPr>
          <w:color w:val="174174"/>
          <w:spacing w:val="-12"/>
          <w:sz w:val="24"/>
          <w:szCs w:val="24"/>
          <w:highlight w:val="yellow"/>
        </w:rPr>
        <w:t>ts</w:t>
      </w:r>
    </w:p>
    <w:p w14:paraId="6042E657">
      <w:pPr>
        <w:spacing w:line="42"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080"/>
        <w:gridCol w:w="1853"/>
        <w:gridCol w:w="1739"/>
        <w:gridCol w:w="1071"/>
        <w:gridCol w:w="1143"/>
        <w:gridCol w:w="809"/>
        <w:gridCol w:w="712"/>
        <w:gridCol w:w="1014"/>
        <w:gridCol w:w="783"/>
      </w:tblGrid>
      <w:tr w14:paraId="48D52BA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592" w:hRule="atLeast"/>
        </w:trPr>
        <w:tc>
          <w:tcPr>
            <w:tcW w:w="1080" w:type="dxa"/>
            <w:tcBorders>
              <w:left w:val="nil"/>
            </w:tcBorders>
            <w:shd w:val="clear" w:color="auto" w:fill="174174"/>
            <w:vAlign w:val="top"/>
          </w:tcPr>
          <w:p w14:paraId="03A939C2">
            <w:pPr>
              <w:pStyle w:val="8"/>
              <w:spacing w:before="114" w:line="183" w:lineRule="auto"/>
              <w:ind w:left="13"/>
            </w:pPr>
            <w:r>
              <w:rPr>
                <w:b/>
                <w:bCs/>
                <w:color w:val="FFFFFF"/>
                <w:spacing w:val="-7"/>
              </w:rPr>
              <w:t>Name</w:t>
            </w:r>
          </w:p>
        </w:tc>
        <w:tc>
          <w:tcPr>
            <w:tcW w:w="1853" w:type="dxa"/>
            <w:tcBorders>
              <w:right w:val="nil"/>
            </w:tcBorders>
            <w:shd w:val="clear" w:color="auto" w:fill="174174"/>
            <w:vAlign w:val="top"/>
          </w:tcPr>
          <w:p w14:paraId="172CD201">
            <w:pPr>
              <w:pStyle w:val="8"/>
              <w:spacing w:before="112" w:line="185" w:lineRule="auto"/>
              <w:ind w:left="85"/>
            </w:pPr>
            <w:r>
              <w:rPr>
                <w:b/>
                <w:bCs/>
                <w:color w:val="FFFFFF"/>
                <w:spacing w:val="-8"/>
              </w:rPr>
              <w:t>Field Name</w:t>
            </w:r>
          </w:p>
        </w:tc>
        <w:tc>
          <w:tcPr>
            <w:tcW w:w="1739" w:type="dxa"/>
            <w:tcBorders>
              <w:left w:val="nil"/>
              <w:right w:val="nil"/>
            </w:tcBorders>
            <w:shd w:val="clear" w:color="auto" w:fill="174174"/>
            <w:vAlign w:val="top"/>
          </w:tcPr>
          <w:p w14:paraId="01A04249">
            <w:pPr>
              <w:pStyle w:val="8"/>
              <w:spacing w:before="112" w:line="184" w:lineRule="auto"/>
              <w:ind w:left="79"/>
            </w:pPr>
            <w:r>
              <w:rPr>
                <w:b/>
                <w:bCs/>
                <w:color w:val="FFFFFF"/>
                <w:spacing w:val="-9"/>
              </w:rPr>
              <w:t>Companies</w:t>
            </w:r>
          </w:p>
        </w:tc>
        <w:tc>
          <w:tcPr>
            <w:tcW w:w="1071" w:type="dxa"/>
            <w:tcBorders>
              <w:left w:val="nil"/>
              <w:right w:val="nil"/>
            </w:tcBorders>
            <w:shd w:val="clear" w:color="auto" w:fill="174174"/>
            <w:vAlign w:val="top"/>
          </w:tcPr>
          <w:p w14:paraId="1DA44B65">
            <w:pPr>
              <w:pStyle w:val="8"/>
              <w:spacing w:before="111" w:line="276" w:lineRule="auto"/>
              <w:ind w:left="85" w:right="71" w:hanging="5"/>
            </w:pPr>
            <w:r>
              <w:rPr>
                <w:b/>
                <w:bCs/>
                <w:color w:val="FFFFFF"/>
                <w:spacing w:val="-8"/>
              </w:rPr>
              <w:t>Completion</w:t>
            </w:r>
            <w:r>
              <w:rPr>
                <w:b/>
                <w:bCs/>
                <w:color w:val="FFFFFF"/>
                <w:spacing w:val="7"/>
              </w:rPr>
              <w:t xml:space="preserve"> </w:t>
            </w:r>
            <w:r>
              <w:rPr>
                <w:b/>
                <w:bCs/>
                <w:color w:val="FFFFFF"/>
                <w:spacing w:val="-6"/>
              </w:rPr>
              <w:t>Date</w:t>
            </w:r>
          </w:p>
        </w:tc>
        <w:tc>
          <w:tcPr>
            <w:tcW w:w="1143" w:type="dxa"/>
            <w:tcBorders>
              <w:left w:val="nil"/>
              <w:right w:val="nil"/>
            </w:tcBorders>
            <w:shd w:val="clear" w:color="auto" w:fill="174174"/>
            <w:vAlign w:val="top"/>
          </w:tcPr>
          <w:p w14:paraId="14AE1A8F">
            <w:pPr>
              <w:pStyle w:val="8"/>
              <w:spacing w:before="70" w:line="243" w:lineRule="exact"/>
              <w:ind w:left="76"/>
            </w:pPr>
            <w:r>
              <w:rPr>
                <w:b/>
                <w:bCs/>
                <w:color w:val="FFFFFF"/>
                <w:spacing w:val="-7"/>
                <w:position w:val="1"/>
              </w:rPr>
              <w:t>Status</w:t>
            </w:r>
          </w:p>
          <w:p w14:paraId="75D9AD2B">
            <w:pPr>
              <w:pStyle w:val="8"/>
              <w:spacing w:before="48" w:line="186" w:lineRule="auto"/>
              <w:ind w:left="76"/>
            </w:pPr>
            <w:r>
              <w:rPr>
                <w:b/>
                <w:bCs/>
                <w:color w:val="FFFFFF"/>
                <w:spacing w:val="-7"/>
              </w:rPr>
              <w:t>Select</w:t>
            </w:r>
          </w:p>
        </w:tc>
        <w:tc>
          <w:tcPr>
            <w:tcW w:w="809" w:type="dxa"/>
            <w:tcBorders>
              <w:left w:val="nil"/>
              <w:right w:val="nil"/>
            </w:tcBorders>
            <w:shd w:val="clear" w:color="auto" w:fill="174174"/>
            <w:vAlign w:val="top"/>
          </w:tcPr>
          <w:p w14:paraId="41BA52DF">
            <w:pPr>
              <w:pStyle w:val="8"/>
              <w:spacing w:before="114" w:line="183" w:lineRule="auto"/>
              <w:ind w:left="86"/>
            </w:pPr>
            <w:r>
              <w:rPr>
                <w:b/>
                <w:bCs/>
                <w:color w:val="FFFFFF"/>
                <w:spacing w:val="-9"/>
              </w:rPr>
              <w:t>Est.</w:t>
            </w:r>
          </w:p>
          <w:p w14:paraId="40D899D9">
            <w:pPr>
              <w:pStyle w:val="8"/>
              <w:spacing w:before="48" w:line="243" w:lineRule="exact"/>
              <w:ind w:left="86"/>
            </w:pPr>
            <w:r>
              <w:rPr>
                <w:b/>
                <w:bCs/>
                <w:color w:val="FFFFFF"/>
                <w:spacing w:val="-11"/>
                <w:position w:val="1"/>
              </w:rPr>
              <w:t>Peak</w:t>
            </w:r>
          </w:p>
          <w:p w14:paraId="03E1B649">
            <w:pPr>
              <w:pStyle w:val="8"/>
              <w:spacing w:before="32" w:line="208" w:lineRule="auto"/>
              <w:ind w:left="80"/>
            </w:pPr>
            <w:r>
              <w:rPr>
                <w:b/>
                <w:bCs/>
                <w:color w:val="FFFFFF"/>
                <w:spacing w:val="5"/>
              </w:rPr>
              <w:t>Oil/</w:t>
            </w:r>
          </w:p>
          <w:p w14:paraId="60AAB9A1">
            <w:pPr>
              <w:pStyle w:val="8"/>
              <w:spacing w:before="86" w:line="184" w:lineRule="auto"/>
              <w:ind w:left="86"/>
            </w:pPr>
            <w:r>
              <w:rPr>
                <w:b/>
                <w:bCs/>
                <w:color w:val="FFFFFF"/>
                <w:spacing w:val="-9"/>
              </w:rPr>
              <w:t>Liquids</w:t>
            </w:r>
          </w:p>
          <w:p w14:paraId="304A7EF8">
            <w:pPr>
              <w:pStyle w:val="8"/>
              <w:spacing w:before="92" w:line="247" w:lineRule="auto"/>
              <w:ind w:left="79" w:right="236" w:firstLine="6"/>
            </w:pPr>
            <w:r>
              <w:rPr>
                <w:b/>
                <w:bCs/>
                <w:color w:val="FFFFFF"/>
                <w:spacing w:val="-13"/>
              </w:rPr>
              <w:t>Range</w:t>
            </w:r>
            <w:r>
              <w:rPr>
                <w:b/>
                <w:bCs/>
                <w:color w:val="FFFFFF"/>
              </w:rPr>
              <w:t xml:space="preserve"> </w:t>
            </w:r>
            <w:r>
              <w:rPr>
                <w:b/>
                <w:bCs/>
                <w:color w:val="FFFFFF"/>
                <w:spacing w:val="2"/>
              </w:rPr>
              <w:t>(b/d)</w:t>
            </w:r>
          </w:p>
        </w:tc>
        <w:tc>
          <w:tcPr>
            <w:tcW w:w="712" w:type="dxa"/>
            <w:tcBorders>
              <w:left w:val="nil"/>
              <w:right w:val="nil"/>
            </w:tcBorders>
            <w:shd w:val="clear" w:color="auto" w:fill="174174"/>
            <w:vAlign w:val="top"/>
          </w:tcPr>
          <w:p w14:paraId="0BB820AE">
            <w:pPr>
              <w:pStyle w:val="8"/>
              <w:spacing w:before="114" w:line="183" w:lineRule="auto"/>
              <w:ind w:left="86"/>
            </w:pPr>
            <w:r>
              <w:rPr>
                <w:b/>
                <w:bCs/>
                <w:color w:val="FFFFFF"/>
                <w:spacing w:val="-9"/>
              </w:rPr>
              <w:t>Est.</w:t>
            </w:r>
          </w:p>
          <w:p w14:paraId="3502FC98">
            <w:pPr>
              <w:pStyle w:val="8"/>
              <w:spacing w:before="48" w:line="292" w:lineRule="auto"/>
              <w:ind w:left="80" w:right="253" w:firstLine="5"/>
            </w:pPr>
            <w:r>
              <w:rPr>
                <w:b/>
                <w:bCs/>
                <w:color w:val="FFFFFF"/>
                <w:spacing w:val="-13"/>
              </w:rPr>
              <w:t>Peak</w:t>
            </w:r>
            <w:r>
              <w:rPr>
                <w:b/>
                <w:bCs/>
                <w:color w:val="FFFFFF"/>
                <w:spacing w:val="2"/>
              </w:rPr>
              <w:t xml:space="preserve"> </w:t>
            </w:r>
            <w:r>
              <w:rPr>
                <w:b/>
                <w:bCs/>
                <w:color w:val="FFFFFF"/>
                <w:spacing w:val="-14"/>
              </w:rPr>
              <w:t>Gas</w:t>
            </w:r>
          </w:p>
          <w:p w14:paraId="20318130">
            <w:pPr>
              <w:pStyle w:val="8"/>
              <w:spacing w:before="37" w:line="184" w:lineRule="auto"/>
              <w:ind w:left="80"/>
            </w:pPr>
            <w:r>
              <w:rPr>
                <w:b/>
                <w:bCs/>
                <w:color w:val="FFFFFF"/>
                <w:spacing w:val="-5"/>
              </w:rPr>
              <w:t>Output</w:t>
            </w:r>
          </w:p>
          <w:p w14:paraId="53952DD2">
            <w:pPr>
              <w:pStyle w:val="8"/>
              <w:spacing w:before="49" w:line="241" w:lineRule="auto"/>
              <w:ind w:left="79"/>
            </w:pPr>
            <w:r>
              <w:rPr>
                <w:b/>
                <w:bCs/>
                <w:color w:val="FFFFFF"/>
                <w:spacing w:val="-8"/>
              </w:rPr>
              <w:t>(bcm)</w:t>
            </w:r>
          </w:p>
        </w:tc>
        <w:tc>
          <w:tcPr>
            <w:tcW w:w="1014" w:type="dxa"/>
            <w:tcBorders>
              <w:left w:val="nil"/>
              <w:right w:val="nil"/>
            </w:tcBorders>
            <w:shd w:val="clear" w:color="auto" w:fill="174174"/>
            <w:vAlign w:val="top"/>
          </w:tcPr>
          <w:p w14:paraId="2AD00B98">
            <w:pPr>
              <w:pStyle w:val="8"/>
              <w:spacing w:before="112" w:line="184" w:lineRule="auto"/>
              <w:ind w:left="73"/>
            </w:pPr>
            <w:r>
              <w:rPr>
                <w:b/>
                <w:bCs/>
                <w:color w:val="FFFFFF"/>
                <w:spacing w:val="-9"/>
              </w:rPr>
              <w:t>Type Of</w:t>
            </w:r>
          </w:p>
          <w:p w14:paraId="72762FF5">
            <w:pPr>
              <w:pStyle w:val="8"/>
              <w:spacing w:before="49" w:line="241" w:lineRule="auto"/>
              <w:ind w:left="86"/>
            </w:pPr>
            <w:r>
              <w:rPr>
                <w:b/>
                <w:bCs/>
                <w:color w:val="FFFFFF"/>
                <w:spacing w:val="-8"/>
              </w:rPr>
              <w:t>Project</w:t>
            </w:r>
          </w:p>
        </w:tc>
        <w:tc>
          <w:tcPr>
            <w:tcW w:w="783" w:type="dxa"/>
            <w:tcBorders>
              <w:left w:val="nil"/>
              <w:right w:val="nil"/>
            </w:tcBorders>
            <w:shd w:val="clear" w:color="auto" w:fill="174174"/>
            <w:vAlign w:val="top"/>
          </w:tcPr>
          <w:p w14:paraId="38D4F7D6">
            <w:pPr>
              <w:pStyle w:val="8"/>
              <w:spacing w:before="111" w:line="187" w:lineRule="auto"/>
              <w:ind w:left="81"/>
            </w:pPr>
            <w:r>
              <w:rPr>
                <w:b/>
                <w:bCs/>
                <w:color w:val="FFFFFF"/>
                <w:spacing w:val="-9"/>
              </w:rPr>
              <w:t>On-</w:t>
            </w:r>
          </w:p>
          <w:p w14:paraId="5BD3BFA6">
            <w:pPr>
              <w:pStyle w:val="8"/>
              <w:spacing w:before="47" w:line="290" w:lineRule="auto"/>
              <w:ind w:left="80" w:right="161" w:hanging="2"/>
            </w:pPr>
            <w:r>
              <w:rPr>
                <w:b/>
                <w:bCs/>
                <w:color w:val="FFFFFF"/>
              </w:rPr>
              <w:t>shore</w:t>
            </w:r>
            <w:r>
              <w:rPr>
                <w:b/>
                <w:bCs/>
                <w:color w:val="FFFFFF"/>
                <w:spacing w:val="3"/>
              </w:rPr>
              <w:t>/</w:t>
            </w:r>
            <w:r>
              <w:rPr>
                <w:b/>
                <w:bCs/>
                <w:color w:val="FFFFFF"/>
              </w:rPr>
              <w:t xml:space="preserve"> </w:t>
            </w:r>
            <w:r>
              <w:rPr>
                <w:b/>
                <w:bCs/>
                <w:color w:val="FFFFFF"/>
                <w:spacing w:val="-2"/>
              </w:rPr>
              <w:t>Off-</w:t>
            </w:r>
          </w:p>
          <w:p w14:paraId="1D7765E8">
            <w:pPr>
              <w:pStyle w:val="8"/>
              <w:spacing w:line="243" w:lineRule="exact"/>
              <w:ind w:left="78"/>
            </w:pPr>
            <w:r>
              <w:rPr>
                <w:b/>
                <w:bCs/>
                <w:color w:val="FFFFFF"/>
                <w:spacing w:val="-8"/>
                <w:position w:val="1"/>
              </w:rPr>
              <w:t>shore</w:t>
            </w:r>
          </w:p>
        </w:tc>
      </w:tr>
      <w:tr w14:paraId="28A45CC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1080" w:type="dxa"/>
            <w:tcBorders>
              <w:left w:val="nil"/>
            </w:tcBorders>
            <w:vAlign w:val="top"/>
          </w:tcPr>
          <w:p w14:paraId="2B80FB8F">
            <w:pPr>
              <w:pStyle w:val="8"/>
              <w:spacing w:before="66" w:line="234" w:lineRule="auto"/>
              <w:ind w:left="3"/>
            </w:pPr>
            <w:r>
              <w:rPr>
                <w:color w:val="2A8ABF"/>
                <w:spacing w:val="-9"/>
              </w:rPr>
              <w:t>Aguada</w:t>
            </w:r>
          </w:p>
          <w:p w14:paraId="7B67758C">
            <w:pPr>
              <w:pStyle w:val="8"/>
              <w:spacing w:before="48" w:line="290" w:lineRule="auto"/>
              <w:ind w:left="18" w:right="59"/>
            </w:pPr>
            <w:r>
              <w:rPr>
                <w:color w:val="2A8ABF"/>
                <w:spacing w:val="-12"/>
              </w:rPr>
              <w:t>Federal Block,</w:t>
            </w:r>
            <w:r>
              <w:rPr>
                <w:color w:val="2A8ABF"/>
                <w:spacing w:val="11"/>
              </w:rPr>
              <w:t xml:space="preserve"> </w:t>
            </w:r>
            <w:r>
              <w:rPr>
                <w:color w:val="2A8ABF"/>
                <w:spacing w:val="-8"/>
              </w:rPr>
              <w:t>Neuquen</w:t>
            </w:r>
          </w:p>
          <w:p w14:paraId="2DAE37E0">
            <w:pPr>
              <w:pStyle w:val="8"/>
              <w:spacing w:line="237" w:lineRule="exact"/>
              <w:ind w:left="16"/>
            </w:pPr>
            <w:r>
              <w:rPr>
                <w:color w:val="2A8ABF"/>
                <w:spacing w:val="-11"/>
                <w:position w:val="1"/>
              </w:rPr>
              <w:t>basin</w:t>
            </w:r>
          </w:p>
        </w:tc>
        <w:tc>
          <w:tcPr>
            <w:tcW w:w="1853" w:type="dxa"/>
            <w:tcBorders>
              <w:right w:val="nil"/>
            </w:tcBorders>
            <w:vAlign w:val="top"/>
          </w:tcPr>
          <w:p w14:paraId="1EBBC9AA">
            <w:pPr>
              <w:pStyle w:val="8"/>
              <w:spacing w:before="66" w:line="234" w:lineRule="auto"/>
              <w:ind w:left="72"/>
            </w:pPr>
            <w:r>
              <w:rPr>
                <w:color w:val="5F6A72"/>
                <w:spacing w:val="-10"/>
              </w:rPr>
              <w:t>Aguada Federal Block</w:t>
            </w:r>
          </w:p>
        </w:tc>
        <w:tc>
          <w:tcPr>
            <w:tcW w:w="1739" w:type="dxa"/>
            <w:tcBorders>
              <w:left w:val="nil"/>
              <w:right w:val="nil"/>
            </w:tcBorders>
            <w:vAlign w:val="top"/>
          </w:tcPr>
          <w:p w14:paraId="6AB02C98">
            <w:pPr>
              <w:pStyle w:val="8"/>
              <w:spacing w:before="66" w:line="271" w:lineRule="auto"/>
              <w:ind w:left="71" w:right="161" w:firstLine="8"/>
            </w:pPr>
            <w:r>
              <w:rPr>
                <w:color w:val="5F6A72"/>
                <w:spacing w:val="-12"/>
              </w:rPr>
              <w:t>GyP Neuquen (50%),</w:t>
            </w:r>
            <w:r>
              <w:rPr>
                <w:color w:val="5F6A72"/>
              </w:rPr>
              <w:t xml:space="preserve"> </w:t>
            </w:r>
            <w:r>
              <w:rPr>
                <w:color w:val="5F6A72"/>
                <w:spacing w:val="-9"/>
              </w:rPr>
              <w:t>Wintershall (50%)</w:t>
            </w:r>
          </w:p>
        </w:tc>
        <w:tc>
          <w:tcPr>
            <w:tcW w:w="1071" w:type="dxa"/>
            <w:tcBorders>
              <w:left w:val="nil"/>
              <w:right w:val="nil"/>
            </w:tcBorders>
            <w:vAlign w:val="top"/>
          </w:tcPr>
          <w:p w14:paraId="312590A1">
            <w:pPr>
              <w:pStyle w:val="8"/>
              <w:spacing w:before="175" w:line="90" w:lineRule="exact"/>
              <w:ind w:left="80"/>
            </w:pPr>
            <w:r>
              <w:rPr>
                <w:color w:val="5F6A72"/>
                <w:position w:val="-6"/>
              </w:rPr>
              <w:t>-</w:t>
            </w:r>
          </w:p>
        </w:tc>
        <w:tc>
          <w:tcPr>
            <w:tcW w:w="1143" w:type="dxa"/>
            <w:tcBorders>
              <w:left w:val="nil"/>
              <w:right w:val="nil"/>
            </w:tcBorders>
            <w:vAlign w:val="top"/>
          </w:tcPr>
          <w:p w14:paraId="6FDDFDFD">
            <w:pPr>
              <w:pStyle w:val="8"/>
              <w:spacing w:before="67" w:line="236" w:lineRule="auto"/>
              <w:ind w:left="86"/>
            </w:pPr>
            <w:r>
              <w:rPr>
                <w:color w:val="5F6A72"/>
                <w:spacing w:val="-8"/>
              </w:rPr>
              <w:t>Exploration</w:t>
            </w:r>
          </w:p>
        </w:tc>
        <w:tc>
          <w:tcPr>
            <w:tcW w:w="809" w:type="dxa"/>
            <w:tcBorders>
              <w:left w:val="nil"/>
              <w:right w:val="nil"/>
            </w:tcBorders>
            <w:vAlign w:val="top"/>
          </w:tcPr>
          <w:p w14:paraId="6CC4F738">
            <w:pPr>
              <w:pStyle w:val="8"/>
              <w:spacing w:before="140" w:line="126" w:lineRule="exact"/>
              <w:ind w:left="84"/>
            </w:pPr>
            <w:r>
              <w:rPr>
                <w:color w:val="5F6A72"/>
                <w:spacing w:val="-8"/>
                <w:position w:val="-2"/>
              </w:rPr>
              <w:t>na</w:t>
            </w:r>
          </w:p>
        </w:tc>
        <w:tc>
          <w:tcPr>
            <w:tcW w:w="712" w:type="dxa"/>
            <w:tcBorders>
              <w:left w:val="nil"/>
              <w:right w:val="nil"/>
            </w:tcBorders>
            <w:vAlign w:val="top"/>
          </w:tcPr>
          <w:p w14:paraId="4A814F7B">
            <w:pPr>
              <w:pStyle w:val="8"/>
              <w:spacing w:before="140" w:line="126" w:lineRule="exact"/>
              <w:ind w:left="84"/>
            </w:pPr>
            <w:r>
              <w:rPr>
                <w:color w:val="5F6A72"/>
                <w:spacing w:val="-8"/>
                <w:position w:val="-2"/>
              </w:rPr>
              <w:t>na</w:t>
            </w:r>
          </w:p>
        </w:tc>
        <w:tc>
          <w:tcPr>
            <w:tcW w:w="1014" w:type="dxa"/>
            <w:tcBorders>
              <w:left w:val="nil"/>
              <w:right w:val="nil"/>
            </w:tcBorders>
            <w:vAlign w:val="top"/>
          </w:tcPr>
          <w:p w14:paraId="3E715001">
            <w:pPr>
              <w:pStyle w:val="8"/>
              <w:spacing w:before="66" w:line="234" w:lineRule="auto"/>
              <w:ind w:left="81"/>
            </w:pPr>
            <w:r>
              <w:rPr>
                <w:color w:val="5F6A72"/>
                <w:spacing w:val="-11"/>
              </w:rPr>
              <w:t>Oil &amp; gas</w:t>
            </w:r>
          </w:p>
        </w:tc>
        <w:tc>
          <w:tcPr>
            <w:tcW w:w="783" w:type="dxa"/>
            <w:tcBorders>
              <w:left w:val="nil"/>
              <w:right w:val="nil"/>
            </w:tcBorders>
            <w:vAlign w:val="top"/>
          </w:tcPr>
          <w:p w14:paraId="713A9320">
            <w:pPr>
              <w:pStyle w:val="8"/>
              <w:spacing w:before="106" w:line="186" w:lineRule="auto"/>
              <w:ind w:left="81"/>
            </w:pPr>
            <w:r>
              <w:rPr>
                <w:color w:val="5F6A72"/>
                <w:spacing w:val="-9"/>
              </w:rPr>
              <w:t>Onshore</w:t>
            </w:r>
          </w:p>
        </w:tc>
      </w:tr>
      <w:tr w14:paraId="58D8556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80" w:type="dxa"/>
            <w:tcBorders>
              <w:left w:val="nil"/>
            </w:tcBorders>
            <w:shd w:val="clear" w:color="auto" w:fill="EAF9FF"/>
            <w:vAlign w:val="top"/>
          </w:tcPr>
          <w:p w14:paraId="2C289382">
            <w:pPr>
              <w:pStyle w:val="8"/>
              <w:spacing w:before="68" w:line="237" w:lineRule="exact"/>
              <w:ind w:left="18"/>
            </w:pPr>
            <w:r>
              <w:rPr>
                <w:color w:val="2A8ABF"/>
                <w:spacing w:val="-10"/>
                <w:position w:val="1"/>
              </w:rPr>
              <w:t>Bandurria</w:t>
            </w:r>
            <w:r>
              <w:rPr>
                <w:color w:val="2A8ABF"/>
                <w:spacing w:val="-12"/>
                <w:position w:val="1"/>
              </w:rPr>
              <w:t xml:space="preserve"> </w:t>
            </w:r>
            <w:r>
              <w:rPr>
                <w:color w:val="2A8ABF"/>
                <w:spacing w:val="-10"/>
                <w:position w:val="1"/>
              </w:rPr>
              <w:t>Sur</w:t>
            </w:r>
          </w:p>
        </w:tc>
        <w:tc>
          <w:tcPr>
            <w:tcW w:w="1853" w:type="dxa"/>
            <w:tcBorders>
              <w:right w:val="nil"/>
            </w:tcBorders>
            <w:shd w:val="clear" w:color="auto" w:fill="EAF9FF"/>
            <w:vAlign w:val="top"/>
          </w:tcPr>
          <w:p w14:paraId="2EFB23DA">
            <w:pPr>
              <w:pStyle w:val="8"/>
              <w:spacing w:before="108" w:line="186" w:lineRule="auto"/>
              <w:ind w:left="86"/>
            </w:pPr>
            <w:r>
              <w:rPr>
                <w:color w:val="5F6A72"/>
                <w:spacing w:val="-10"/>
              </w:rPr>
              <w:t>Bandurria</w:t>
            </w:r>
            <w:r>
              <w:rPr>
                <w:color w:val="5F6A72"/>
                <w:spacing w:val="-5"/>
              </w:rPr>
              <w:t xml:space="preserve"> </w:t>
            </w:r>
            <w:r>
              <w:rPr>
                <w:color w:val="5F6A72"/>
                <w:spacing w:val="-10"/>
              </w:rPr>
              <w:t>Sur</w:t>
            </w:r>
          </w:p>
        </w:tc>
        <w:tc>
          <w:tcPr>
            <w:tcW w:w="1739" w:type="dxa"/>
            <w:tcBorders>
              <w:left w:val="nil"/>
              <w:right w:val="nil"/>
            </w:tcBorders>
            <w:shd w:val="clear" w:color="auto" w:fill="EAF9FF"/>
            <w:vAlign w:val="top"/>
          </w:tcPr>
          <w:p w14:paraId="42A3AD5B">
            <w:pPr>
              <w:pStyle w:val="8"/>
              <w:spacing w:before="68" w:line="234" w:lineRule="auto"/>
              <w:ind w:left="71"/>
            </w:pPr>
            <w:r>
              <w:rPr>
                <w:color w:val="5F6A72"/>
                <w:spacing w:val="-13"/>
              </w:rPr>
              <w:t>YPF (40%), Shell</w:t>
            </w:r>
          </w:p>
          <w:p w14:paraId="672DB203">
            <w:pPr>
              <w:pStyle w:val="8"/>
              <w:spacing w:before="48" w:line="234" w:lineRule="auto"/>
              <w:ind w:left="79"/>
            </w:pPr>
            <w:r>
              <w:rPr>
                <w:color w:val="5F6A72"/>
                <w:spacing w:val="-11"/>
              </w:rPr>
              <w:t>(30%), Equinor (30%)</w:t>
            </w:r>
          </w:p>
        </w:tc>
        <w:tc>
          <w:tcPr>
            <w:tcW w:w="1071" w:type="dxa"/>
            <w:tcBorders>
              <w:left w:val="nil"/>
              <w:right w:val="nil"/>
            </w:tcBorders>
            <w:shd w:val="clear" w:color="auto" w:fill="EAF9FF"/>
            <w:vAlign w:val="top"/>
          </w:tcPr>
          <w:p w14:paraId="6423057A">
            <w:pPr>
              <w:pStyle w:val="8"/>
              <w:spacing w:before="176" w:line="90" w:lineRule="exact"/>
              <w:ind w:left="80"/>
            </w:pPr>
            <w:r>
              <w:rPr>
                <w:color w:val="5F6A72"/>
                <w:position w:val="-6"/>
              </w:rPr>
              <w:t>-</w:t>
            </w:r>
          </w:p>
        </w:tc>
        <w:tc>
          <w:tcPr>
            <w:tcW w:w="1143" w:type="dxa"/>
            <w:tcBorders>
              <w:left w:val="nil"/>
              <w:right w:val="nil"/>
            </w:tcBorders>
            <w:shd w:val="clear" w:color="auto" w:fill="EAF9FF"/>
            <w:vAlign w:val="top"/>
          </w:tcPr>
          <w:p w14:paraId="7C995300">
            <w:pPr>
              <w:pStyle w:val="8"/>
              <w:spacing w:before="68" w:line="236" w:lineRule="auto"/>
              <w:ind w:left="86"/>
            </w:pPr>
            <w:r>
              <w:rPr>
                <w:color w:val="5F6A72"/>
                <w:spacing w:val="-7"/>
              </w:rPr>
              <w:t>Development</w:t>
            </w:r>
          </w:p>
        </w:tc>
        <w:tc>
          <w:tcPr>
            <w:tcW w:w="809" w:type="dxa"/>
            <w:tcBorders>
              <w:left w:val="nil"/>
              <w:right w:val="nil"/>
            </w:tcBorders>
            <w:shd w:val="clear" w:color="auto" w:fill="EAF9FF"/>
            <w:vAlign w:val="top"/>
          </w:tcPr>
          <w:p w14:paraId="62E43ADC">
            <w:pPr>
              <w:pStyle w:val="8"/>
              <w:spacing w:before="68" w:line="214" w:lineRule="exact"/>
              <w:ind w:left="86"/>
            </w:pPr>
            <w:r>
              <w:rPr>
                <w:color w:val="5F6A72"/>
                <w:spacing w:val="-6"/>
                <w:position w:val="1"/>
              </w:rPr>
              <w:t>10,000</w:t>
            </w:r>
          </w:p>
        </w:tc>
        <w:tc>
          <w:tcPr>
            <w:tcW w:w="712" w:type="dxa"/>
            <w:tcBorders>
              <w:left w:val="nil"/>
              <w:right w:val="nil"/>
            </w:tcBorders>
            <w:shd w:val="clear" w:color="auto" w:fill="EAF9FF"/>
            <w:vAlign w:val="top"/>
          </w:tcPr>
          <w:p w14:paraId="0785D0B5">
            <w:pPr>
              <w:pStyle w:val="8"/>
              <w:spacing w:before="68" w:line="239" w:lineRule="exact"/>
              <w:ind w:left="82"/>
            </w:pPr>
            <w:r>
              <w:rPr>
                <w:color w:val="5F6A72"/>
                <w:spacing w:val="-6"/>
                <w:position w:val="1"/>
              </w:rPr>
              <w:t>2.4</w:t>
            </w:r>
          </w:p>
        </w:tc>
        <w:tc>
          <w:tcPr>
            <w:tcW w:w="1014" w:type="dxa"/>
            <w:tcBorders>
              <w:left w:val="nil"/>
              <w:right w:val="nil"/>
            </w:tcBorders>
            <w:shd w:val="clear" w:color="auto" w:fill="EAF9FF"/>
            <w:vAlign w:val="top"/>
          </w:tcPr>
          <w:p w14:paraId="57498A98">
            <w:pPr>
              <w:pStyle w:val="8"/>
              <w:spacing w:before="68" w:line="237" w:lineRule="exact"/>
              <w:ind w:left="77"/>
            </w:pPr>
            <w:r>
              <w:rPr>
                <w:color w:val="5F6A72"/>
                <w:spacing w:val="-9"/>
                <w:position w:val="1"/>
              </w:rPr>
              <w:t>Shale oil</w:t>
            </w:r>
          </w:p>
          <w:p w14:paraId="7CDC6D2D">
            <w:pPr>
              <w:pStyle w:val="8"/>
              <w:spacing w:before="12" w:line="234" w:lineRule="auto"/>
              <w:ind w:left="79"/>
            </w:pPr>
            <w:r>
              <w:rPr>
                <w:color w:val="5F6A72"/>
                <w:spacing w:val="-10"/>
              </w:rPr>
              <w:t>and gas</w:t>
            </w:r>
          </w:p>
        </w:tc>
        <w:tc>
          <w:tcPr>
            <w:tcW w:w="783" w:type="dxa"/>
            <w:tcBorders>
              <w:left w:val="nil"/>
              <w:right w:val="nil"/>
            </w:tcBorders>
            <w:shd w:val="clear" w:color="auto" w:fill="EAF9FF"/>
            <w:vAlign w:val="top"/>
          </w:tcPr>
          <w:p w14:paraId="3DD9E706">
            <w:pPr>
              <w:pStyle w:val="8"/>
              <w:spacing w:before="107" w:line="186" w:lineRule="auto"/>
              <w:ind w:left="81"/>
            </w:pPr>
            <w:r>
              <w:rPr>
                <w:color w:val="5F6A72"/>
                <w:spacing w:val="-9"/>
              </w:rPr>
              <w:t>Onshore</w:t>
            </w:r>
          </w:p>
        </w:tc>
      </w:tr>
      <w:tr w14:paraId="081AEDE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80" w:type="dxa"/>
            <w:tcBorders>
              <w:left w:val="nil"/>
            </w:tcBorders>
            <w:vAlign w:val="top"/>
          </w:tcPr>
          <w:p w14:paraId="5C7BDAAF">
            <w:pPr>
              <w:pStyle w:val="8"/>
              <w:spacing w:before="68" w:line="272" w:lineRule="auto"/>
              <w:ind w:left="12" w:right="147" w:firstLine="5"/>
            </w:pPr>
            <w:r>
              <w:rPr>
                <w:color w:val="2A8ABF"/>
                <w:spacing w:val="-11"/>
              </w:rPr>
              <w:t>Block Bajo el</w:t>
            </w:r>
            <w:r>
              <w:rPr>
                <w:color w:val="2A8ABF"/>
                <w:spacing w:val="8"/>
              </w:rPr>
              <w:t xml:space="preserve"> </w:t>
            </w:r>
            <w:r>
              <w:rPr>
                <w:color w:val="2A8ABF"/>
                <w:spacing w:val="-8"/>
              </w:rPr>
              <w:t>Choique</w:t>
            </w:r>
          </w:p>
        </w:tc>
        <w:tc>
          <w:tcPr>
            <w:tcW w:w="1853" w:type="dxa"/>
            <w:tcBorders>
              <w:right w:val="nil"/>
            </w:tcBorders>
            <w:vAlign w:val="top"/>
          </w:tcPr>
          <w:p w14:paraId="5FA99EEC">
            <w:pPr>
              <w:pStyle w:val="8"/>
              <w:spacing w:before="68" w:line="234" w:lineRule="auto"/>
              <w:ind w:left="86"/>
            </w:pPr>
            <w:r>
              <w:rPr>
                <w:color w:val="5F6A72"/>
                <w:spacing w:val="-10"/>
              </w:rPr>
              <w:t>Block Bajo el Choique</w:t>
            </w:r>
          </w:p>
        </w:tc>
        <w:tc>
          <w:tcPr>
            <w:tcW w:w="1739" w:type="dxa"/>
            <w:tcBorders>
              <w:left w:val="nil"/>
              <w:right w:val="nil"/>
            </w:tcBorders>
            <w:vAlign w:val="top"/>
          </w:tcPr>
          <w:p w14:paraId="08C31771">
            <w:pPr>
              <w:pStyle w:val="8"/>
              <w:spacing w:before="68" w:line="271" w:lineRule="auto"/>
              <w:ind w:left="85" w:right="161" w:hanging="5"/>
            </w:pPr>
            <w:r>
              <w:rPr>
                <w:color w:val="5F6A72"/>
                <w:spacing w:val="-12"/>
              </w:rPr>
              <w:t>GyP Neuquen (10%),</w:t>
            </w:r>
            <w:r>
              <w:rPr>
                <w:color w:val="5F6A72"/>
              </w:rPr>
              <w:t xml:space="preserve"> </w:t>
            </w:r>
            <w:r>
              <w:rPr>
                <w:color w:val="5F6A72"/>
                <w:spacing w:val="-12"/>
              </w:rPr>
              <w:t>ExxonMobil (90%)</w:t>
            </w:r>
          </w:p>
        </w:tc>
        <w:tc>
          <w:tcPr>
            <w:tcW w:w="1071" w:type="dxa"/>
            <w:tcBorders>
              <w:left w:val="nil"/>
              <w:right w:val="nil"/>
            </w:tcBorders>
            <w:vAlign w:val="top"/>
          </w:tcPr>
          <w:p w14:paraId="678FA810">
            <w:pPr>
              <w:pStyle w:val="8"/>
              <w:spacing w:before="177" w:line="89" w:lineRule="exact"/>
              <w:ind w:left="80"/>
            </w:pPr>
            <w:r>
              <w:rPr>
                <w:color w:val="5F6A72"/>
                <w:position w:val="-6"/>
              </w:rPr>
              <w:t>-</w:t>
            </w:r>
          </w:p>
        </w:tc>
        <w:tc>
          <w:tcPr>
            <w:tcW w:w="1143" w:type="dxa"/>
            <w:tcBorders>
              <w:left w:val="nil"/>
              <w:right w:val="nil"/>
            </w:tcBorders>
            <w:vAlign w:val="top"/>
          </w:tcPr>
          <w:p w14:paraId="55A7D684">
            <w:pPr>
              <w:pStyle w:val="8"/>
              <w:spacing w:before="69" w:line="236" w:lineRule="auto"/>
              <w:ind w:left="86"/>
            </w:pPr>
            <w:r>
              <w:rPr>
                <w:color w:val="5F6A72"/>
                <w:spacing w:val="-8"/>
              </w:rPr>
              <w:t>Exploration</w:t>
            </w:r>
          </w:p>
        </w:tc>
        <w:tc>
          <w:tcPr>
            <w:tcW w:w="809" w:type="dxa"/>
            <w:tcBorders>
              <w:left w:val="nil"/>
              <w:right w:val="nil"/>
            </w:tcBorders>
            <w:vAlign w:val="top"/>
          </w:tcPr>
          <w:p w14:paraId="7498C9CD">
            <w:pPr>
              <w:pStyle w:val="8"/>
              <w:spacing w:before="142" w:line="126" w:lineRule="exact"/>
              <w:ind w:left="84"/>
            </w:pPr>
            <w:r>
              <w:rPr>
                <w:color w:val="5F6A72"/>
                <w:spacing w:val="-8"/>
                <w:position w:val="-2"/>
              </w:rPr>
              <w:t>na</w:t>
            </w:r>
          </w:p>
        </w:tc>
        <w:tc>
          <w:tcPr>
            <w:tcW w:w="712" w:type="dxa"/>
            <w:tcBorders>
              <w:left w:val="nil"/>
              <w:right w:val="nil"/>
            </w:tcBorders>
            <w:vAlign w:val="top"/>
          </w:tcPr>
          <w:p w14:paraId="78F9C182">
            <w:pPr>
              <w:pStyle w:val="8"/>
              <w:spacing w:before="142" w:line="126" w:lineRule="exact"/>
              <w:ind w:left="84"/>
            </w:pPr>
            <w:r>
              <w:rPr>
                <w:color w:val="5F6A72"/>
                <w:spacing w:val="-8"/>
                <w:position w:val="-2"/>
              </w:rPr>
              <w:t>na</w:t>
            </w:r>
          </w:p>
        </w:tc>
        <w:tc>
          <w:tcPr>
            <w:tcW w:w="1014" w:type="dxa"/>
            <w:tcBorders>
              <w:left w:val="nil"/>
              <w:right w:val="nil"/>
            </w:tcBorders>
            <w:vAlign w:val="top"/>
          </w:tcPr>
          <w:p w14:paraId="5A4D6704">
            <w:pPr>
              <w:pStyle w:val="8"/>
              <w:spacing w:before="68" w:line="238" w:lineRule="exact"/>
              <w:ind w:left="77"/>
            </w:pPr>
            <w:r>
              <w:rPr>
                <w:color w:val="5F6A72"/>
                <w:spacing w:val="-9"/>
                <w:position w:val="1"/>
              </w:rPr>
              <w:t>Shale oil</w:t>
            </w:r>
          </w:p>
          <w:p w14:paraId="2336D34F">
            <w:pPr>
              <w:pStyle w:val="8"/>
              <w:spacing w:before="12" w:line="234" w:lineRule="auto"/>
              <w:ind w:left="79"/>
            </w:pPr>
            <w:r>
              <w:rPr>
                <w:color w:val="5F6A72"/>
                <w:spacing w:val="-10"/>
              </w:rPr>
              <w:t>and gas</w:t>
            </w:r>
          </w:p>
        </w:tc>
        <w:tc>
          <w:tcPr>
            <w:tcW w:w="783" w:type="dxa"/>
            <w:tcBorders>
              <w:left w:val="nil"/>
              <w:right w:val="nil"/>
            </w:tcBorders>
            <w:vAlign w:val="top"/>
          </w:tcPr>
          <w:p w14:paraId="35F9C23E">
            <w:pPr>
              <w:pStyle w:val="8"/>
              <w:spacing w:before="108" w:line="186" w:lineRule="auto"/>
              <w:ind w:left="81"/>
            </w:pPr>
            <w:r>
              <w:rPr>
                <w:color w:val="5F6A72"/>
                <w:spacing w:val="-9"/>
              </w:rPr>
              <w:t>Onshore</w:t>
            </w:r>
          </w:p>
        </w:tc>
      </w:tr>
      <w:tr w14:paraId="5CB7FF8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335" w:hRule="atLeast"/>
        </w:trPr>
        <w:tc>
          <w:tcPr>
            <w:tcW w:w="1080" w:type="dxa"/>
            <w:tcBorders>
              <w:left w:val="nil"/>
            </w:tcBorders>
            <w:shd w:val="clear" w:color="auto" w:fill="EAF9FF"/>
            <w:vAlign w:val="top"/>
          </w:tcPr>
          <w:p w14:paraId="7A06BCA7">
            <w:pPr>
              <w:pStyle w:val="8"/>
              <w:spacing w:before="69" w:line="293" w:lineRule="auto"/>
              <w:ind w:left="3" w:right="142" w:firstLine="14"/>
            </w:pPr>
            <w:r>
              <w:rPr>
                <w:color w:val="2A8ABF"/>
                <w:spacing w:val="-10"/>
              </w:rPr>
              <w:t>Block</w:t>
            </w:r>
            <w:r>
              <w:rPr>
                <w:color w:val="2A8ABF"/>
              </w:rPr>
              <w:t xml:space="preserve"> </w:t>
            </w:r>
            <w:r>
              <w:rPr>
                <w:color w:val="2A8ABF"/>
                <w:spacing w:val="-10"/>
              </w:rPr>
              <w:t>Coiron</w:t>
            </w:r>
            <w:r>
              <w:rPr>
                <w:color w:val="2A8ABF"/>
              </w:rPr>
              <w:t xml:space="preserve"> </w:t>
            </w:r>
            <w:r>
              <w:rPr>
                <w:color w:val="2A8ABF"/>
                <w:spacing w:val="-7"/>
              </w:rPr>
              <w:t>Amargo,</w:t>
            </w:r>
          </w:p>
          <w:p w14:paraId="36BADB6C">
            <w:pPr>
              <w:pStyle w:val="8"/>
              <w:spacing w:before="35" w:line="270" w:lineRule="auto"/>
              <w:ind w:left="18" w:right="381"/>
            </w:pPr>
            <w:r>
              <w:rPr>
                <w:color w:val="2A8ABF"/>
                <w:spacing w:val="-9"/>
              </w:rPr>
              <w:t>Neuquen</w:t>
            </w:r>
            <w:r>
              <w:rPr>
                <w:color w:val="2A8ABF"/>
                <w:spacing w:val="4"/>
              </w:rPr>
              <w:t xml:space="preserve"> </w:t>
            </w:r>
            <w:r>
              <w:rPr>
                <w:color w:val="2A8ABF"/>
                <w:spacing w:val="-15"/>
              </w:rPr>
              <w:t>Basin</w:t>
            </w:r>
          </w:p>
        </w:tc>
        <w:tc>
          <w:tcPr>
            <w:tcW w:w="1853" w:type="dxa"/>
            <w:tcBorders>
              <w:right w:val="nil"/>
            </w:tcBorders>
            <w:shd w:val="clear" w:color="auto" w:fill="EAF9FF"/>
            <w:vAlign w:val="top"/>
          </w:tcPr>
          <w:p w14:paraId="3E37673D">
            <w:pPr>
              <w:pStyle w:val="8"/>
              <w:spacing w:before="108" w:line="184" w:lineRule="auto"/>
              <w:ind w:left="86"/>
            </w:pPr>
            <w:r>
              <w:rPr>
                <w:color w:val="5F6A72"/>
                <w:spacing w:val="-9"/>
              </w:rPr>
              <w:t>Block Coiron</w:t>
            </w:r>
            <w:r>
              <w:rPr>
                <w:color w:val="5F6A72"/>
                <w:spacing w:val="-3"/>
              </w:rPr>
              <w:t xml:space="preserve"> </w:t>
            </w:r>
            <w:r>
              <w:rPr>
                <w:color w:val="5F6A72"/>
                <w:spacing w:val="-9"/>
              </w:rPr>
              <w:t>Amargo</w:t>
            </w:r>
          </w:p>
        </w:tc>
        <w:tc>
          <w:tcPr>
            <w:tcW w:w="1739" w:type="dxa"/>
            <w:tcBorders>
              <w:left w:val="nil"/>
              <w:right w:val="nil"/>
            </w:tcBorders>
            <w:shd w:val="clear" w:color="auto" w:fill="EAF9FF"/>
            <w:vAlign w:val="top"/>
          </w:tcPr>
          <w:p w14:paraId="52C7DDF9">
            <w:pPr>
              <w:pStyle w:val="8"/>
              <w:spacing w:before="69" w:line="236" w:lineRule="auto"/>
              <w:ind w:left="86"/>
            </w:pPr>
            <w:r>
              <w:rPr>
                <w:color w:val="5F6A72"/>
                <w:spacing w:val="-8"/>
              </w:rPr>
              <w:t>Pluspetrol Chile</w:t>
            </w:r>
          </w:p>
          <w:p w14:paraId="121BFCD1">
            <w:pPr>
              <w:pStyle w:val="8"/>
              <w:spacing w:before="46" w:line="234" w:lineRule="auto"/>
              <w:ind w:left="79"/>
            </w:pPr>
            <w:r>
              <w:rPr>
                <w:color w:val="5F6A72"/>
                <w:spacing w:val="-11"/>
              </w:rPr>
              <w:t>(45%), Madalena</w:t>
            </w:r>
          </w:p>
          <w:p w14:paraId="6FC30DC5">
            <w:pPr>
              <w:pStyle w:val="8"/>
              <w:spacing w:before="47" w:line="271" w:lineRule="auto"/>
              <w:ind w:left="79" w:right="161" w:firstLine="6"/>
            </w:pPr>
            <w:r>
              <w:rPr>
                <w:color w:val="5F6A72"/>
                <w:spacing w:val="-13"/>
              </w:rPr>
              <w:t>Energy (35%), Roch</w:t>
            </w:r>
            <w:r>
              <w:rPr>
                <w:color w:val="5F6A72"/>
                <w:spacing w:val="5"/>
              </w:rPr>
              <w:t xml:space="preserve">  </w:t>
            </w:r>
            <w:r>
              <w:rPr>
                <w:color w:val="5F6A72"/>
                <w:spacing w:val="-12"/>
              </w:rPr>
              <w:t>(10%), GyP Neuquen</w:t>
            </w:r>
          </w:p>
          <w:p w14:paraId="09858EF1">
            <w:pPr>
              <w:pStyle w:val="8"/>
              <w:spacing w:before="33" w:line="234" w:lineRule="auto"/>
              <w:ind w:left="79"/>
            </w:pPr>
            <w:r>
              <w:rPr>
                <w:color w:val="5F6A72"/>
                <w:spacing w:val="-12"/>
              </w:rPr>
              <w:t>(10%)</w:t>
            </w:r>
          </w:p>
        </w:tc>
        <w:tc>
          <w:tcPr>
            <w:tcW w:w="1071" w:type="dxa"/>
            <w:tcBorders>
              <w:left w:val="nil"/>
              <w:right w:val="nil"/>
            </w:tcBorders>
            <w:shd w:val="clear" w:color="auto" w:fill="EAF9FF"/>
            <w:vAlign w:val="top"/>
          </w:tcPr>
          <w:p w14:paraId="2463DC10">
            <w:pPr>
              <w:pStyle w:val="8"/>
              <w:spacing w:before="177" w:line="90" w:lineRule="exact"/>
              <w:ind w:left="80"/>
            </w:pPr>
            <w:r>
              <w:rPr>
                <w:color w:val="5F6A72"/>
                <w:position w:val="-6"/>
              </w:rPr>
              <w:t>-</w:t>
            </w:r>
          </w:p>
        </w:tc>
        <w:tc>
          <w:tcPr>
            <w:tcW w:w="1143" w:type="dxa"/>
            <w:tcBorders>
              <w:left w:val="nil"/>
              <w:right w:val="nil"/>
            </w:tcBorders>
            <w:shd w:val="clear" w:color="auto" w:fill="EAF9FF"/>
            <w:vAlign w:val="top"/>
          </w:tcPr>
          <w:p w14:paraId="1E924BDF">
            <w:pPr>
              <w:pStyle w:val="8"/>
              <w:spacing w:before="69" w:line="236" w:lineRule="auto"/>
              <w:ind w:left="86"/>
            </w:pPr>
            <w:r>
              <w:rPr>
                <w:color w:val="5F6A72"/>
                <w:spacing w:val="-8"/>
              </w:rPr>
              <w:t>Exploration</w:t>
            </w:r>
          </w:p>
        </w:tc>
        <w:tc>
          <w:tcPr>
            <w:tcW w:w="809" w:type="dxa"/>
            <w:tcBorders>
              <w:left w:val="nil"/>
              <w:right w:val="nil"/>
            </w:tcBorders>
            <w:shd w:val="clear" w:color="auto" w:fill="EAF9FF"/>
            <w:vAlign w:val="top"/>
          </w:tcPr>
          <w:p w14:paraId="224BF709">
            <w:pPr>
              <w:pStyle w:val="8"/>
              <w:spacing w:before="143" w:line="125" w:lineRule="exact"/>
              <w:ind w:left="84"/>
            </w:pPr>
            <w:r>
              <w:rPr>
                <w:color w:val="5F6A72"/>
                <w:spacing w:val="-8"/>
                <w:position w:val="-2"/>
              </w:rPr>
              <w:t>na</w:t>
            </w:r>
          </w:p>
        </w:tc>
        <w:tc>
          <w:tcPr>
            <w:tcW w:w="712" w:type="dxa"/>
            <w:tcBorders>
              <w:left w:val="nil"/>
              <w:right w:val="nil"/>
            </w:tcBorders>
            <w:shd w:val="clear" w:color="auto" w:fill="EAF9FF"/>
            <w:vAlign w:val="top"/>
          </w:tcPr>
          <w:p w14:paraId="624C28AD">
            <w:pPr>
              <w:pStyle w:val="8"/>
              <w:spacing w:before="143" w:line="125" w:lineRule="exact"/>
              <w:ind w:left="84"/>
            </w:pPr>
            <w:r>
              <w:rPr>
                <w:color w:val="5F6A72"/>
                <w:spacing w:val="-8"/>
                <w:position w:val="-2"/>
              </w:rPr>
              <w:t>na</w:t>
            </w:r>
          </w:p>
        </w:tc>
        <w:tc>
          <w:tcPr>
            <w:tcW w:w="1014" w:type="dxa"/>
            <w:tcBorders>
              <w:left w:val="nil"/>
              <w:right w:val="nil"/>
            </w:tcBorders>
            <w:shd w:val="clear" w:color="auto" w:fill="EAF9FF"/>
            <w:vAlign w:val="top"/>
          </w:tcPr>
          <w:p w14:paraId="340DB0E9">
            <w:pPr>
              <w:pStyle w:val="8"/>
              <w:spacing w:before="69" w:line="234" w:lineRule="auto"/>
              <w:ind w:left="81"/>
            </w:pPr>
            <w:r>
              <w:rPr>
                <w:color w:val="5F6A72"/>
                <w:spacing w:val="-11"/>
              </w:rPr>
              <w:t>Oil &amp; gas</w:t>
            </w:r>
          </w:p>
        </w:tc>
        <w:tc>
          <w:tcPr>
            <w:tcW w:w="783" w:type="dxa"/>
            <w:tcBorders>
              <w:left w:val="nil"/>
              <w:right w:val="nil"/>
            </w:tcBorders>
            <w:shd w:val="clear" w:color="auto" w:fill="EAF9FF"/>
            <w:vAlign w:val="top"/>
          </w:tcPr>
          <w:p w14:paraId="7ADF68BD">
            <w:pPr>
              <w:pStyle w:val="8"/>
              <w:spacing w:before="108" w:line="186" w:lineRule="auto"/>
              <w:ind w:left="81"/>
            </w:pPr>
            <w:r>
              <w:rPr>
                <w:color w:val="5F6A72"/>
                <w:spacing w:val="-9"/>
              </w:rPr>
              <w:t>Onshore</w:t>
            </w:r>
          </w:p>
        </w:tc>
      </w:tr>
      <w:tr w14:paraId="130D85D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1080" w:type="dxa"/>
            <w:tcBorders>
              <w:left w:val="nil"/>
            </w:tcBorders>
            <w:vAlign w:val="top"/>
          </w:tcPr>
          <w:p w14:paraId="129869F4">
            <w:pPr>
              <w:pStyle w:val="8"/>
              <w:spacing w:before="70" w:line="290" w:lineRule="auto"/>
              <w:ind w:left="18" w:right="71"/>
            </w:pPr>
            <w:r>
              <w:rPr>
                <w:color w:val="2A8ABF"/>
                <w:spacing w:val="-11"/>
              </w:rPr>
              <w:t>Block</w:t>
            </w:r>
            <w:r>
              <w:rPr>
                <w:color w:val="2A8ABF"/>
                <w:spacing w:val="-9"/>
              </w:rPr>
              <w:t xml:space="preserve"> </w:t>
            </w:r>
            <w:r>
              <w:rPr>
                <w:color w:val="2A8ABF"/>
                <w:spacing w:val="-11"/>
              </w:rPr>
              <w:t>Cuenca</w:t>
            </w:r>
            <w:r>
              <w:rPr>
                <w:color w:val="2A8ABF"/>
              </w:rPr>
              <w:t xml:space="preserve"> </w:t>
            </w:r>
            <w:r>
              <w:rPr>
                <w:color w:val="2A8ABF"/>
                <w:spacing w:val="-9"/>
              </w:rPr>
              <w:t>Marina</w:t>
            </w:r>
          </w:p>
          <w:p w14:paraId="3B4B055C">
            <w:pPr>
              <w:pStyle w:val="8"/>
              <w:spacing w:line="270" w:lineRule="auto"/>
              <w:ind w:left="10" w:right="404" w:hanging="7"/>
            </w:pPr>
            <w:r>
              <w:rPr>
                <w:color w:val="2A8ABF"/>
                <w:spacing w:val="-7"/>
              </w:rPr>
              <w:t>Austral-1</w:t>
            </w:r>
            <w:r>
              <w:rPr>
                <w:color w:val="2A8ABF"/>
                <w:spacing w:val="5"/>
              </w:rPr>
              <w:t xml:space="preserve"> </w:t>
            </w:r>
            <w:r>
              <w:rPr>
                <w:color w:val="2A8ABF"/>
                <w:spacing w:val="-13"/>
                <w:w w:val="96"/>
              </w:rPr>
              <w:t>(CMA)</w:t>
            </w:r>
          </w:p>
        </w:tc>
        <w:tc>
          <w:tcPr>
            <w:tcW w:w="1853" w:type="dxa"/>
            <w:tcBorders>
              <w:right w:val="nil"/>
            </w:tcBorders>
            <w:vAlign w:val="top"/>
          </w:tcPr>
          <w:p w14:paraId="169131B5">
            <w:pPr>
              <w:pStyle w:val="8"/>
              <w:spacing w:before="70" w:line="234" w:lineRule="auto"/>
              <w:ind w:left="72"/>
            </w:pPr>
            <w:r>
              <w:rPr>
                <w:color w:val="5F6A72"/>
                <w:spacing w:val="-12"/>
              </w:rPr>
              <w:t>Vega Pleyade</w:t>
            </w:r>
          </w:p>
        </w:tc>
        <w:tc>
          <w:tcPr>
            <w:tcW w:w="1739" w:type="dxa"/>
            <w:tcBorders>
              <w:left w:val="nil"/>
              <w:right w:val="nil"/>
            </w:tcBorders>
            <w:vAlign w:val="top"/>
          </w:tcPr>
          <w:p w14:paraId="25745718">
            <w:pPr>
              <w:pStyle w:val="8"/>
              <w:spacing w:before="70" w:line="286" w:lineRule="auto"/>
              <w:ind w:left="71" w:right="360" w:firstLine="1"/>
              <w:jc w:val="both"/>
            </w:pPr>
            <w:r>
              <w:rPr>
                <w:color w:val="5F6A72"/>
                <w:spacing w:val="-12"/>
              </w:rPr>
              <w:t>Total (37.5%), Pan</w:t>
            </w:r>
            <w:r>
              <w:rPr>
                <w:color w:val="5F6A72"/>
                <w:spacing w:val="9"/>
              </w:rPr>
              <w:t xml:space="preserve"> </w:t>
            </w:r>
            <w:r>
              <w:rPr>
                <w:color w:val="5F6A72"/>
                <w:spacing w:val="-9"/>
              </w:rPr>
              <w:t>American Energy</w:t>
            </w:r>
            <w:r>
              <w:rPr>
                <w:color w:val="5F6A72"/>
                <w:spacing w:val="4"/>
              </w:rPr>
              <w:t xml:space="preserve"> </w:t>
            </w:r>
            <w:r>
              <w:rPr>
                <w:color w:val="5F6A72"/>
                <w:spacing w:val="-9"/>
              </w:rPr>
              <w:t>(25%),</w:t>
            </w:r>
            <w:r>
              <w:rPr>
                <w:color w:val="5F6A72"/>
                <w:spacing w:val="-12"/>
              </w:rPr>
              <w:t xml:space="preserve"> </w:t>
            </w:r>
            <w:r>
              <w:rPr>
                <w:color w:val="5F6A72"/>
                <w:spacing w:val="-9"/>
              </w:rPr>
              <w:t>Wintershall</w:t>
            </w:r>
            <w:r>
              <w:rPr>
                <w:color w:val="5F6A72"/>
              </w:rPr>
              <w:t xml:space="preserve"> </w:t>
            </w:r>
            <w:r>
              <w:rPr>
                <w:color w:val="5F6A72"/>
                <w:spacing w:val="-10"/>
              </w:rPr>
              <w:t>(37.5%)</w:t>
            </w:r>
          </w:p>
        </w:tc>
        <w:tc>
          <w:tcPr>
            <w:tcW w:w="1071" w:type="dxa"/>
            <w:tcBorders>
              <w:left w:val="nil"/>
              <w:right w:val="nil"/>
            </w:tcBorders>
            <w:vAlign w:val="top"/>
          </w:tcPr>
          <w:p w14:paraId="467CC74C">
            <w:pPr>
              <w:pStyle w:val="8"/>
              <w:spacing w:before="70" w:line="237" w:lineRule="exact"/>
              <w:ind w:left="81"/>
            </w:pPr>
            <w:r>
              <w:rPr>
                <w:color w:val="5F6A72"/>
                <w:spacing w:val="-5"/>
                <w:position w:val="1"/>
              </w:rPr>
              <w:t>2016</w:t>
            </w:r>
          </w:p>
        </w:tc>
        <w:tc>
          <w:tcPr>
            <w:tcW w:w="1143" w:type="dxa"/>
            <w:tcBorders>
              <w:left w:val="nil"/>
              <w:right w:val="nil"/>
            </w:tcBorders>
            <w:vAlign w:val="top"/>
          </w:tcPr>
          <w:p w14:paraId="75D7BB6F">
            <w:pPr>
              <w:pStyle w:val="8"/>
              <w:spacing w:before="70" w:line="236" w:lineRule="auto"/>
              <w:ind w:left="86"/>
            </w:pPr>
            <w:r>
              <w:rPr>
                <w:color w:val="5F6A72"/>
                <w:spacing w:val="-7"/>
              </w:rPr>
              <w:t>Development</w:t>
            </w:r>
          </w:p>
        </w:tc>
        <w:tc>
          <w:tcPr>
            <w:tcW w:w="809" w:type="dxa"/>
            <w:tcBorders>
              <w:left w:val="nil"/>
              <w:right w:val="nil"/>
            </w:tcBorders>
            <w:vAlign w:val="top"/>
          </w:tcPr>
          <w:p w14:paraId="58865F58">
            <w:pPr>
              <w:pStyle w:val="8"/>
              <w:spacing w:before="70" w:line="214" w:lineRule="exact"/>
              <w:ind w:left="79"/>
            </w:pPr>
            <w:r>
              <w:rPr>
                <w:color w:val="5F6A72"/>
                <w:spacing w:val="-5"/>
                <w:position w:val="1"/>
              </w:rPr>
              <w:t>70,000</w:t>
            </w:r>
          </w:p>
        </w:tc>
        <w:tc>
          <w:tcPr>
            <w:tcW w:w="712" w:type="dxa"/>
            <w:tcBorders>
              <w:left w:val="nil"/>
              <w:right w:val="nil"/>
            </w:tcBorders>
            <w:vAlign w:val="top"/>
          </w:tcPr>
          <w:p w14:paraId="01CEB7E2">
            <w:pPr>
              <w:pStyle w:val="8"/>
              <w:spacing w:before="144" w:line="126" w:lineRule="exact"/>
              <w:ind w:left="84"/>
            </w:pPr>
            <w:r>
              <w:rPr>
                <w:color w:val="5F6A72"/>
                <w:spacing w:val="-8"/>
                <w:position w:val="-2"/>
              </w:rPr>
              <w:t>na</w:t>
            </w:r>
          </w:p>
        </w:tc>
        <w:tc>
          <w:tcPr>
            <w:tcW w:w="1014" w:type="dxa"/>
            <w:tcBorders>
              <w:left w:val="nil"/>
              <w:right w:val="nil"/>
            </w:tcBorders>
            <w:vAlign w:val="top"/>
          </w:tcPr>
          <w:p w14:paraId="216C830A">
            <w:pPr>
              <w:pStyle w:val="8"/>
              <w:spacing w:before="70" w:line="237" w:lineRule="exact"/>
              <w:ind w:left="81"/>
            </w:pPr>
            <w:r>
              <w:rPr>
                <w:color w:val="5F6A72"/>
                <w:spacing w:val="-16"/>
                <w:position w:val="1"/>
              </w:rPr>
              <w:t>Gas &amp;</w:t>
            </w:r>
          </w:p>
          <w:p w14:paraId="374A7EBC">
            <w:pPr>
              <w:pStyle w:val="8"/>
              <w:spacing w:before="13" w:line="237" w:lineRule="exact"/>
              <w:ind w:left="80"/>
            </w:pPr>
            <w:r>
              <w:rPr>
                <w:color w:val="5F6A72"/>
                <w:spacing w:val="-7"/>
                <w:position w:val="1"/>
              </w:rPr>
              <w:t>condensate</w:t>
            </w:r>
          </w:p>
        </w:tc>
        <w:tc>
          <w:tcPr>
            <w:tcW w:w="783" w:type="dxa"/>
            <w:tcBorders>
              <w:left w:val="nil"/>
              <w:right w:val="nil"/>
            </w:tcBorders>
            <w:vAlign w:val="top"/>
          </w:tcPr>
          <w:p w14:paraId="4D0D3031">
            <w:pPr>
              <w:pStyle w:val="8"/>
              <w:spacing w:before="70" w:line="237" w:lineRule="exact"/>
              <w:ind w:left="81"/>
            </w:pPr>
            <w:r>
              <w:rPr>
                <w:color w:val="5F6A72"/>
                <w:spacing w:val="-7"/>
                <w:position w:val="1"/>
              </w:rPr>
              <w:t>Offshore</w:t>
            </w:r>
          </w:p>
        </w:tc>
      </w:tr>
      <w:tr w14:paraId="5AF495F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1080" w:type="dxa"/>
            <w:tcBorders>
              <w:left w:val="nil"/>
            </w:tcBorders>
            <w:shd w:val="clear" w:color="auto" w:fill="EAF9FF"/>
            <w:vAlign w:val="top"/>
          </w:tcPr>
          <w:p w14:paraId="098B56F0">
            <w:pPr>
              <w:pStyle w:val="8"/>
              <w:spacing w:before="71" w:line="290" w:lineRule="auto"/>
              <w:ind w:left="18" w:right="71"/>
            </w:pPr>
            <w:r>
              <w:rPr>
                <w:color w:val="2A8ABF"/>
                <w:spacing w:val="-11"/>
              </w:rPr>
              <w:t>Block</w:t>
            </w:r>
            <w:r>
              <w:rPr>
                <w:color w:val="2A8ABF"/>
                <w:spacing w:val="-9"/>
              </w:rPr>
              <w:t xml:space="preserve"> </w:t>
            </w:r>
            <w:r>
              <w:rPr>
                <w:color w:val="2A8ABF"/>
                <w:spacing w:val="-11"/>
              </w:rPr>
              <w:t>Cuenca</w:t>
            </w:r>
            <w:r>
              <w:rPr>
                <w:color w:val="2A8ABF"/>
              </w:rPr>
              <w:t xml:space="preserve"> </w:t>
            </w:r>
            <w:r>
              <w:rPr>
                <w:color w:val="2A8ABF"/>
                <w:spacing w:val="-9"/>
              </w:rPr>
              <w:t>Marina</w:t>
            </w:r>
          </w:p>
          <w:p w14:paraId="1A6C6A62">
            <w:pPr>
              <w:pStyle w:val="8"/>
              <w:spacing w:line="270" w:lineRule="auto"/>
              <w:ind w:left="10" w:right="404" w:hanging="7"/>
            </w:pPr>
            <w:r>
              <w:rPr>
                <w:color w:val="2A8ABF"/>
                <w:spacing w:val="-7"/>
              </w:rPr>
              <w:t>Austral-1</w:t>
            </w:r>
            <w:r>
              <w:rPr>
                <w:color w:val="2A8ABF"/>
                <w:spacing w:val="5"/>
              </w:rPr>
              <w:t xml:space="preserve"> </w:t>
            </w:r>
            <w:r>
              <w:rPr>
                <w:color w:val="2A8ABF"/>
                <w:spacing w:val="-13"/>
                <w:w w:val="96"/>
              </w:rPr>
              <w:t>(CMA)</w:t>
            </w:r>
          </w:p>
        </w:tc>
        <w:tc>
          <w:tcPr>
            <w:tcW w:w="1853" w:type="dxa"/>
            <w:tcBorders>
              <w:right w:val="nil"/>
            </w:tcBorders>
            <w:shd w:val="clear" w:color="auto" w:fill="EAF9FF"/>
            <w:vAlign w:val="top"/>
          </w:tcPr>
          <w:p w14:paraId="457C40BA">
            <w:pPr>
              <w:pStyle w:val="8"/>
              <w:spacing w:before="111" w:line="177" w:lineRule="auto"/>
              <w:ind w:left="80"/>
            </w:pPr>
            <w:r>
              <w:rPr>
                <w:color w:val="5F6A72"/>
                <w:spacing w:val="-11"/>
              </w:rPr>
              <w:t>Carina,</w:t>
            </w:r>
            <w:r>
              <w:rPr>
                <w:color w:val="5F6A72"/>
                <w:spacing w:val="-5"/>
              </w:rPr>
              <w:t xml:space="preserve"> </w:t>
            </w:r>
            <w:r>
              <w:rPr>
                <w:color w:val="5F6A72"/>
                <w:spacing w:val="-11"/>
              </w:rPr>
              <w:t>Aries</w:t>
            </w:r>
          </w:p>
        </w:tc>
        <w:tc>
          <w:tcPr>
            <w:tcW w:w="1739" w:type="dxa"/>
            <w:tcBorders>
              <w:left w:val="nil"/>
              <w:right w:val="nil"/>
            </w:tcBorders>
            <w:shd w:val="clear" w:color="auto" w:fill="EAF9FF"/>
            <w:vAlign w:val="top"/>
          </w:tcPr>
          <w:p w14:paraId="14C3349F">
            <w:pPr>
              <w:pStyle w:val="8"/>
              <w:spacing w:before="71" w:line="234" w:lineRule="auto"/>
              <w:ind w:left="73"/>
            </w:pPr>
            <w:r>
              <w:rPr>
                <w:color w:val="5F6A72"/>
                <w:spacing w:val="-10"/>
              </w:rPr>
              <w:t>Total (37.5%),</w:t>
            </w:r>
          </w:p>
          <w:p w14:paraId="3A49AAD4">
            <w:pPr>
              <w:pStyle w:val="8"/>
              <w:spacing w:before="48" w:line="288" w:lineRule="auto"/>
              <w:ind w:left="78" w:right="99" w:hanging="7"/>
            </w:pPr>
            <w:r>
              <w:rPr>
                <w:color w:val="5F6A72"/>
                <w:spacing w:val="-10"/>
              </w:rPr>
              <w:t>Wintershall (37.5%),</w:t>
            </w:r>
            <w:r>
              <w:rPr>
                <w:color w:val="5F6A72"/>
                <w:spacing w:val="5"/>
              </w:rPr>
              <w:t xml:space="preserve"> </w:t>
            </w:r>
            <w:r>
              <w:rPr>
                <w:color w:val="5F6A72"/>
                <w:spacing w:val="-10"/>
              </w:rPr>
              <w:t>Pan</w:t>
            </w:r>
            <w:r>
              <w:rPr>
                <w:color w:val="5F6A72"/>
                <w:spacing w:val="-13"/>
              </w:rPr>
              <w:t xml:space="preserve"> </w:t>
            </w:r>
            <w:r>
              <w:rPr>
                <w:color w:val="5F6A72"/>
                <w:spacing w:val="-10"/>
              </w:rPr>
              <w:t>American Energy</w:t>
            </w:r>
            <w:r>
              <w:rPr>
                <w:color w:val="5F6A72"/>
              </w:rPr>
              <w:t xml:space="preserve"> </w:t>
            </w:r>
            <w:r>
              <w:rPr>
                <w:color w:val="5F6A72"/>
                <w:spacing w:val="-12"/>
              </w:rPr>
              <w:t>(25%)</w:t>
            </w:r>
          </w:p>
        </w:tc>
        <w:tc>
          <w:tcPr>
            <w:tcW w:w="1071" w:type="dxa"/>
            <w:tcBorders>
              <w:left w:val="nil"/>
              <w:right w:val="nil"/>
            </w:tcBorders>
            <w:shd w:val="clear" w:color="auto" w:fill="EAF9FF"/>
            <w:vAlign w:val="top"/>
          </w:tcPr>
          <w:p w14:paraId="7B7DD12F">
            <w:pPr>
              <w:pStyle w:val="8"/>
              <w:spacing w:before="72" w:line="237" w:lineRule="exact"/>
              <w:ind w:left="81"/>
            </w:pPr>
            <w:r>
              <w:rPr>
                <w:color w:val="5F6A72"/>
                <w:spacing w:val="-5"/>
                <w:position w:val="1"/>
              </w:rPr>
              <w:t>2005</w:t>
            </w:r>
          </w:p>
        </w:tc>
        <w:tc>
          <w:tcPr>
            <w:tcW w:w="1143" w:type="dxa"/>
            <w:tcBorders>
              <w:left w:val="nil"/>
              <w:right w:val="nil"/>
            </w:tcBorders>
            <w:shd w:val="clear" w:color="auto" w:fill="EAF9FF"/>
            <w:vAlign w:val="top"/>
          </w:tcPr>
          <w:p w14:paraId="1986F215">
            <w:pPr>
              <w:pStyle w:val="8"/>
              <w:spacing w:before="72" w:line="237" w:lineRule="exact"/>
              <w:ind w:left="86"/>
            </w:pPr>
            <w:r>
              <w:rPr>
                <w:color w:val="5F6A72"/>
                <w:spacing w:val="-6"/>
                <w:position w:val="1"/>
              </w:rPr>
              <w:t>Production</w:t>
            </w:r>
          </w:p>
        </w:tc>
        <w:tc>
          <w:tcPr>
            <w:tcW w:w="809" w:type="dxa"/>
            <w:tcBorders>
              <w:left w:val="nil"/>
              <w:right w:val="nil"/>
            </w:tcBorders>
            <w:shd w:val="clear" w:color="auto" w:fill="EAF9FF"/>
            <w:vAlign w:val="top"/>
          </w:tcPr>
          <w:p w14:paraId="6B10BEAD">
            <w:pPr>
              <w:pStyle w:val="8"/>
              <w:spacing w:before="145" w:line="126" w:lineRule="exact"/>
              <w:ind w:left="84"/>
            </w:pPr>
            <w:r>
              <w:rPr>
                <w:color w:val="5F6A72"/>
                <w:spacing w:val="-8"/>
                <w:position w:val="-2"/>
              </w:rPr>
              <w:t>na</w:t>
            </w:r>
          </w:p>
        </w:tc>
        <w:tc>
          <w:tcPr>
            <w:tcW w:w="712" w:type="dxa"/>
            <w:tcBorders>
              <w:left w:val="nil"/>
              <w:right w:val="nil"/>
            </w:tcBorders>
            <w:shd w:val="clear" w:color="auto" w:fill="EAF9FF"/>
            <w:vAlign w:val="top"/>
          </w:tcPr>
          <w:p w14:paraId="582580DE">
            <w:pPr>
              <w:pStyle w:val="8"/>
              <w:spacing w:before="72" w:line="237" w:lineRule="exact"/>
              <w:ind w:left="79"/>
            </w:pPr>
            <w:r>
              <w:rPr>
                <w:color w:val="5F6A72"/>
                <w:spacing w:val="-6"/>
                <w:position w:val="1"/>
              </w:rPr>
              <w:t>3.2</w:t>
            </w:r>
          </w:p>
        </w:tc>
        <w:tc>
          <w:tcPr>
            <w:tcW w:w="1014" w:type="dxa"/>
            <w:tcBorders>
              <w:left w:val="nil"/>
              <w:right w:val="nil"/>
            </w:tcBorders>
            <w:shd w:val="clear" w:color="auto" w:fill="EAF9FF"/>
            <w:vAlign w:val="top"/>
          </w:tcPr>
          <w:p w14:paraId="4D26CC9E">
            <w:pPr>
              <w:pStyle w:val="8"/>
              <w:spacing w:before="72" w:line="236" w:lineRule="exact"/>
              <w:ind w:left="81"/>
            </w:pPr>
            <w:r>
              <w:rPr>
                <w:color w:val="5F6A72"/>
                <w:spacing w:val="-16"/>
                <w:position w:val="1"/>
              </w:rPr>
              <w:t>Gas &amp;</w:t>
            </w:r>
          </w:p>
          <w:p w14:paraId="5C3F4A93">
            <w:pPr>
              <w:pStyle w:val="8"/>
              <w:spacing w:before="13" w:line="237" w:lineRule="exact"/>
              <w:ind w:left="80"/>
            </w:pPr>
            <w:r>
              <w:rPr>
                <w:color w:val="5F6A72"/>
                <w:spacing w:val="-7"/>
                <w:position w:val="1"/>
              </w:rPr>
              <w:t>condensate</w:t>
            </w:r>
          </w:p>
        </w:tc>
        <w:tc>
          <w:tcPr>
            <w:tcW w:w="783" w:type="dxa"/>
            <w:tcBorders>
              <w:left w:val="nil"/>
              <w:right w:val="nil"/>
            </w:tcBorders>
            <w:shd w:val="clear" w:color="auto" w:fill="EAF9FF"/>
            <w:vAlign w:val="top"/>
          </w:tcPr>
          <w:p w14:paraId="5000B8D0">
            <w:pPr>
              <w:pStyle w:val="8"/>
              <w:spacing w:before="72" w:line="237" w:lineRule="exact"/>
              <w:ind w:left="81"/>
            </w:pPr>
            <w:r>
              <w:rPr>
                <w:color w:val="5F6A72"/>
                <w:spacing w:val="-7"/>
                <w:position w:val="1"/>
              </w:rPr>
              <w:t>Offshore</w:t>
            </w:r>
          </w:p>
        </w:tc>
      </w:tr>
      <w:tr w14:paraId="6819EDB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80" w:type="dxa"/>
            <w:tcBorders>
              <w:left w:val="nil"/>
            </w:tcBorders>
            <w:vAlign w:val="top"/>
          </w:tcPr>
          <w:p w14:paraId="512B170B">
            <w:pPr>
              <w:pStyle w:val="8"/>
              <w:spacing w:before="73" w:line="237" w:lineRule="exact"/>
              <w:ind w:left="18"/>
            </w:pPr>
            <w:r>
              <w:rPr>
                <w:color w:val="2A8ABF"/>
                <w:spacing w:val="-10"/>
                <w:position w:val="1"/>
              </w:rPr>
              <w:t>Block La</w:t>
            </w:r>
          </w:p>
          <w:p w14:paraId="48D3AAD8">
            <w:pPr>
              <w:pStyle w:val="8"/>
              <w:spacing w:before="12" w:line="237" w:lineRule="exact"/>
              <w:ind w:left="18"/>
            </w:pPr>
            <w:r>
              <w:rPr>
                <w:color w:val="2A8ABF"/>
                <w:spacing w:val="-8"/>
                <w:position w:val="1"/>
              </w:rPr>
              <w:t>Invernada</w:t>
            </w:r>
          </w:p>
        </w:tc>
        <w:tc>
          <w:tcPr>
            <w:tcW w:w="1853" w:type="dxa"/>
            <w:tcBorders>
              <w:right w:val="nil"/>
            </w:tcBorders>
            <w:vAlign w:val="top"/>
          </w:tcPr>
          <w:p w14:paraId="2E70F723">
            <w:pPr>
              <w:pStyle w:val="8"/>
              <w:spacing w:before="73" w:line="237" w:lineRule="exact"/>
              <w:ind w:left="86"/>
            </w:pPr>
            <w:r>
              <w:rPr>
                <w:color w:val="5F6A72"/>
                <w:spacing w:val="-10"/>
                <w:position w:val="1"/>
              </w:rPr>
              <w:t>Block La Invernada</w:t>
            </w:r>
          </w:p>
        </w:tc>
        <w:tc>
          <w:tcPr>
            <w:tcW w:w="1739" w:type="dxa"/>
            <w:tcBorders>
              <w:left w:val="nil"/>
              <w:right w:val="nil"/>
            </w:tcBorders>
            <w:vAlign w:val="top"/>
          </w:tcPr>
          <w:p w14:paraId="779BA504">
            <w:pPr>
              <w:pStyle w:val="8"/>
              <w:spacing w:before="72" w:line="271" w:lineRule="auto"/>
              <w:ind w:left="85" w:right="161" w:hanging="5"/>
            </w:pPr>
            <w:r>
              <w:rPr>
                <w:color w:val="5F6A72"/>
                <w:spacing w:val="-12"/>
              </w:rPr>
              <w:t>GyP Neuquen (10%),</w:t>
            </w:r>
            <w:r>
              <w:rPr>
                <w:color w:val="5F6A72"/>
              </w:rPr>
              <w:t xml:space="preserve"> </w:t>
            </w:r>
            <w:r>
              <w:rPr>
                <w:color w:val="5F6A72"/>
                <w:spacing w:val="-12"/>
              </w:rPr>
              <w:t>ExxonMobil (90%)</w:t>
            </w:r>
          </w:p>
        </w:tc>
        <w:tc>
          <w:tcPr>
            <w:tcW w:w="1071" w:type="dxa"/>
            <w:tcBorders>
              <w:left w:val="nil"/>
              <w:right w:val="nil"/>
            </w:tcBorders>
            <w:vAlign w:val="top"/>
          </w:tcPr>
          <w:p w14:paraId="06637B84">
            <w:pPr>
              <w:pStyle w:val="8"/>
              <w:spacing w:before="181" w:line="90" w:lineRule="exact"/>
              <w:ind w:left="80"/>
            </w:pPr>
            <w:r>
              <w:rPr>
                <w:color w:val="5F6A72"/>
                <w:position w:val="-6"/>
              </w:rPr>
              <w:t>-</w:t>
            </w:r>
          </w:p>
        </w:tc>
        <w:tc>
          <w:tcPr>
            <w:tcW w:w="1143" w:type="dxa"/>
            <w:tcBorders>
              <w:left w:val="nil"/>
              <w:right w:val="nil"/>
            </w:tcBorders>
            <w:vAlign w:val="top"/>
          </w:tcPr>
          <w:p w14:paraId="3D3F8465">
            <w:pPr>
              <w:pStyle w:val="8"/>
              <w:spacing w:before="73" w:line="236" w:lineRule="auto"/>
              <w:ind w:left="86"/>
            </w:pPr>
            <w:r>
              <w:rPr>
                <w:color w:val="5F6A72"/>
                <w:spacing w:val="-8"/>
              </w:rPr>
              <w:t>Exploration</w:t>
            </w:r>
          </w:p>
        </w:tc>
        <w:tc>
          <w:tcPr>
            <w:tcW w:w="809" w:type="dxa"/>
            <w:tcBorders>
              <w:left w:val="nil"/>
              <w:right w:val="nil"/>
            </w:tcBorders>
            <w:vAlign w:val="top"/>
          </w:tcPr>
          <w:p w14:paraId="444EB60F">
            <w:pPr>
              <w:pStyle w:val="8"/>
              <w:spacing w:before="147" w:line="126" w:lineRule="exact"/>
              <w:ind w:left="84"/>
            </w:pPr>
            <w:r>
              <w:rPr>
                <w:color w:val="5F6A72"/>
                <w:spacing w:val="-8"/>
                <w:position w:val="-2"/>
              </w:rPr>
              <w:t>na</w:t>
            </w:r>
          </w:p>
        </w:tc>
        <w:tc>
          <w:tcPr>
            <w:tcW w:w="712" w:type="dxa"/>
            <w:tcBorders>
              <w:left w:val="nil"/>
              <w:right w:val="nil"/>
            </w:tcBorders>
            <w:vAlign w:val="top"/>
          </w:tcPr>
          <w:p w14:paraId="0631A50B">
            <w:pPr>
              <w:pStyle w:val="8"/>
              <w:spacing w:before="147" w:line="126" w:lineRule="exact"/>
              <w:ind w:left="84"/>
            </w:pPr>
            <w:r>
              <w:rPr>
                <w:color w:val="5F6A72"/>
                <w:spacing w:val="-8"/>
                <w:position w:val="-2"/>
              </w:rPr>
              <w:t>na</w:t>
            </w:r>
          </w:p>
        </w:tc>
        <w:tc>
          <w:tcPr>
            <w:tcW w:w="1014" w:type="dxa"/>
            <w:tcBorders>
              <w:left w:val="nil"/>
              <w:right w:val="nil"/>
            </w:tcBorders>
            <w:vAlign w:val="top"/>
          </w:tcPr>
          <w:p w14:paraId="79CECA66">
            <w:pPr>
              <w:pStyle w:val="8"/>
              <w:spacing w:before="73" w:line="237" w:lineRule="exact"/>
              <w:ind w:left="77"/>
            </w:pPr>
            <w:r>
              <w:rPr>
                <w:color w:val="5F6A72"/>
                <w:spacing w:val="-9"/>
                <w:position w:val="1"/>
              </w:rPr>
              <w:t>Shale oil</w:t>
            </w:r>
          </w:p>
          <w:p w14:paraId="689540A7">
            <w:pPr>
              <w:pStyle w:val="8"/>
              <w:spacing w:before="12" w:line="234" w:lineRule="auto"/>
              <w:ind w:left="79"/>
            </w:pPr>
            <w:r>
              <w:rPr>
                <w:color w:val="5F6A72"/>
                <w:spacing w:val="-10"/>
              </w:rPr>
              <w:t>and gas</w:t>
            </w:r>
          </w:p>
        </w:tc>
        <w:tc>
          <w:tcPr>
            <w:tcW w:w="783" w:type="dxa"/>
            <w:tcBorders>
              <w:left w:val="nil"/>
              <w:right w:val="nil"/>
            </w:tcBorders>
            <w:vAlign w:val="top"/>
          </w:tcPr>
          <w:p w14:paraId="44CEFB4B">
            <w:pPr>
              <w:pStyle w:val="8"/>
              <w:spacing w:before="112" w:line="186" w:lineRule="auto"/>
              <w:ind w:left="81"/>
            </w:pPr>
            <w:r>
              <w:rPr>
                <w:color w:val="5F6A72"/>
                <w:spacing w:val="-9"/>
              </w:rPr>
              <w:t>Onshore</w:t>
            </w:r>
          </w:p>
        </w:tc>
      </w:tr>
      <w:tr w14:paraId="755C4A1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80" w:type="dxa"/>
            <w:tcBorders>
              <w:left w:val="nil"/>
            </w:tcBorders>
            <w:shd w:val="clear" w:color="auto" w:fill="EAF9FF"/>
            <w:vAlign w:val="top"/>
          </w:tcPr>
          <w:p w14:paraId="76579E85">
            <w:pPr>
              <w:pStyle w:val="8"/>
              <w:spacing w:before="74" w:line="291" w:lineRule="auto"/>
              <w:ind w:left="18" w:right="42"/>
            </w:pPr>
            <w:r>
              <w:rPr>
                <w:color w:val="2A8ABF"/>
                <w:spacing w:val="-11"/>
              </w:rPr>
              <w:t>Block Perales-</w:t>
            </w:r>
            <w:r>
              <w:rPr>
                <w:color w:val="2A8ABF"/>
                <w:spacing w:val="4"/>
              </w:rPr>
              <w:t xml:space="preserve"> </w:t>
            </w:r>
            <w:r>
              <w:rPr>
                <w:color w:val="2A8ABF"/>
                <w:spacing w:val="-12"/>
              </w:rPr>
              <w:t>Las Meseta</w:t>
            </w:r>
          </w:p>
        </w:tc>
        <w:tc>
          <w:tcPr>
            <w:tcW w:w="1853" w:type="dxa"/>
            <w:tcBorders>
              <w:right w:val="nil"/>
            </w:tcBorders>
            <w:shd w:val="clear" w:color="auto" w:fill="EAF9FF"/>
            <w:vAlign w:val="top"/>
          </w:tcPr>
          <w:p w14:paraId="6846D1DD">
            <w:pPr>
              <w:pStyle w:val="8"/>
              <w:spacing w:before="74" w:line="291" w:lineRule="auto"/>
              <w:ind w:left="86" w:right="500"/>
            </w:pPr>
            <w:r>
              <w:rPr>
                <w:color w:val="5F6A72"/>
                <w:spacing w:val="-12"/>
              </w:rPr>
              <w:t>Block Perales-Las</w:t>
            </w:r>
            <w:r>
              <w:rPr>
                <w:color w:val="5F6A72"/>
                <w:spacing w:val="10"/>
              </w:rPr>
              <w:t xml:space="preserve"> </w:t>
            </w:r>
            <w:r>
              <w:rPr>
                <w:color w:val="5F6A72"/>
                <w:spacing w:val="-10"/>
              </w:rPr>
              <w:t>Meseta</w:t>
            </w:r>
          </w:p>
        </w:tc>
        <w:tc>
          <w:tcPr>
            <w:tcW w:w="1739" w:type="dxa"/>
            <w:tcBorders>
              <w:left w:val="nil"/>
              <w:right w:val="nil"/>
            </w:tcBorders>
            <w:shd w:val="clear" w:color="auto" w:fill="EAF9FF"/>
            <w:vAlign w:val="top"/>
          </w:tcPr>
          <w:p w14:paraId="78A2CB98">
            <w:pPr>
              <w:pStyle w:val="8"/>
              <w:spacing w:before="73" w:line="234" w:lineRule="auto"/>
              <w:ind w:left="71"/>
            </w:pPr>
            <w:r>
              <w:rPr>
                <w:color w:val="5F6A72"/>
                <w:spacing w:val="-14"/>
              </w:rPr>
              <w:t>YPF (100%)</w:t>
            </w:r>
          </w:p>
        </w:tc>
        <w:tc>
          <w:tcPr>
            <w:tcW w:w="1071" w:type="dxa"/>
            <w:tcBorders>
              <w:left w:val="nil"/>
              <w:right w:val="nil"/>
            </w:tcBorders>
            <w:shd w:val="clear" w:color="auto" w:fill="EAF9FF"/>
            <w:vAlign w:val="top"/>
          </w:tcPr>
          <w:p w14:paraId="235DF294">
            <w:pPr>
              <w:pStyle w:val="8"/>
              <w:spacing w:before="182" w:line="89" w:lineRule="exact"/>
              <w:ind w:left="80"/>
            </w:pPr>
            <w:r>
              <w:rPr>
                <w:color w:val="5F6A72"/>
                <w:position w:val="-6"/>
              </w:rPr>
              <w:t>-</w:t>
            </w:r>
          </w:p>
        </w:tc>
        <w:tc>
          <w:tcPr>
            <w:tcW w:w="1143" w:type="dxa"/>
            <w:tcBorders>
              <w:left w:val="nil"/>
              <w:right w:val="nil"/>
            </w:tcBorders>
            <w:shd w:val="clear" w:color="auto" w:fill="EAF9FF"/>
            <w:vAlign w:val="top"/>
          </w:tcPr>
          <w:p w14:paraId="0F2A965A">
            <w:pPr>
              <w:pStyle w:val="8"/>
              <w:spacing w:before="115" w:line="181" w:lineRule="auto"/>
              <w:ind w:left="86"/>
            </w:pPr>
            <w:r>
              <w:rPr>
                <w:color w:val="5F6A72"/>
                <w:spacing w:val="-10"/>
              </w:rPr>
              <w:t>Discovery</w:t>
            </w:r>
          </w:p>
        </w:tc>
        <w:tc>
          <w:tcPr>
            <w:tcW w:w="809" w:type="dxa"/>
            <w:tcBorders>
              <w:left w:val="nil"/>
              <w:right w:val="nil"/>
            </w:tcBorders>
            <w:shd w:val="clear" w:color="auto" w:fill="EAF9FF"/>
            <w:vAlign w:val="top"/>
          </w:tcPr>
          <w:p w14:paraId="24940255">
            <w:pPr>
              <w:pStyle w:val="8"/>
              <w:spacing w:before="147" w:line="126" w:lineRule="exact"/>
              <w:ind w:left="84"/>
            </w:pPr>
            <w:r>
              <w:rPr>
                <w:color w:val="5F6A72"/>
                <w:spacing w:val="-8"/>
                <w:position w:val="-2"/>
              </w:rPr>
              <w:t>na</w:t>
            </w:r>
          </w:p>
        </w:tc>
        <w:tc>
          <w:tcPr>
            <w:tcW w:w="712" w:type="dxa"/>
            <w:tcBorders>
              <w:left w:val="nil"/>
              <w:right w:val="nil"/>
            </w:tcBorders>
            <w:shd w:val="clear" w:color="auto" w:fill="EAF9FF"/>
            <w:vAlign w:val="top"/>
          </w:tcPr>
          <w:p w14:paraId="0096A9D0">
            <w:pPr>
              <w:pStyle w:val="8"/>
              <w:spacing w:before="147" w:line="126" w:lineRule="exact"/>
              <w:ind w:left="84"/>
            </w:pPr>
            <w:r>
              <w:rPr>
                <w:color w:val="5F6A72"/>
                <w:spacing w:val="-8"/>
                <w:position w:val="-2"/>
              </w:rPr>
              <w:t>na</w:t>
            </w:r>
          </w:p>
        </w:tc>
        <w:tc>
          <w:tcPr>
            <w:tcW w:w="1014" w:type="dxa"/>
            <w:tcBorders>
              <w:left w:val="nil"/>
              <w:right w:val="nil"/>
            </w:tcBorders>
            <w:shd w:val="clear" w:color="auto" w:fill="EAF9FF"/>
            <w:vAlign w:val="top"/>
          </w:tcPr>
          <w:p w14:paraId="7CC3266D">
            <w:pPr>
              <w:pStyle w:val="8"/>
              <w:spacing w:before="73" w:line="234" w:lineRule="auto"/>
              <w:ind w:left="81"/>
            </w:pPr>
            <w:r>
              <w:rPr>
                <w:color w:val="5F6A72"/>
                <w:spacing w:val="-11"/>
              </w:rPr>
              <w:t>Oil &amp; gas</w:t>
            </w:r>
          </w:p>
        </w:tc>
        <w:tc>
          <w:tcPr>
            <w:tcW w:w="783" w:type="dxa"/>
            <w:tcBorders>
              <w:left w:val="nil"/>
              <w:right w:val="nil"/>
            </w:tcBorders>
            <w:shd w:val="clear" w:color="auto" w:fill="EAF9FF"/>
            <w:vAlign w:val="top"/>
          </w:tcPr>
          <w:p w14:paraId="22AAA06E">
            <w:pPr>
              <w:pStyle w:val="8"/>
              <w:spacing w:before="113" w:line="186" w:lineRule="auto"/>
              <w:ind w:left="81"/>
            </w:pPr>
            <w:r>
              <w:rPr>
                <w:color w:val="5F6A72"/>
                <w:spacing w:val="-9"/>
              </w:rPr>
              <w:t>Onshore</w:t>
            </w:r>
          </w:p>
        </w:tc>
      </w:tr>
      <w:tr w14:paraId="4FAD3CC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5" w:hRule="atLeast"/>
        </w:trPr>
        <w:tc>
          <w:tcPr>
            <w:tcW w:w="1080" w:type="dxa"/>
            <w:tcBorders>
              <w:left w:val="nil"/>
            </w:tcBorders>
            <w:vAlign w:val="top"/>
          </w:tcPr>
          <w:p w14:paraId="3F63B903">
            <w:pPr>
              <w:pStyle w:val="8"/>
              <w:spacing w:before="113" w:line="184" w:lineRule="auto"/>
              <w:ind w:left="12"/>
            </w:pPr>
            <w:r>
              <w:rPr>
                <w:color w:val="2A8ABF"/>
                <w:spacing w:val="-10"/>
              </w:rPr>
              <w:t>Cerro Dragon</w:t>
            </w:r>
          </w:p>
        </w:tc>
        <w:tc>
          <w:tcPr>
            <w:tcW w:w="1853" w:type="dxa"/>
            <w:tcBorders>
              <w:right w:val="nil"/>
            </w:tcBorders>
            <w:vAlign w:val="top"/>
          </w:tcPr>
          <w:p w14:paraId="543D0395">
            <w:pPr>
              <w:pStyle w:val="8"/>
              <w:spacing w:before="113" w:line="184" w:lineRule="auto"/>
              <w:ind w:left="80"/>
            </w:pPr>
            <w:r>
              <w:rPr>
                <w:color w:val="5F6A72"/>
                <w:spacing w:val="-10"/>
              </w:rPr>
              <w:t>Cerro Dragon</w:t>
            </w:r>
          </w:p>
        </w:tc>
        <w:tc>
          <w:tcPr>
            <w:tcW w:w="1739" w:type="dxa"/>
            <w:tcBorders>
              <w:left w:val="nil"/>
              <w:right w:val="nil"/>
            </w:tcBorders>
            <w:vAlign w:val="top"/>
          </w:tcPr>
          <w:p w14:paraId="0E985815">
            <w:pPr>
              <w:pStyle w:val="8"/>
              <w:spacing w:before="116" w:line="247" w:lineRule="auto"/>
              <w:ind w:left="79" w:right="99" w:firstLine="6"/>
            </w:pPr>
            <w:r>
              <w:rPr>
                <w:color w:val="5F6A72"/>
                <w:spacing w:val="-11"/>
              </w:rPr>
              <w:t>Pan</w:t>
            </w:r>
            <w:r>
              <w:rPr>
                <w:color w:val="5F6A72"/>
                <w:spacing w:val="-2"/>
              </w:rPr>
              <w:t xml:space="preserve"> </w:t>
            </w:r>
            <w:r>
              <w:rPr>
                <w:color w:val="5F6A72"/>
                <w:spacing w:val="-11"/>
              </w:rPr>
              <w:t>American Energy</w:t>
            </w:r>
            <w:r>
              <w:rPr>
                <w:color w:val="5F6A72"/>
              </w:rPr>
              <w:t xml:space="preserve"> </w:t>
            </w:r>
            <w:r>
              <w:rPr>
                <w:color w:val="5F6A72"/>
                <w:spacing w:val="-11"/>
              </w:rPr>
              <w:t>(100%)</w:t>
            </w:r>
          </w:p>
        </w:tc>
        <w:tc>
          <w:tcPr>
            <w:tcW w:w="1071" w:type="dxa"/>
            <w:tcBorders>
              <w:left w:val="nil"/>
              <w:right w:val="nil"/>
            </w:tcBorders>
            <w:vAlign w:val="top"/>
          </w:tcPr>
          <w:p w14:paraId="6DE94120">
            <w:pPr>
              <w:pStyle w:val="8"/>
              <w:spacing w:before="74" w:line="237" w:lineRule="exact"/>
              <w:ind w:left="86"/>
            </w:pPr>
            <w:r>
              <w:rPr>
                <w:color w:val="5F6A72"/>
                <w:spacing w:val="-5"/>
                <w:position w:val="1"/>
              </w:rPr>
              <w:t>1958</w:t>
            </w:r>
          </w:p>
        </w:tc>
        <w:tc>
          <w:tcPr>
            <w:tcW w:w="1143" w:type="dxa"/>
            <w:tcBorders>
              <w:left w:val="nil"/>
              <w:right w:val="nil"/>
            </w:tcBorders>
            <w:vAlign w:val="top"/>
          </w:tcPr>
          <w:p w14:paraId="1199989A">
            <w:pPr>
              <w:pStyle w:val="8"/>
              <w:spacing w:before="74" w:line="237" w:lineRule="exact"/>
              <w:ind w:left="86"/>
            </w:pPr>
            <w:r>
              <w:rPr>
                <w:color w:val="5F6A72"/>
                <w:spacing w:val="-6"/>
                <w:position w:val="1"/>
              </w:rPr>
              <w:t>Production</w:t>
            </w:r>
          </w:p>
        </w:tc>
        <w:tc>
          <w:tcPr>
            <w:tcW w:w="809" w:type="dxa"/>
            <w:tcBorders>
              <w:left w:val="nil"/>
              <w:right w:val="nil"/>
            </w:tcBorders>
            <w:vAlign w:val="top"/>
          </w:tcPr>
          <w:p w14:paraId="45FF593C">
            <w:pPr>
              <w:pStyle w:val="8"/>
              <w:spacing w:before="74" w:line="214" w:lineRule="exact"/>
              <w:ind w:left="86"/>
            </w:pPr>
            <w:r>
              <w:rPr>
                <w:color w:val="5F6A72"/>
                <w:spacing w:val="-6"/>
                <w:position w:val="1"/>
              </w:rPr>
              <w:t>106,800</w:t>
            </w:r>
          </w:p>
        </w:tc>
        <w:tc>
          <w:tcPr>
            <w:tcW w:w="712" w:type="dxa"/>
            <w:tcBorders>
              <w:left w:val="nil"/>
              <w:right w:val="nil"/>
            </w:tcBorders>
            <w:vAlign w:val="top"/>
          </w:tcPr>
          <w:p w14:paraId="304F47BB">
            <w:pPr>
              <w:pStyle w:val="8"/>
              <w:spacing w:before="74" w:line="237" w:lineRule="exact"/>
              <w:ind w:left="79"/>
            </w:pPr>
            <w:r>
              <w:rPr>
                <w:color w:val="5F6A72"/>
                <w:spacing w:val="-6"/>
                <w:position w:val="1"/>
              </w:rPr>
              <w:t>3.6</w:t>
            </w:r>
          </w:p>
        </w:tc>
        <w:tc>
          <w:tcPr>
            <w:tcW w:w="1014" w:type="dxa"/>
            <w:tcBorders>
              <w:left w:val="nil"/>
              <w:right w:val="nil"/>
            </w:tcBorders>
            <w:vAlign w:val="top"/>
          </w:tcPr>
          <w:p w14:paraId="54DAFFC6">
            <w:pPr>
              <w:pStyle w:val="8"/>
              <w:spacing w:before="74" w:line="234" w:lineRule="auto"/>
              <w:ind w:left="81"/>
            </w:pPr>
            <w:r>
              <w:rPr>
                <w:color w:val="5F6A72"/>
                <w:spacing w:val="-11"/>
              </w:rPr>
              <w:t>Oil, gas and</w:t>
            </w:r>
          </w:p>
          <w:p w14:paraId="5ED502F0">
            <w:pPr>
              <w:pStyle w:val="8"/>
              <w:spacing w:before="48" w:line="237" w:lineRule="exact"/>
              <w:ind w:left="80"/>
            </w:pPr>
            <w:r>
              <w:rPr>
                <w:color w:val="5F6A72"/>
                <w:spacing w:val="-7"/>
                <w:position w:val="1"/>
              </w:rPr>
              <w:t>condensate</w:t>
            </w:r>
          </w:p>
        </w:tc>
        <w:tc>
          <w:tcPr>
            <w:tcW w:w="783" w:type="dxa"/>
            <w:tcBorders>
              <w:left w:val="nil"/>
              <w:right w:val="nil"/>
            </w:tcBorders>
            <w:vAlign w:val="top"/>
          </w:tcPr>
          <w:p w14:paraId="74C903B8">
            <w:pPr>
              <w:pStyle w:val="8"/>
              <w:spacing w:before="113" w:line="186" w:lineRule="auto"/>
              <w:ind w:left="81"/>
            </w:pPr>
            <w:r>
              <w:rPr>
                <w:color w:val="5F6A72"/>
                <w:spacing w:val="-9"/>
              </w:rPr>
              <w:t>Onshore</w:t>
            </w:r>
          </w:p>
        </w:tc>
      </w:tr>
      <w:tr w14:paraId="587A749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335" w:hRule="atLeast"/>
        </w:trPr>
        <w:tc>
          <w:tcPr>
            <w:tcW w:w="1080" w:type="dxa"/>
            <w:tcBorders>
              <w:left w:val="nil"/>
            </w:tcBorders>
            <w:shd w:val="clear" w:color="auto" w:fill="EAF9FF"/>
            <w:vAlign w:val="top"/>
          </w:tcPr>
          <w:p w14:paraId="66CA9FE6">
            <w:pPr>
              <w:pStyle w:val="8"/>
              <w:spacing w:before="75" w:line="277" w:lineRule="auto"/>
              <w:ind w:left="9" w:right="25" w:firstLine="3"/>
            </w:pPr>
            <w:r>
              <w:rPr>
                <w:color w:val="2A8ABF"/>
                <w:spacing w:val="-9"/>
              </w:rPr>
              <w:t>Chihuido</w:t>
            </w:r>
            <w:r>
              <w:rPr>
                <w:color w:val="2A8ABF"/>
                <w:spacing w:val="-1"/>
              </w:rPr>
              <w:t xml:space="preserve"> </w:t>
            </w:r>
            <w:r>
              <w:rPr>
                <w:color w:val="2A8ABF"/>
                <w:spacing w:val="-9"/>
              </w:rPr>
              <w:t>de la</w:t>
            </w:r>
            <w:r>
              <w:rPr>
                <w:color w:val="2A8ABF"/>
              </w:rPr>
              <w:t xml:space="preserve"> </w:t>
            </w:r>
            <w:r>
              <w:rPr>
                <w:color w:val="2A8ABF"/>
                <w:spacing w:val="-11"/>
              </w:rPr>
              <w:t>Sierra Negra</w:t>
            </w:r>
            <w:r>
              <w:rPr>
                <w:color w:val="2A8ABF"/>
                <w:spacing w:val="1"/>
              </w:rPr>
              <w:t xml:space="preserve">   </w:t>
            </w:r>
            <w:r>
              <w:rPr>
                <w:color w:val="2A8ABF"/>
                <w:spacing w:val="-15"/>
              </w:rPr>
              <w:t>(ChSN),</w:t>
            </w:r>
          </w:p>
          <w:p w14:paraId="607FBBDC">
            <w:pPr>
              <w:pStyle w:val="8"/>
              <w:spacing w:before="75" w:line="265" w:lineRule="auto"/>
              <w:ind w:left="18" w:right="381"/>
            </w:pPr>
            <w:r>
              <w:rPr>
                <w:color w:val="2A8ABF"/>
                <w:spacing w:val="-9"/>
              </w:rPr>
              <w:t>Neuquen</w:t>
            </w:r>
            <w:r>
              <w:rPr>
                <w:color w:val="2A8ABF"/>
                <w:spacing w:val="4"/>
              </w:rPr>
              <w:t xml:space="preserve"> </w:t>
            </w:r>
            <w:r>
              <w:rPr>
                <w:color w:val="2A8ABF"/>
                <w:spacing w:val="-15"/>
              </w:rPr>
              <w:t>Basin</w:t>
            </w:r>
          </w:p>
        </w:tc>
        <w:tc>
          <w:tcPr>
            <w:tcW w:w="1853" w:type="dxa"/>
            <w:tcBorders>
              <w:right w:val="nil"/>
            </w:tcBorders>
            <w:shd w:val="clear" w:color="auto" w:fill="EAF9FF"/>
            <w:vAlign w:val="top"/>
          </w:tcPr>
          <w:p w14:paraId="38BEC7C4">
            <w:pPr>
              <w:pStyle w:val="8"/>
              <w:spacing w:before="75" w:line="288" w:lineRule="auto"/>
              <w:ind w:left="85" w:right="272" w:hanging="5"/>
            </w:pPr>
            <w:r>
              <w:rPr>
                <w:color w:val="5F6A72"/>
                <w:spacing w:val="-9"/>
              </w:rPr>
              <w:t>Chihuido de la Sierra</w:t>
            </w:r>
            <w:r>
              <w:rPr>
                <w:color w:val="5F6A72"/>
              </w:rPr>
              <w:t xml:space="preserve"> </w:t>
            </w:r>
            <w:r>
              <w:rPr>
                <w:color w:val="5F6A72"/>
                <w:spacing w:val="-14"/>
              </w:rPr>
              <w:t>Negra (ChSN)</w:t>
            </w:r>
          </w:p>
        </w:tc>
        <w:tc>
          <w:tcPr>
            <w:tcW w:w="1739" w:type="dxa"/>
            <w:tcBorders>
              <w:left w:val="nil"/>
              <w:right w:val="nil"/>
            </w:tcBorders>
            <w:shd w:val="clear" w:color="auto" w:fill="EAF9FF"/>
            <w:vAlign w:val="top"/>
          </w:tcPr>
          <w:p w14:paraId="681717DD">
            <w:pPr>
              <w:pStyle w:val="8"/>
              <w:spacing w:before="75" w:line="234" w:lineRule="auto"/>
              <w:ind w:left="71"/>
            </w:pPr>
            <w:r>
              <w:rPr>
                <w:color w:val="5F6A72"/>
                <w:spacing w:val="-14"/>
              </w:rPr>
              <w:t>YPF (100%)</w:t>
            </w:r>
          </w:p>
        </w:tc>
        <w:tc>
          <w:tcPr>
            <w:tcW w:w="1071" w:type="dxa"/>
            <w:tcBorders>
              <w:left w:val="nil"/>
              <w:right w:val="nil"/>
            </w:tcBorders>
            <w:shd w:val="clear" w:color="auto" w:fill="EAF9FF"/>
            <w:vAlign w:val="top"/>
          </w:tcPr>
          <w:p w14:paraId="2275EE1C">
            <w:pPr>
              <w:pStyle w:val="8"/>
              <w:spacing w:before="75" w:line="237" w:lineRule="exact"/>
              <w:ind w:left="86"/>
            </w:pPr>
            <w:r>
              <w:rPr>
                <w:color w:val="5F6A72"/>
                <w:spacing w:val="-5"/>
                <w:position w:val="1"/>
              </w:rPr>
              <w:t>1979</w:t>
            </w:r>
          </w:p>
        </w:tc>
        <w:tc>
          <w:tcPr>
            <w:tcW w:w="1143" w:type="dxa"/>
            <w:tcBorders>
              <w:left w:val="nil"/>
              <w:right w:val="nil"/>
            </w:tcBorders>
            <w:shd w:val="clear" w:color="auto" w:fill="EAF9FF"/>
            <w:vAlign w:val="top"/>
          </w:tcPr>
          <w:p w14:paraId="66BBF5C6">
            <w:pPr>
              <w:pStyle w:val="8"/>
              <w:spacing w:before="75" w:line="238" w:lineRule="exact"/>
              <w:ind w:left="86"/>
            </w:pPr>
            <w:r>
              <w:rPr>
                <w:color w:val="5F6A72"/>
                <w:spacing w:val="-6"/>
                <w:position w:val="1"/>
              </w:rPr>
              <w:t>Production</w:t>
            </w:r>
          </w:p>
        </w:tc>
        <w:tc>
          <w:tcPr>
            <w:tcW w:w="809" w:type="dxa"/>
            <w:tcBorders>
              <w:left w:val="nil"/>
              <w:right w:val="nil"/>
            </w:tcBorders>
            <w:shd w:val="clear" w:color="auto" w:fill="EAF9FF"/>
            <w:vAlign w:val="top"/>
          </w:tcPr>
          <w:p w14:paraId="2850C0B7">
            <w:pPr>
              <w:pStyle w:val="8"/>
              <w:spacing w:before="75" w:line="214" w:lineRule="exact"/>
              <w:ind w:left="82"/>
            </w:pPr>
            <w:r>
              <w:rPr>
                <w:color w:val="5F6A72"/>
                <w:spacing w:val="-6"/>
                <w:position w:val="1"/>
              </w:rPr>
              <w:t>28,000</w:t>
            </w:r>
          </w:p>
        </w:tc>
        <w:tc>
          <w:tcPr>
            <w:tcW w:w="712" w:type="dxa"/>
            <w:tcBorders>
              <w:left w:val="nil"/>
              <w:right w:val="nil"/>
            </w:tcBorders>
            <w:shd w:val="clear" w:color="auto" w:fill="EAF9FF"/>
            <w:vAlign w:val="top"/>
          </w:tcPr>
          <w:p w14:paraId="65574317">
            <w:pPr>
              <w:pStyle w:val="8"/>
              <w:spacing w:before="149" w:line="126" w:lineRule="exact"/>
              <w:ind w:left="84"/>
            </w:pPr>
            <w:r>
              <w:rPr>
                <w:color w:val="5F6A72"/>
                <w:spacing w:val="-8"/>
                <w:position w:val="-2"/>
              </w:rPr>
              <w:t>na</w:t>
            </w:r>
          </w:p>
        </w:tc>
        <w:tc>
          <w:tcPr>
            <w:tcW w:w="1014" w:type="dxa"/>
            <w:tcBorders>
              <w:left w:val="nil"/>
              <w:right w:val="nil"/>
            </w:tcBorders>
            <w:shd w:val="clear" w:color="auto" w:fill="EAF9FF"/>
            <w:vAlign w:val="top"/>
          </w:tcPr>
          <w:p w14:paraId="56B10D56">
            <w:pPr>
              <w:pStyle w:val="8"/>
              <w:spacing w:before="115" w:line="186" w:lineRule="auto"/>
              <w:ind w:left="81"/>
            </w:pPr>
            <w:r>
              <w:rPr>
                <w:color w:val="5F6A72"/>
                <w:spacing w:val="-9"/>
              </w:rPr>
              <w:t>Oil</w:t>
            </w:r>
          </w:p>
        </w:tc>
        <w:tc>
          <w:tcPr>
            <w:tcW w:w="783" w:type="dxa"/>
            <w:tcBorders>
              <w:left w:val="nil"/>
              <w:right w:val="nil"/>
            </w:tcBorders>
            <w:shd w:val="clear" w:color="auto" w:fill="EAF9FF"/>
            <w:vAlign w:val="top"/>
          </w:tcPr>
          <w:p w14:paraId="62167F5F">
            <w:pPr>
              <w:pStyle w:val="8"/>
              <w:spacing w:before="115" w:line="186" w:lineRule="auto"/>
              <w:ind w:left="81"/>
            </w:pPr>
            <w:r>
              <w:rPr>
                <w:color w:val="5F6A72"/>
                <w:spacing w:val="-9"/>
              </w:rPr>
              <w:t>Onshore</w:t>
            </w:r>
          </w:p>
        </w:tc>
      </w:tr>
      <w:tr w14:paraId="3E4658A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1080" w:type="dxa"/>
            <w:tcBorders>
              <w:left w:val="nil"/>
            </w:tcBorders>
            <w:vAlign w:val="top"/>
          </w:tcPr>
          <w:p w14:paraId="0FB09BB6">
            <w:pPr>
              <w:pStyle w:val="8"/>
              <w:spacing w:before="119" w:line="254" w:lineRule="auto"/>
              <w:ind w:left="12" w:right="289" w:firstLine="5"/>
            </w:pPr>
            <w:r>
              <w:rPr>
                <w:color w:val="2A8ABF"/>
                <w:spacing w:val="-13"/>
              </w:rPr>
              <w:t>La Amarga</w:t>
            </w:r>
            <w:r>
              <w:rPr>
                <w:color w:val="2A8ABF"/>
              </w:rPr>
              <w:t xml:space="preserve"> </w:t>
            </w:r>
            <w:r>
              <w:rPr>
                <w:color w:val="2A8ABF"/>
                <w:spacing w:val="-11"/>
              </w:rPr>
              <w:t>Chica,</w:t>
            </w:r>
          </w:p>
          <w:p w14:paraId="0CFD68B7">
            <w:pPr>
              <w:pStyle w:val="8"/>
              <w:spacing w:before="62" w:line="264" w:lineRule="auto"/>
              <w:ind w:left="16" w:right="381" w:firstLine="2"/>
            </w:pPr>
            <w:r>
              <w:rPr>
                <w:color w:val="2A8ABF"/>
                <w:spacing w:val="-9"/>
              </w:rPr>
              <w:t>Neuquen</w:t>
            </w:r>
            <w:r>
              <w:rPr>
                <w:color w:val="2A8ABF"/>
                <w:spacing w:val="4"/>
              </w:rPr>
              <w:t xml:space="preserve"> </w:t>
            </w:r>
            <w:r>
              <w:rPr>
                <w:color w:val="2A8ABF"/>
                <w:spacing w:val="-11"/>
              </w:rPr>
              <w:t>basin</w:t>
            </w:r>
          </w:p>
        </w:tc>
        <w:tc>
          <w:tcPr>
            <w:tcW w:w="1853" w:type="dxa"/>
            <w:tcBorders>
              <w:right w:val="nil"/>
            </w:tcBorders>
            <w:vAlign w:val="top"/>
          </w:tcPr>
          <w:p w14:paraId="0D00E0A7">
            <w:pPr>
              <w:pStyle w:val="8"/>
              <w:spacing w:before="116" w:line="184" w:lineRule="auto"/>
              <w:ind w:left="86"/>
            </w:pPr>
            <w:r>
              <w:rPr>
                <w:color w:val="5F6A72"/>
                <w:spacing w:val="-9"/>
              </w:rPr>
              <w:t>LaAmarga Chica</w:t>
            </w:r>
          </w:p>
        </w:tc>
        <w:tc>
          <w:tcPr>
            <w:tcW w:w="1739" w:type="dxa"/>
            <w:tcBorders>
              <w:left w:val="nil"/>
              <w:right w:val="nil"/>
            </w:tcBorders>
            <w:vAlign w:val="top"/>
          </w:tcPr>
          <w:p w14:paraId="4F2CA8B3">
            <w:pPr>
              <w:pStyle w:val="8"/>
              <w:spacing w:before="76" w:line="286" w:lineRule="auto"/>
              <w:ind w:left="79" w:right="74"/>
              <w:jc w:val="both"/>
            </w:pPr>
            <w:r>
              <w:rPr>
                <w:color w:val="5F6A72"/>
                <w:spacing w:val="-12"/>
              </w:rPr>
              <w:t>GyP Neuquen (10%),</w:t>
            </w:r>
            <w:r>
              <w:rPr>
                <w:color w:val="5F6A72"/>
              </w:rPr>
              <w:t xml:space="preserve"> </w:t>
            </w:r>
            <w:r>
              <w:rPr>
                <w:color w:val="5F6A72"/>
                <w:spacing w:val="-9"/>
              </w:rPr>
              <w:t>CompaniasAsociadas</w:t>
            </w:r>
            <w:r>
              <w:rPr>
                <w:color w:val="5F6A72"/>
                <w:spacing w:val="4"/>
              </w:rPr>
              <w:t xml:space="preserve"> </w:t>
            </w:r>
            <w:r>
              <w:rPr>
                <w:color w:val="5F6A72"/>
                <w:spacing w:val="-13"/>
              </w:rPr>
              <w:t>Petroleras (20%),</w:t>
            </w:r>
            <w:r>
              <w:rPr>
                <w:color w:val="5F6A72"/>
                <w:spacing w:val="3"/>
              </w:rPr>
              <w:t xml:space="preserve"> </w:t>
            </w:r>
            <w:r>
              <w:rPr>
                <w:color w:val="5F6A72"/>
                <w:spacing w:val="-13"/>
              </w:rPr>
              <w:t>YPF</w:t>
            </w:r>
            <w:r>
              <w:rPr>
                <w:color w:val="5F6A72"/>
              </w:rPr>
              <w:t xml:space="preserve"> </w:t>
            </w:r>
            <w:r>
              <w:rPr>
                <w:color w:val="5F6A72"/>
                <w:spacing w:val="-12"/>
              </w:rPr>
              <w:t>(70%)</w:t>
            </w:r>
          </w:p>
        </w:tc>
        <w:tc>
          <w:tcPr>
            <w:tcW w:w="1071" w:type="dxa"/>
            <w:tcBorders>
              <w:left w:val="nil"/>
              <w:right w:val="nil"/>
            </w:tcBorders>
            <w:vAlign w:val="top"/>
          </w:tcPr>
          <w:p w14:paraId="6C3735B7">
            <w:pPr>
              <w:pStyle w:val="8"/>
              <w:spacing w:before="185" w:line="90" w:lineRule="exact"/>
              <w:ind w:left="80"/>
            </w:pPr>
            <w:r>
              <w:rPr>
                <w:color w:val="5F6A72"/>
                <w:position w:val="-6"/>
              </w:rPr>
              <w:t>-</w:t>
            </w:r>
          </w:p>
        </w:tc>
        <w:tc>
          <w:tcPr>
            <w:tcW w:w="1143" w:type="dxa"/>
            <w:tcBorders>
              <w:left w:val="nil"/>
              <w:right w:val="nil"/>
            </w:tcBorders>
            <w:vAlign w:val="top"/>
          </w:tcPr>
          <w:p w14:paraId="194F155D">
            <w:pPr>
              <w:pStyle w:val="8"/>
              <w:spacing w:before="77" w:line="236" w:lineRule="auto"/>
              <w:ind w:left="86"/>
            </w:pPr>
            <w:r>
              <w:rPr>
                <w:color w:val="5F6A72"/>
                <w:spacing w:val="-8"/>
              </w:rPr>
              <w:t>Exploration</w:t>
            </w:r>
          </w:p>
        </w:tc>
        <w:tc>
          <w:tcPr>
            <w:tcW w:w="809" w:type="dxa"/>
            <w:tcBorders>
              <w:left w:val="nil"/>
              <w:right w:val="nil"/>
            </w:tcBorders>
            <w:vAlign w:val="top"/>
          </w:tcPr>
          <w:p w14:paraId="1B705CD4">
            <w:pPr>
              <w:pStyle w:val="8"/>
              <w:spacing w:before="150" w:line="126" w:lineRule="exact"/>
              <w:ind w:left="84"/>
            </w:pPr>
            <w:r>
              <w:rPr>
                <w:color w:val="5F6A72"/>
                <w:spacing w:val="-8"/>
                <w:position w:val="-2"/>
              </w:rPr>
              <w:t>na</w:t>
            </w:r>
          </w:p>
        </w:tc>
        <w:tc>
          <w:tcPr>
            <w:tcW w:w="712" w:type="dxa"/>
            <w:tcBorders>
              <w:left w:val="nil"/>
              <w:right w:val="nil"/>
            </w:tcBorders>
            <w:vAlign w:val="top"/>
          </w:tcPr>
          <w:p w14:paraId="1A58F81F">
            <w:pPr>
              <w:pStyle w:val="8"/>
              <w:spacing w:before="150" w:line="126" w:lineRule="exact"/>
              <w:ind w:left="84"/>
            </w:pPr>
            <w:r>
              <w:rPr>
                <w:color w:val="5F6A72"/>
                <w:spacing w:val="-8"/>
                <w:position w:val="-2"/>
              </w:rPr>
              <w:t>na</w:t>
            </w:r>
          </w:p>
        </w:tc>
        <w:tc>
          <w:tcPr>
            <w:tcW w:w="1014" w:type="dxa"/>
            <w:tcBorders>
              <w:left w:val="nil"/>
              <w:right w:val="nil"/>
            </w:tcBorders>
            <w:vAlign w:val="top"/>
          </w:tcPr>
          <w:p w14:paraId="46FAF152">
            <w:pPr>
              <w:pStyle w:val="8"/>
              <w:spacing w:before="76" w:line="234" w:lineRule="auto"/>
              <w:ind w:left="81"/>
            </w:pPr>
            <w:r>
              <w:rPr>
                <w:color w:val="5F6A72"/>
                <w:spacing w:val="-11"/>
              </w:rPr>
              <w:t>Oil &amp; gas</w:t>
            </w:r>
          </w:p>
        </w:tc>
        <w:tc>
          <w:tcPr>
            <w:tcW w:w="783" w:type="dxa"/>
            <w:tcBorders>
              <w:left w:val="nil"/>
              <w:right w:val="nil"/>
            </w:tcBorders>
            <w:vAlign w:val="top"/>
          </w:tcPr>
          <w:p w14:paraId="3150AC7E">
            <w:pPr>
              <w:pStyle w:val="8"/>
              <w:spacing w:before="116" w:line="186" w:lineRule="auto"/>
              <w:ind w:left="81"/>
            </w:pPr>
            <w:r>
              <w:rPr>
                <w:color w:val="5F6A72"/>
                <w:spacing w:val="-9"/>
              </w:rPr>
              <w:t>Onshore</w:t>
            </w:r>
          </w:p>
        </w:tc>
      </w:tr>
      <w:tr w14:paraId="6D09ED0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5" w:hRule="atLeast"/>
        </w:trPr>
        <w:tc>
          <w:tcPr>
            <w:tcW w:w="1080" w:type="dxa"/>
            <w:tcBorders>
              <w:left w:val="nil"/>
            </w:tcBorders>
            <w:shd w:val="clear" w:color="auto" w:fill="EAF9FF"/>
            <w:vAlign w:val="top"/>
          </w:tcPr>
          <w:p w14:paraId="4724A1B8">
            <w:pPr>
              <w:pStyle w:val="8"/>
              <w:spacing w:before="78" w:line="237" w:lineRule="exact"/>
              <w:ind w:left="18"/>
            </w:pPr>
            <w:r>
              <w:rPr>
                <w:color w:val="2A8ABF"/>
                <w:spacing w:val="-12"/>
                <w:position w:val="1"/>
              </w:rPr>
              <w:t>La Ribera</w:t>
            </w:r>
          </w:p>
          <w:p w14:paraId="6C09D464">
            <w:pPr>
              <w:pStyle w:val="8"/>
              <w:spacing w:before="12" w:line="236" w:lineRule="auto"/>
              <w:ind w:left="18"/>
            </w:pPr>
            <w:r>
              <w:rPr>
                <w:color w:val="2A8ABF"/>
                <w:spacing w:val="-9"/>
              </w:rPr>
              <w:t>Prospect</w:t>
            </w:r>
          </w:p>
        </w:tc>
        <w:tc>
          <w:tcPr>
            <w:tcW w:w="1853" w:type="dxa"/>
            <w:tcBorders>
              <w:right w:val="nil"/>
            </w:tcBorders>
            <w:shd w:val="clear" w:color="auto" w:fill="EAF9FF"/>
            <w:vAlign w:val="top"/>
          </w:tcPr>
          <w:p w14:paraId="64CD5C63">
            <w:pPr>
              <w:pStyle w:val="8"/>
              <w:spacing w:before="78" w:line="236" w:lineRule="auto"/>
              <w:ind w:left="86"/>
            </w:pPr>
            <w:r>
              <w:rPr>
                <w:color w:val="5F6A72"/>
                <w:spacing w:val="-12"/>
              </w:rPr>
              <w:t>La Ribera</w:t>
            </w:r>
            <w:r>
              <w:rPr>
                <w:color w:val="5F6A72"/>
                <w:spacing w:val="14"/>
                <w:w w:val="101"/>
              </w:rPr>
              <w:t xml:space="preserve"> </w:t>
            </w:r>
            <w:r>
              <w:rPr>
                <w:color w:val="5F6A72"/>
                <w:spacing w:val="-12"/>
              </w:rPr>
              <w:t>Prospect</w:t>
            </w:r>
          </w:p>
        </w:tc>
        <w:tc>
          <w:tcPr>
            <w:tcW w:w="1739" w:type="dxa"/>
            <w:tcBorders>
              <w:left w:val="nil"/>
              <w:right w:val="nil"/>
            </w:tcBorders>
            <w:shd w:val="clear" w:color="auto" w:fill="EAF9FF"/>
            <w:vAlign w:val="top"/>
          </w:tcPr>
          <w:p w14:paraId="6FDAB645">
            <w:pPr>
              <w:pStyle w:val="8"/>
              <w:spacing w:before="78" w:line="234" w:lineRule="auto"/>
              <w:ind w:left="71"/>
            </w:pPr>
            <w:r>
              <w:rPr>
                <w:color w:val="5F6A72"/>
                <w:spacing w:val="-14"/>
              </w:rPr>
              <w:t>YPF (100%)</w:t>
            </w:r>
          </w:p>
        </w:tc>
        <w:tc>
          <w:tcPr>
            <w:tcW w:w="1071" w:type="dxa"/>
            <w:tcBorders>
              <w:left w:val="nil"/>
              <w:right w:val="nil"/>
            </w:tcBorders>
            <w:shd w:val="clear" w:color="auto" w:fill="EAF9FF"/>
            <w:vAlign w:val="top"/>
          </w:tcPr>
          <w:p w14:paraId="5EF9007E">
            <w:pPr>
              <w:pStyle w:val="8"/>
              <w:spacing w:before="186" w:line="90" w:lineRule="exact"/>
              <w:ind w:left="80"/>
            </w:pPr>
            <w:r>
              <w:rPr>
                <w:color w:val="5F6A72"/>
                <w:position w:val="-6"/>
              </w:rPr>
              <w:t>-</w:t>
            </w:r>
          </w:p>
        </w:tc>
        <w:tc>
          <w:tcPr>
            <w:tcW w:w="1143" w:type="dxa"/>
            <w:tcBorders>
              <w:left w:val="nil"/>
              <w:right w:val="nil"/>
            </w:tcBorders>
            <w:shd w:val="clear" w:color="auto" w:fill="EAF9FF"/>
            <w:vAlign w:val="top"/>
          </w:tcPr>
          <w:p w14:paraId="364F3C96">
            <w:pPr>
              <w:pStyle w:val="8"/>
              <w:spacing w:before="120" w:line="181" w:lineRule="auto"/>
              <w:ind w:left="86"/>
            </w:pPr>
            <w:r>
              <w:rPr>
                <w:color w:val="5F6A72"/>
                <w:spacing w:val="-10"/>
              </w:rPr>
              <w:t>Discovery</w:t>
            </w:r>
          </w:p>
        </w:tc>
        <w:tc>
          <w:tcPr>
            <w:tcW w:w="809" w:type="dxa"/>
            <w:tcBorders>
              <w:left w:val="nil"/>
              <w:right w:val="nil"/>
            </w:tcBorders>
            <w:shd w:val="clear" w:color="auto" w:fill="EAF9FF"/>
            <w:vAlign w:val="top"/>
          </w:tcPr>
          <w:p w14:paraId="66085396">
            <w:pPr>
              <w:pStyle w:val="8"/>
              <w:spacing w:before="152" w:line="126" w:lineRule="exact"/>
              <w:ind w:left="84"/>
            </w:pPr>
            <w:r>
              <w:rPr>
                <w:color w:val="5F6A72"/>
                <w:spacing w:val="-8"/>
                <w:position w:val="-2"/>
              </w:rPr>
              <w:t>na</w:t>
            </w:r>
          </w:p>
        </w:tc>
        <w:tc>
          <w:tcPr>
            <w:tcW w:w="712" w:type="dxa"/>
            <w:tcBorders>
              <w:left w:val="nil"/>
              <w:right w:val="nil"/>
            </w:tcBorders>
            <w:shd w:val="clear" w:color="auto" w:fill="EAF9FF"/>
            <w:vAlign w:val="top"/>
          </w:tcPr>
          <w:p w14:paraId="260F677E">
            <w:pPr>
              <w:pStyle w:val="8"/>
              <w:spacing w:before="152" w:line="126" w:lineRule="exact"/>
              <w:ind w:left="84"/>
            </w:pPr>
            <w:r>
              <w:rPr>
                <w:color w:val="5F6A72"/>
                <w:spacing w:val="-8"/>
                <w:position w:val="-2"/>
              </w:rPr>
              <w:t>na</w:t>
            </w:r>
          </w:p>
        </w:tc>
        <w:tc>
          <w:tcPr>
            <w:tcW w:w="1014" w:type="dxa"/>
            <w:tcBorders>
              <w:left w:val="nil"/>
              <w:right w:val="nil"/>
            </w:tcBorders>
            <w:shd w:val="clear" w:color="auto" w:fill="EAF9FF"/>
            <w:vAlign w:val="top"/>
          </w:tcPr>
          <w:p w14:paraId="70D3694A">
            <w:pPr>
              <w:pStyle w:val="8"/>
              <w:spacing w:before="117" w:line="186" w:lineRule="auto"/>
              <w:ind w:left="81"/>
            </w:pPr>
            <w:r>
              <w:rPr>
                <w:color w:val="5F6A72"/>
                <w:spacing w:val="-15"/>
                <w:w w:val="97"/>
              </w:rPr>
              <w:t>Gas</w:t>
            </w:r>
          </w:p>
        </w:tc>
        <w:tc>
          <w:tcPr>
            <w:tcW w:w="783" w:type="dxa"/>
            <w:tcBorders>
              <w:left w:val="nil"/>
              <w:right w:val="nil"/>
            </w:tcBorders>
            <w:shd w:val="clear" w:color="auto" w:fill="EAF9FF"/>
            <w:vAlign w:val="top"/>
          </w:tcPr>
          <w:p w14:paraId="7594B615">
            <w:pPr>
              <w:pStyle w:val="8"/>
              <w:spacing w:before="117" w:line="186" w:lineRule="auto"/>
              <w:ind w:left="81"/>
            </w:pPr>
            <w:r>
              <w:rPr>
                <w:color w:val="5F6A72"/>
                <w:spacing w:val="-9"/>
              </w:rPr>
              <w:t>Onshore</w:t>
            </w:r>
          </w:p>
        </w:tc>
      </w:tr>
      <w:tr w14:paraId="1F69A9A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3" w:hRule="atLeast"/>
        </w:trPr>
        <w:tc>
          <w:tcPr>
            <w:tcW w:w="1080" w:type="dxa"/>
            <w:tcBorders>
              <w:left w:val="nil"/>
            </w:tcBorders>
            <w:vAlign w:val="top"/>
          </w:tcPr>
          <w:p w14:paraId="659066D6">
            <w:pPr>
              <w:pStyle w:val="8"/>
              <w:spacing w:before="121" w:line="183" w:lineRule="auto"/>
              <w:ind w:left="18"/>
            </w:pPr>
            <w:r>
              <w:rPr>
                <w:color w:val="2A8ABF"/>
                <w:spacing w:val="-9"/>
              </w:rPr>
              <w:t>Loma</w:t>
            </w:r>
          </w:p>
          <w:p w14:paraId="365C3C98">
            <w:pPr>
              <w:pStyle w:val="8"/>
              <w:spacing w:before="89" w:line="184" w:lineRule="auto"/>
              <w:ind w:left="12"/>
            </w:pPr>
            <w:r>
              <w:rPr>
                <w:color w:val="2A8ABF"/>
                <w:spacing w:val="-12"/>
              </w:rPr>
              <w:t>Campana,</w:t>
            </w:r>
          </w:p>
        </w:tc>
        <w:tc>
          <w:tcPr>
            <w:tcW w:w="1853" w:type="dxa"/>
            <w:tcBorders>
              <w:right w:val="nil"/>
            </w:tcBorders>
            <w:vAlign w:val="top"/>
          </w:tcPr>
          <w:p w14:paraId="50C2A554">
            <w:pPr>
              <w:pStyle w:val="8"/>
              <w:spacing w:before="119" w:line="184" w:lineRule="auto"/>
              <w:ind w:left="86"/>
            </w:pPr>
            <w:r>
              <w:rPr>
                <w:color w:val="5F6A72"/>
                <w:spacing w:val="-12"/>
              </w:rPr>
              <w:t>Loma Campana</w:t>
            </w:r>
          </w:p>
        </w:tc>
        <w:tc>
          <w:tcPr>
            <w:tcW w:w="1739" w:type="dxa"/>
            <w:tcBorders>
              <w:left w:val="nil"/>
              <w:right w:val="nil"/>
            </w:tcBorders>
            <w:vAlign w:val="top"/>
          </w:tcPr>
          <w:p w14:paraId="76F81885">
            <w:pPr>
              <w:pStyle w:val="8"/>
              <w:spacing w:before="79" w:line="271" w:lineRule="auto"/>
              <w:ind w:left="79" w:right="236"/>
            </w:pPr>
            <w:r>
              <w:rPr>
                <w:color w:val="5F6A72"/>
                <w:spacing w:val="-14"/>
              </w:rPr>
              <w:t>Chevron (50%),</w:t>
            </w:r>
            <w:r>
              <w:rPr>
                <w:color w:val="5F6A72"/>
                <w:spacing w:val="-3"/>
              </w:rPr>
              <w:t xml:space="preserve"> </w:t>
            </w:r>
            <w:r>
              <w:rPr>
                <w:color w:val="5F6A72"/>
                <w:spacing w:val="-14"/>
              </w:rPr>
              <w:t>YPF</w:t>
            </w:r>
            <w:r>
              <w:rPr>
                <w:color w:val="5F6A72"/>
              </w:rPr>
              <w:t xml:space="preserve"> </w:t>
            </w:r>
            <w:r>
              <w:rPr>
                <w:color w:val="5F6A72"/>
                <w:spacing w:val="-12"/>
              </w:rPr>
              <w:t>(50%)</w:t>
            </w:r>
          </w:p>
        </w:tc>
        <w:tc>
          <w:tcPr>
            <w:tcW w:w="1071" w:type="dxa"/>
            <w:tcBorders>
              <w:left w:val="nil"/>
              <w:right w:val="nil"/>
            </w:tcBorders>
            <w:vAlign w:val="top"/>
          </w:tcPr>
          <w:p w14:paraId="2F4673C8">
            <w:pPr>
              <w:pStyle w:val="8"/>
              <w:spacing w:before="188" w:line="89" w:lineRule="exact"/>
              <w:ind w:left="80"/>
            </w:pPr>
            <w:r>
              <w:rPr>
                <w:color w:val="5F6A72"/>
                <w:position w:val="-6"/>
              </w:rPr>
              <w:t>-</w:t>
            </w:r>
          </w:p>
        </w:tc>
        <w:tc>
          <w:tcPr>
            <w:tcW w:w="1143" w:type="dxa"/>
            <w:tcBorders>
              <w:left w:val="nil"/>
              <w:right w:val="nil"/>
            </w:tcBorders>
            <w:vAlign w:val="top"/>
          </w:tcPr>
          <w:p w14:paraId="5D416995">
            <w:pPr>
              <w:pStyle w:val="8"/>
              <w:spacing w:before="79" w:line="238" w:lineRule="exact"/>
              <w:ind w:left="86"/>
            </w:pPr>
            <w:r>
              <w:rPr>
                <w:color w:val="5F6A72"/>
                <w:spacing w:val="-6"/>
                <w:position w:val="1"/>
              </w:rPr>
              <w:t>Production</w:t>
            </w:r>
          </w:p>
        </w:tc>
        <w:tc>
          <w:tcPr>
            <w:tcW w:w="809" w:type="dxa"/>
            <w:tcBorders>
              <w:left w:val="nil"/>
              <w:right w:val="nil"/>
            </w:tcBorders>
            <w:vAlign w:val="top"/>
          </w:tcPr>
          <w:p w14:paraId="166A6E99">
            <w:pPr>
              <w:pStyle w:val="8"/>
              <w:spacing w:before="79" w:line="214" w:lineRule="exact"/>
              <w:ind w:left="84"/>
            </w:pPr>
            <w:r>
              <w:rPr>
                <w:color w:val="5F6A72"/>
                <w:spacing w:val="-6"/>
                <w:position w:val="1"/>
              </w:rPr>
              <w:t>50,000</w:t>
            </w:r>
          </w:p>
        </w:tc>
        <w:tc>
          <w:tcPr>
            <w:tcW w:w="712" w:type="dxa"/>
            <w:tcBorders>
              <w:left w:val="nil"/>
              <w:right w:val="nil"/>
            </w:tcBorders>
            <w:vAlign w:val="top"/>
          </w:tcPr>
          <w:p w14:paraId="7E563C61">
            <w:pPr>
              <w:pStyle w:val="8"/>
              <w:spacing w:before="79" w:line="240" w:lineRule="exact"/>
              <w:ind w:left="86"/>
            </w:pPr>
            <w:r>
              <w:rPr>
                <w:color w:val="5F6A72"/>
                <w:spacing w:val="-7"/>
                <w:position w:val="1"/>
              </w:rPr>
              <w:t>1.2</w:t>
            </w:r>
          </w:p>
        </w:tc>
        <w:tc>
          <w:tcPr>
            <w:tcW w:w="1014" w:type="dxa"/>
            <w:tcBorders>
              <w:left w:val="nil"/>
              <w:right w:val="nil"/>
            </w:tcBorders>
            <w:vAlign w:val="top"/>
          </w:tcPr>
          <w:p w14:paraId="1100F56C">
            <w:pPr>
              <w:pStyle w:val="8"/>
              <w:spacing w:before="79" w:line="234" w:lineRule="auto"/>
              <w:ind w:left="81"/>
            </w:pPr>
            <w:r>
              <w:rPr>
                <w:color w:val="5F6A72"/>
                <w:spacing w:val="-11"/>
              </w:rPr>
              <w:t>Oil &amp; gas</w:t>
            </w:r>
          </w:p>
        </w:tc>
        <w:tc>
          <w:tcPr>
            <w:tcW w:w="783" w:type="dxa"/>
            <w:tcBorders>
              <w:left w:val="nil"/>
              <w:right w:val="nil"/>
            </w:tcBorders>
            <w:vAlign w:val="top"/>
          </w:tcPr>
          <w:p w14:paraId="2EE0F332">
            <w:pPr>
              <w:pStyle w:val="8"/>
              <w:spacing w:before="119" w:line="186" w:lineRule="auto"/>
              <w:ind w:left="81"/>
            </w:pPr>
            <w:r>
              <w:rPr>
                <w:color w:val="5F6A72"/>
                <w:spacing w:val="-9"/>
              </w:rPr>
              <w:t>Onshore</w:t>
            </w:r>
          </w:p>
        </w:tc>
      </w:tr>
    </w:tbl>
    <w:p w14:paraId="5309F180">
      <w:pPr>
        <w:pStyle w:val="4"/>
      </w:pPr>
    </w:p>
    <w:p w14:paraId="5B24D5BB">
      <w:pPr>
        <w:sectPr>
          <w:footerReference r:id="rId15" w:type="default"/>
          <w:pgSz w:w="11906" w:h="16838"/>
          <w:pgMar w:top="400" w:right="490" w:bottom="883" w:left="490" w:header="0" w:footer="0" w:gutter="0"/>
          <w:cols w:space="720" w:num="1"/>
        </w:sectPr>
      </w:pPr>
    </w:p>
    <w:p w14:paraId="575D015B">
      <w:pPr>
        <w:pStyle w:val="4"/>
        <w:spacing w:before="73" w:line="241" w:lineRule="auto"/>
        <w:ind w:left="7372"/>
        <w:rPr>
          <w:sz w:val="20"/>
          <w:szCs w:val="20"/>
        </w:rPr>
      </w:pPr>
      <w:r>
        <w:drawing>
          <wp:anchor distT="0" distB="0" distL="0" distR="0" simplePos="0" relativeHeight="25170124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02272" behindDoc="0" locked="0" layoutInCell="0" allowOverlap="1">
            <wp:simplePos x="0" y="0"/>
            <wp:positionH relativeFrom="page">
              <wp:posOffset>311150</wp:posOffset>
            </wp:positionH>
            <wp:positionV relativeFrom="page">
              <wp:posOffset>0</wp:posOffset>
            </wp:positionV>
            <wp:extent cx="19050" cy="814070"/>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C685389">
      <w:pPr>
        <w:pStyle w:val="4"/>
        <w:spacing w:line="278" w:lineRule="auto"/>
      </w:pPr>
    </w:p>
    <w:p w14:paraId="6D09B96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0AA70D1">
      <w:pPr>
        <w:spacing w:before="7"/>
      </w:pPr>
    </w:p>
    <w:p w14:paraId="04FF57D9">
      <w:pPr>
        <w:spacing w:before="6"/>
      </w:pPr>
    </w:p>
    <w:tbl>
      <w:tblPr>
        <w:tblStyle w:val="7"/>
        <w:tblW w:w="10204" w:type="dxa"/>
        <w:tblInd w:w="35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0"/>
        <w:gridCol w:w="1853"/>
        <w:gridCol w:w="1739"/>
        <w:gridCol w:w="1071"/>
        <w:gridCol w:w="1143"/>
        <w:gridCol w:w="809"/>
        <w:gridCol w:w="712"/>
        <w:gridCol w:w="1014"/>
        <w:gridCol w:w="783"/>
      </w:tblGrid>
      <w:tr w14:paraId="182067A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599" w:hRule="atLeast"/>
        </w:trPr>
        <w:tc>
          <w:tcPr>
            <w:tcW w:w="1080" w:type="dxa"/>
            <w:tcBorders>
              <w:top w:val="single" w:color="D7DADB" w:sz="4" w:space="0"/>
              <w:bottom w:val="single" w:color="D7DADB" w:sz="6" w:space="0"/>
              <w:right w:val="single" w:color="D7DADB" w:sz="6" w:space="0"/>
            </w:tcBorders>
            <w:shd w:val="clear" w:color="auto" w:fill="174174"/>
            <w:vAlign w:val="top"/>
          </w:tcPr>
          <w:p w14:paraId="620B394A">
            <w:pPr>
              <w:pStyle w:val="8"/>
              <w:spacing w:before="119" w:line="183" w:lineRule="auto"/>
              <w:ind w:left="13"/>
            </w:pPr>
            <w:r>
              <w:rPr>
                <w:b/>
                <w:bCs/>
                <w:color w:val="FFFFFF"/>
                <w:spacing w:val="-7"/>
              </w:rPr>
              <w:t>Name</w:t>
            </w:r>
          </w:p>
        </w:tc>
        <w:tc>
          <w:tcPr>
            <w:tcW w:w="1853" w:type="dxa"/>
            <w:tcBorders>
              <w:top w:val="single" w:color="D7DADB" w:sz="4" w:space="0"/>
              <w:left w:val="single" w:color="D7DADB" w:sz="6" w:space="0"/>
              <w:bottom w:val="single" w:color="D7DADB" w:sz="6" w:space="0"/>
            </w:tcBorders>
            <w:shd w:val="clear" w:color="auto" w:fill="174174"/>
            <w:vAlign w:val="top"/>
          </w:tcPr>
          <w:p w14:paraId="15B8118A">
            <w:pPr>
              <w:pStyle w:val="8"/>
              <w:spacing w:before="117" w:line="185" w:lineRule="auto"/>
              <w:ind w:left="85"/>
            </w:pPr>
            <w:r>
              <w:rPr>
                <w:b/>
                <w:bCs/>
                <w:color w:val="FFFFFF"/>
                <w:spacing w:val="-8"/>
              </w:rPr>
              <w:t>Field Name</w:t>
            </w:r>
          </w:p>
        </w:tc>
        <w:tc>
          <w:tcPr>
            <w:tcW w:w="1739" w:type="dxa"/>
            <w:tcBorders>
              <w:top w:val="single" w:color="D7DADB" w:sz="4" w:space="0"/>
              <w:bottom w:val="single" w:color="D7DADB" w:sz="6" w:space="0"/>
            </w:tcBorders>
            <w:shd w:val="clear" w:color="auto" w:fill="174174"/>
            <w:vAlign w:val="top"/>
          </w:tcPr>
          <w:p w14:paraId="2A859BD7">
            <w:pPr>
              <w:pStyle w:val="8"/>
              <w:spacing w:before="117" w:line="184" w:lineRule="auto"/>
              <w:ind w:left="79"/>
            </w:pPr>
            <w:r>
              <w:rPr>
                <w:b/>
                <w:bCs/>
                <w:color w:val="FFFFFF"/>
                <w:spacing w:val="-9"/>
              </w:rPr>
              <w:t>Companies</w:t>
            </w:r>
          </w:p>
        </w:tc>
        <w:tc>
          <w:tcPr>
            <w:tcW w:w="1071" w:type="dxa"/>
            <w:tcBorders>
              <w:top w:val="single" w:color="D7DADB" w:sz="4" w:space="0"/>
              <w:bottom w:val="single" w:color="D7DADB" w:sz="6" w:space="0"/>
            </w:tcBorders>
            <w:shd w:val="clear" w:color="auto" w:fill="174174"/>
            <w:vAlign w:val="top"/>
          </w:tcPr>
          <w:p w14:paraId="615E8117">
            <w:pPr>
              <w:pStyle w:val="8"/>
              <w:spacing w:before="116" w:line="276" w:lineRule="auto"/>
              <w:ind w:left="85" w:right="71" w:hanging="5"/>
            </w:pPr>
            <w:r>
              <w:rPr>
                <w:b/>
                <w:bCs/>
                <w:color w:val="FFFFFF"/>
                <w:spacing w:val="-8"/>
              </w:rPr>
              <w:t>Completion</w:t>
            </w:r>
            <w:r>
              <w:rPr>
                <w:b/>
                <w:bCs/>
                <w:color w:val="FFFFFF"/>
                <w:spacing w:val="7"/>
              </w:rPr>
              <w:t xml:space="preserve"> </w:t>
            </w:r>
            <w:r>
              <w:rPr>
                <w:b/>
                <w:bCs/>
                <w:color w:val="FFFFFF"/>
                <w:spacing w:val="-6"/>
              </w:rPr>
              <w:t>Date</w:t>
            </w:r>
          </w:p>
        </w:tc>
        <w:tc>
          <w:tcPr>
            <w:tcW w:w="1143" w:type="dxa"/>
            <w:tcBorders>
              <w:top w:val="single" w:color="D7DADB" w:sz="4" w:space="0"/>
              <w:bottom w:val="single" w:color="D7DADB" w:sz="6" w:space="0"/>
            </w:tcBorders>
            <w:shd w:val="clear" w:color="auto" w:fill="174174"/>
            <w:vAlign w:val="top"/>
          </w:tcPr>
          <w:p w14:paraId="61FF99BB">
            <w:pPr>
              <w:pStyle w:val="8"/>
              <w:spacing w:before="75" w:line="243" w:lineRule="exact"/>
              <w:ind w:left="76"/>
            </w:pPr>
            <w:r>
              <w:rPr>
                <w:b/>
                <w:bCs/>
                <w:color w:val="FFFFFF"/>
                <w:spacing w:val="-7"/>
                <w:position w:val="1"/>
              </w:rPr>
              <w:t>Status</w:t>
            </w:r>
          </w:p>
          <w:p w14:paraId="20D69B3C">
            <w:pPr>
              <w:pStyle w:val="8"/>
              <w:spacing w:before="48" w:line="186" w:lineRule="auto"/>
              <w:ind w:left="76"/>
            </w:pPr>
            <w:r>
              <w:rPr>
                <w:b/>
                <w:bCs/>
                <w:color w:val="FFFFFF"/>
                <w:spacing w:val="-7"/>
              </w:rPr>
              <w:t>Select</w:t>
            </w:r>
          </w:p>
        </w:tc>
        <w:tc>
          <w:tcPr>
            <w:tcW w:w="809" w:type="dxa"/>
            <w:tcBorders>
              <w:top w:val="single" w:color="D7DADB" w:sz="4" w:space="0"/>
              <w:bottom w:val="single" w:color="D7DADB" w:sz="6" w:space="0"/>
            </w:tcBorders>
            <w:shd w:val="clear" w:color="auto" w:fill="174174"/>
            <w:vAlign w:val="top"/>
          </w:tcPr>
          <w:p w14:paraId="3710DAE5">
            <w:pPr>
              <w:pStyle w:val="8"/>
              <w:spacing w:before="119" w:line="183" w:lineRule="auto"/>
              <w:ind w:left="86"/>
            </w:pPr>
            <w:r>
              <w:rPr>
                <w:b/>
                <w:bCs/>
                <w:color w:val="FFFFFF"/>
                <w:spacing w:val="-9"/>
              </w:rPr>
              <w:t>Est.</w:t>
            </w:r>
          </w:p>
          <w:p w14:paraId="76120B2E">
            <w:pPr>
              <w:pStyle w:val="8"/>
              <w:spacing w:before="48" w:line="243" w:lineRule="exact"/>
              <w:ind w:left="86"/>
            </w:pPr>
            <w:r>
              <w:rPr>
                <w:b/>
                <w:bCs/>
                <w:color w:val="FFFFFF"/>
                <w:spacing w:val="-11"/>
                <w:position w:val="1"/>
              </w:rPr>
              <w:t>Peak</w:t>
            </w:r>
          </w:p>
          <w:p w14:paraId="1BA25284">
            <w:pPr>
              <w:pStyle w:val="8"/>
              <w:spacing w:before="32" w:line="208" w:lineRule="auto"/>
              <w:ind w:left="80"/>
            </w:pPr>
            <w:r>
              <w:rPr>
                <w:b/>
                <w:bCs/>
                <w:color w:val="FFFFFF"/>
                <w:spacing w:val="5"/>
              </w:rPr>
              <w:t>Oil/</w:t>
            </w:r>
          </w:p>
          <w:p w14:paraId="5EAD36C4">
            <w:pPr>
              <w:pStyle w:val="8"/>
              <w:spacing w:before="86" w:line="184" w:lineRule="auto"/>
              <w:ind w:left="86"/>
            </w:pPr>
            <w:r>
              <w:rPr>
                <w:b/>
                <w:bCs/>
                <w:color w:val="FFFFFF"/>
                <w:spacing w:val="-9"/>
              </w:rPr>
              <w:t>Liquids</w:t>
            </w:r>
          </w:p>
          <w:p w14:paraId="3D577EEA">
            <w:pPr>
              <w:pStyle w:val="8"/>
              <w:spacing w:before="92" w:line="247" w:lineRule="auto"/>
              <w:ind w:left="79" w:right="236" w:firstLine="6"/>
            </w:pPr>
            <w:r>
              <w:rPr>
                <w:b/>
                <w:bCs/>
                <w:color w:val="FFFFFF"/>
                <w:spacing w:val="-13"/>
              </w:rPr>
              <w:t>Range</w:t>
            </w:r>
            <w:r>
              <w:rPr>
                <w:b/>
                <w:bCs/>
                <w:color w:val="FFFFFF"/>
              </w:rPr>
              <w:t xml:space="preserve"> </w:t>
            </w:r>
            <w:r>
              <w:rPr>
                <w:b/>
                <w:bCs/>
                <w:color w:val="FFFFFF"/>
                <w:spacing w:val="2"/>
              </w:rPr>
              <w:t>(b/d)</w:t>
            </w:r>
          </w:p>
        </w:tc>
        <w:tc>
          <w:tcPr>
            <w:tcW w:w="712" w:type="dxa"/>
            <w:tcBorders>
              <w:top w:val="single" w:color="D7DADB" w:sz="4" w:space="0"/>
              <w:bottom w:val="single" w:color="D7DADB" w:sz="6" w:space="0"/>
            </w:tcBorders>
            <w:shd w:val="clear" w:color="auto" w:fill="174174"/>
            <w:vAlign w:val="top"/>
          </w:tcPr>
          <w:p w14:paraId="082D8EE1">
            <w:pPr>
              <w:pStyle w:val="8"/>
              <w:spacing w:before="119" w:line="183" w:lineRule="auto"/>
              <w:ind w:left="86"/>
            </w:pPr>
            <w:r>
              <w:rPr>
                <w:b/>
                <w:bCs/>
                <w:color w:val="FFFFFF"/>
                <w:spacing w:val="-9"/>
              </w:rPr>
              <w:t>Est.</w:t>
            </w:r>
          </w:p>
          <w:p w14:paraId="30E64A2A">
            <w:pPr>
              <w:pStyle w:val="8"/>
              <w:spacing w:before="48" w:line="292" w:lineRule="auto"/>
              <w:ind w:left="80" w:right="253" w:firstLine="5"/>
            </w:pPr>
            <w:r>
              <w:rPr>
                <w:b/>
                <w:bCs/>
                <w:color w:val="FFFFFF"/>
                <w:spacing w:val="-13"/>
              </w:rPr>
              <w:t>Peak</w:t>
            </w:r>
            <w:r>
              <w:rPr>
                <w:b/>
                <w:bCs/>
                <w:color w:val="FFFFFF"/>
                <w:spacing w:val="2"/>
              </w:rPr>
              <w:t xml:space="preserve"> </w:t>
            </w:r>
            <w:r>
              <w:rPr>
                <w:b/>
                <w:bCs/>
                <w:color w:val="FFFFFF"/>
                <w:spacing w:val="-14"/>
              </w:rPr>
              <w:t>Gas</w:t>
            </w:r>
          </w:p>
          <w:p w14:paraId="117C5A63">
            <w:pPr>
              <w:pStyle w:val="8"/>
              <w:spacing w:before="37" w:line="184" w:lineRule="auto"/>
              <w:ind w:left="80"/>
            </w:pPr>
            <w:r>
              <w:rPr>
                <w:b/>
                <w:bCs/>
                <w:color w:val="FFFFFF"/>
                <w:spacing w:val="-5"/>
              </w:rPr>
              <w:t>Output</w:t>
            </w:r>
          </w:p>
          <w:p w14:paraId="2CDD3974">
            <w:pPr>
              <w:pStyle w:val="8"/>
              <w:spacing w:before="49" w:line="241" w:lineRule="auto"/>
              <w:ind w:left="79"/>
            </w:pPr>
            <w:r>
              <w:rPr>
                <w:b/>
                <w:bCs/>
                <w:color w:val="FFFFFF"/>
                <w:spacing w:val="-8"/>
              </w:rPr>
              <w:t>(bcm)</w:t>
            </w:r>
          </w:p>
        </w:tc>
        <w:tc>
          <w:tcPr>
            <w:tcW w:w="1014" w:type="dxa"/>
            <w:tcBorders>
              <w:top w:val="single" w:color="D7DADB" w:sz="4" w:space="0"/>
              <w:bottom w:val="single" w:color="D7DADB" w:sz="6" w:space="0"/>
            </w:tcBorders>
            <w:shd w:val="clear" w:color="auto" w:fill="174174"/>
            <w:vAlign w:val="top"/>
          </w:tcPr>
          <w:p w14:paraId="280338C6">
            <w:pPr>
              <w:pStyle w:val="8"/>
              <w:spacing w:before="117" w:line="184" w:lineRule="auto"/>
              <w:ind w:left="73"/>
            </w:pPr>
            <w:r>
              <w:rPr>
                <w:b/>
                <w:bCs/>
                <w:color w:val="FFFFFF"/>
                <w:spacing w:val="-9"/>
              </w:rPr>
              <w:t>Type Of</w:t>
            </w:r>
          </w:p>
          <w:p w14:paraId="5CAB4037">
            <w:pPr>
              <w:pStyle w:val="8"/>
              <w:spacing w:before="49" w:line="241" w:lineRule="auto"/>
              <w:ind w:left="86"/>
            </w:pPr>
            <w:r>
              <w:rPr>
                <w:b/>
                <w:bCs/>
                <w:color w:val="FFFFFF"/>
                <w:spacing w:val="-8"/>
              </w:rPr>
              <w:t>Project</w:t>
            </w:r>
          </w:p>
        </w:tc>
        <w:tc>
          <w:tcPr>
            <w:tcW w:w="783" w:type="dxa"/>
            <w:tcBorders>
              <w:top w:val="single" w:color="D7DADB" w:sz="4" w:space="0"/>
              <w:bottom w:val="single" w:color="D7DADB" w:sz="6" w:space="0"/>
            </w:tcBorders>
            <w:shd w:val="clear" w:color="auto" w:fill="174174"/>
            <w:vAlign w:val="top"/>
          </w:tcPr>
          <w:p w14:paraId="09EE09D4">
            <w:pPr>
              <w:pStyle w:val="8"/>
              <w:spacing w:before="116" w:line="187" w:lineRule="auto"/>
              <w:ind w:left="81"/>
            </w:pPr>
            <w:r>
              <w:rPr>
                <w:b/>
                <w:bCs/>
                <w:color w:val="FFFFFF"/>
                <w:spacing w:val="-9"/>
              </w:rPr>
              <w:t>On-</w:t>
            </w:r>
          </w:p>
          <w:p w14:paraId="191BBE42">
            <w:pPr>
              <w:pStyle w:val="8"/>
              <w:spacing w:before="47" w:line="290" w:lineRule="auto"/>
              <w:ind w:left="80" w:right="161" w:hanging="2"/>
            </w:pPr>
            <w:r>
              <w:rPr>
                <w:b/>
                <w:bCs/>
                <w:color w:val="FFFFFF"/>
              </w:rPr>
              <w:t>shore</w:t>
            </w:r>
            <w:r>
              <w:rPr>
                <w:b/>
                <w:bCs/>
                <w:color w:val="FFFFFF"/>
                <w:spacing w:val="3"/>
              </w:rPr>
              <w:t>/</w:t>
            </w:r>
            <w:r>
              <w:rPr>
                <w:b/>
                <w:bCs/>
                <w:color w:val="FFFFFF"/>
              </w:rPr>
              <w:t xml:space="preserve"> </w:t>
            </w:r>
            <w:r>
              <w:rPr>
                <w:b/>
                <w:bCs/>
                <w:color w:val="FFFFFF"/>
                <w:spacing w:val="-2"/>
              </w:rPr>
              <w:t>Off-</w:t>
            </w:r>
          </w:p>
          <w:p w14:paraId="3A044AD6">
            <w:pPr>
              <w:pStyle w:val="8"/>
              <w:spacing w:line="243" w:lineRule="exact"/>
              <w:ind w:left="78"/>
            </w:pPr>
            <w:r>
              <w:rPr>
                <w:b/>
                <w:bCs/>
                <w:color w:val="FFFFFF"/>
                <w:spacing w:val="-8"/>
                <w:position w:val="1"/>
              </w:rPr>
              <w:t>shore</w:t>
            </w:r>
          </w:p>
        </w:tc>
      </w:tr>
      <w:tr w14:paraId="22EF9D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86" w:hRule="atLeast"/>
        </w:trPr>
        <w:tc>
          <w:tcPr>
            <w:tcW w:w="1080" w:type="dxa"/>
            <w:tcBorders>
              <w:top w:val="single" w:color="D7DADB" w:sz="6" w:space="0"/>
              <w:bottom w:val="single" w:color="D7DADB" w:sz="6" w:space="0"/>
              <w:right w:val="single" w:color="D7DADB" w:sz="6" w:space="0"/>
            </w:tcBorders>
            <w:vAlign w:val="top"/>
          </w:tcPr>
          <w:p w14:paraId="58AB166E">
            <w:pPr>
              <w:pStyle w:val="8"/>
              <w:spacing w:before="106" w:line="270" w:lineRule="auto"/>
              <w:ind w:left="16" w:right="381" w:firstLine="2"/>
            </w:pPr>
            <w:r>
              <w:rPr>
                <w:color w:val="2A8ABF"/>
                <w:spacing w:val="-9"/>
              </w:rPr>
              <w:t>Neuquen</w:t>
            </w:r>
            <w:r>
              <w:rPr>
                <w:color w:val="2A8ABF"/>
                <w:spacing w:val="4"/>
              </w:rPr>
              <w:t xml:space="preserve"> </w:t>
            </w:r>
            <w:r>
              <w:rPr>
                <w:color w:val="2A8ABF"/>
                <w:spacing w:val="-11"/>
              </w:rPr>
              <w:t>basin</w:t>
            </w:r>
          </w:p>
        </w:tc>
        <w:tc>
          <w:tcPr>
            <w:tcW w:w="1853" w:type="dxa"/>
            <w:tcBorders>
              <w:top w:val="single" w:color="D7DADB" w:sz="6" w:space="0"/>
              <w:left w:val="single" w:color="D7DADB" w:sz="6" w:space="0"/>
              <w:bottom w:val="single" w:color="D7DADB" w:sz="6" w:space="0"/>
            </w:tcBorders>
            <w:vAlign w:val="top"/>
          </w:tcPr>
          <w:p w14:paraId="66D707C6">
            <w:pPr>
              <w:pStyle w:val="8"/>
              <w:rPr>
                <w:sz w:val="21"/>
              </w:rPr>
            </w:pPr>
          </w:p>
        </w:tc>
        <w:tc>
          <w:tcPr>
            <w:tcW w:w="1739" w:type="dxa"/>
            <w:tcBorders>
              <w:top w:val="single" w:color="D7DADB" w:sz="6" w:space="0"/>
              <w:bottom w:val="single" w:color="D7DADB" w:sz="6" w:space="0"/>
            </w:tcBorders>
            <w:vAlign w:val="top"/>
          </w:tcPr>
          <w:p w14:paraId="6B8A6D69">
            <w:pPr>
              <w:pStyle w:val="8"/>
              <w:rPr>
                <w:sz w:val="21"/>
              </w:rPr>
            </w:pPr>
          </w:p>
        </w:tc>
        <w:tc>
          <w:tcPr>
            <w:tcW w:w="1071" w:type="dxa"/>
            <w:tcBorders>
              <w:top w:val="single" w:color="D7DADB" w:sz="6" w:space="0"/>
              <w:bottom w:val="single" w:color="D7DADB" w:sz="6" w:space="0"/>
            </w:tcBorders>
            <w:vAlign w:val="top"/>
          </w:tcPr>
          <w:p w14:paraId="577AFE61">
            <w:pPr>
              <w:pStyle w:val="8"/>
              <w:rPr>
                <w:sz w:val="21"/>
              </w:rPr>
            </w:pPr>
          </w:p>
        </w:tc>
        <w:tc>
          <w:tcPr>
            <w:tcW w:w="1143" w:type="dxa"/>
            <w:tcBorders>
              <w:top w:val="single" w:color="D7DADB" w:sz="6" w:space="0"/>
              <w:bottom w:val="single" w:color="D7DADB" w:sz="6" w:space="0"/>
            </w:tcBorders>
            <w:vAlign w:val="top"/>
          </w:tcPr>
          <w:p w14:paraId="3A93C093">
            <w:pPr>
              <w:pStyle w:val="8"/>
              <w:rPr>
                <w:sz w:val="21"/>
              </w:rPr>
            </w:pPr>
          </w:p>
        </w:tc>
        <w:tc>
          <w:tcPr>
            <w:tcW w:w="809" w:type="dxa"/>
            <w:tcBorders>
              <w:top w:val="single" w:color="D7DADB" w:sz="6" w:space="0"/>
              <w:bottom w:val="single" w:color="D7DADB" w:sz="6" w:space="0"/>
            </w:tcBorders>
            <w:vAlign w:val="top"/>
          </w:tcPr>
          <w:p w14:paraId="2243B18C">
            <w:pPr>
              <w:pStyle w:val="8"/>
              <w:rPr>
                <w:sz w:val="21"/>
              </w:rPr>
            </w:pPr>
          </w:p>
        </w:tc>
        <w:tc>
          <w:tcPr>
            <w:tcW w:w="712" w:type="dxa"/>
            <w:tcBorders>
              <w:top w:val="single" w:color="D7DADB" w:sz="6" w:space="0"/>
              <w:bottom w:val="single" w:color="D7DADB" w:sz="6" w:space="0"/>
            </w:tcBorders>
            <w:vAlign w:val="top"/>
          </w:tcPr>
          <w:p w14:paraId="2B28514C">
            <w:pPr>
              <w:pStyle w:val="8"/>
              <w:rPr>
                <w:sz w:val="21"/>
              </w:rPr>
            </w:pPr>
          </w:p>
        </w:tc>
        <w:tc>
          <w:tcPr>
            <w:tcW w:w="1014" w:type="dxa"/>
            <w:tcBorders>
              <w:top w:val="single" w:color="D7DADB" w:sz="6" w:space="0"/>
              <w:bottom w:val="single" w:color="D7DADB" w:sz="6" w:space="0"/>
            </w:tcBorders>
            <w:vAlign w:val="top"/>
          </w:tcPr>
          <w:p w14:paraId="4A433A95">
            <w:pPr>
              <w:pStyle w:val="8"/>
              <w:rPr>
                <w:sz w:val="21"/>
              </w:rPr>
            </w:pPr>
          </w:p>
        </w:tc>
        <w:tc>
          <w:tcPr>
            <w:tcW w:w="783" w:type="dxa"/>
            <w:tcBorders>
              <w:top w:val="single" w:color="D7DADB" w:sz="6" w:space="0"/>
              <w:bottom w:val="single" w:color="D7DADB" w:sz="6" w:space="0"/>
            </w:tcBorders>
            <w:vAlign w:val="top"/>
          </w:tcPr>
          <w:p w14:paraId="7C66066A">
            <w:pPr>
              <w:pStyle w:val="8"/>
              <w:rPr>
                <w:sz w:val="21"/>
              </w:rPr>
            </w:pPr>
          </w:p>
        </w:tc>
      </w:tr>
      <w:tr w14:paraId="7ED7CD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36" w:hRule="atLeast"/>
        </w:trPr>
        <w:tc>
          <w:tcPr>
            <w:tcW w:w="1080" w:type="dxa"/>
            <w:tcBorders>
              <w:top w:val="single" w:color="D7DADB" w:sz="6" w:space="0"/>
              <w:bottom w:val="single" w:color="D7DADB" w:sz="6" w:space="0"/>
              <w:right w:val="single" w:color="D7DADB" w:sz="6" w:space="0"/>
            </w:tcBorders>
            <w:shd w:val="clear" w:color="auto" w:fill="EAF9FF"/>
            <w:vAlign w:val="top"/>
          </w:tcPr>
          <w:p w14:paraId="79CCA7FF">
            <w:pPr>
              <w:pStyle w:val="8"/>
              <w:spacing w:before="65" w:line="290" w:lineRule="auto"/>
              <w:ind w:left="18" w:right="105"/>
            </w:pPr>
            <w:r>
              <w:rPr>
                <w:color w:val="2A8ABF"/>
                <w:spacing w:val="-11"/>
              </w:rPr>
              <w:t>Loma la Lata,</w:t>
            </w:r>
            <w:r>
              <w:rPr>
                <w:color w:val="2A8ABF"/>
              </w:rPr>
              <w:t xml:space="preserve"> </w:t>
            </w:r>
            <w:r>
              <w:rPr>
                <w:color w:val="2A8ABF"/>
                <w:spacing w:val="-8"/>
              </w:rPr>
              <w:t>Neuquen</w:t>
            </w:r>
          </w:p>
          <w:p w14:paraId="640A3BF5">
            <w:pPr>
              <w:pStyle w:val="8"/>
              <w:spacing w:line="237" w:lineRule="exact"/>
              <w:ind w:left="16"/>
            </w:pPr>
            <w:r>
              <w:rPr>
                <w:color w:val="2A8ABF"/>
                <w:spacing w:val="-11"/>
                <w:position w:val="1"/>
              </w:rPr>
              <w:t>basin</w:t>
            </w:r>
          </w:p>
        </w:tc>
        <w:tc>
          <w:tcPr>
            <w:tcW w:w="1853" w:type="dxa"/>
            <w:tcBorders>
              <w:top w:val="single" w:color="D7DADB" w:sz="6" w:space="0"/>
              <w:left w:val="single" w:color="D7DADB" w:sz="6" w:space="0"/>
              <w:bottom w:val="single" w:color="D7DADB" w:sz="6" w:space="0"/>
            </w:tcBorders>
            <w:shd w:val="clear" w:color="auto" w:fill="EAF9FF"/>
            <w:vAlign w:val="top"/>
          </w:tcPr>
          <w:p w14:paraId="797955E4">
            <w:pPr>
              <w:pStyle w:val="8"/>
              <w:spacing w:before="65" w:line="237" w:lineRule="exact"/>
              <w:ind w:left="86"/>
            </w:pPr>
            <w:r>
              <w:rPr>
                <w:color w:val="5F6A72"/>
                <w:spacing w:val="-11"/>
                <w:position w:val="1"/>
              </w:rPr>
              <w:t>Loma la</w:t>
            </w:r>
            <w:r>
              <w:rPr>
                <w:color w:val="5F6A72"/>
                <w:position w:val="1"/>
              </w:rPr>
              <w:t xml:space="preserve"> </w:t>
            </w:r>
            <w:r>
              <w:rPr>
                <w:color w:val="5F6A72"/>
                <w:spacing w:val="-11"/>
                <w:position w:val="1"/>
              </w:rPr>
              <w:t>Lata</w:t>
            </w:r>
          </w:p>
        </w:tc>
        <w:tc>
          <w:tcPr>
            <w:tcW w:w="1739" w:type="dxa"/>
            <w:tcBorders>
              <w:top w:val="single" w:color="D7DADB" w:sz="6" w:space="0"/>
              <w:bottom w:val="single" w:color="D7DADB" w:sz="6" w:space="0"/>
            </w:tcBorders>
            <w:shd w:val="clear" w:color="auto" w:fill="EAF9FF"/>
            <w:vAlign w:val="top"/>
          </w:tcPr>
          <w:p w14:paraId="4346B3D7">
            <w:pPr>
              <w:pStyle w:val="8"/>
              <w:spacing w:before="64" w:line="271" w:lineRule="auto"/>
              <w:ind w:left="78" w:right="236" w:hanging="7"/>
            </w:pPr>
            <w:r>
              <w:rPr>
                <w:color w:val="5F6A72"/>
                <w:spacing w:val="-13"/>
              </w:rPr>
              <w:t>YPF (50%), Chevron</w:t>
            </w:r>
            <w:r>
              <w:rPr>
                <w:color w:val="5F6A72"/>
                <w:spacing w:val="2"/>
              </w:rPr>
              <w:t xml:space="preserve"> </w:t>
            </w:r>
            <w:r>
              <w:rPr>
                <w:color w:val="5F6A72"/>
                <w:spacing w:val="-12"/>
              </w:rPr>
              <w:t>(50%)</w:t>
            </w:r>
          </w:p>
        </w:tc>
        <w:tc>
          <w:tcPr>
            <w:tcW w:w="1071" w:type="dxa"/>
            <w:tcBorders>
              <w:top w:val="single" w:color="D7DADB" w:sz="6" w:space="0"/>
              <w:bottom w:val="single" w:color="D7DADB" w:sz="6" w:space="0"/>
            </w:tcBorders>
            <w:shd w:val="clear" w:color="auto" w:fill="EAF9FF"/>
            <w:vAlign w:val="top"/>
          </w:tcPr>
          <w:p w14:paraId="38E2E544">
            <w:pPr>
              <w:pStyle w:val="8"/>
              <w:spacing w:before="173" w:line="90" w:lineRule="exact"/>
              <w:ind w:left="80"/>
            </w:pPr>
            <w:r>
              <w:rPr>
                <w:color w:val="5F6A72"/>
                <w:position w:val="-6"/>
              </w:rPr>
              <w:t>-</w:t>
            </w:r>
          </w:p>
        </w:tc>
        <w:tc>
          <w:tcPr>
            <w:tcW w:w="1143" w:type="dxa"/>
            <w:tcBorders>
              <w:top w:val="single" w:color="D7DADB" w:sz="6" w:space="0"/>
              <w:bottom w:val="single" w:color="D7DADB" w:sz="6" w:space="0"/>
            </w:tcBorders>
            <w:shd w:val="clear" w:color="auto" w:fill="EAF9FF"/>
            <w:vAlign w:val="top"/>
          </w:tcPr>
          <w:p w14:paraId="646ADF73">
            <w:pPr>
              <w:pStyle w:val="8"/>
              <w:spacing w:before="65" w:line="237" w:lineRule="exact"/>
              <w:ind w:left="86"/>
            </w:pPr>
            <w:r>
              <w:rPr>
                <w:color w:val="5F6A72"/>
                <w:spacing w:val="-6"/>
                <w:position w:val="1"/>
              </w:rPr>
              <w:t>Production</w:t>
            </w:r>
          </w:p>
        </w:tc>
        <w:tc>
          <w:tcPr>
            <w:tcW w:w="809" w:type="dxa"/>
            <w:tcBorders>
              <w:top w:val="single" w:color="D7DADB" w:sz="6" w:space="0"/>
              <w:bottom w:val="single" w:color="D7DADB" w:sz="6" w:space="0"/>
            </w:tcBorders>
            <w:shd w:val="clear" w:color="auto" w:fill="EAF9FF"/>
            <w:vAlign w:val="top"/>
          </w:tcPr>
          <w:p w14:paraId="7A6513DE">
            <w:pPr>
              <w:pStyle w:val="8"/>
              <w:spacing w:before="139" w:line="126" w:lineRule="exact"/>
              <w:ind w:left="84"/>
            </w:pPr>
            <w:r>
              <w:rPr>
                <w:color w:val="5F6A72"/>
                <w:spacing w:val="-8"/>
                <w:position w:val="-2"/>
              </w:rPr>
              <w:t>na</w:t>
            </w:r>
          </w:p>
        </w:tc>
        <w:tc>
          <w:tcPr>
            <w:tcW w:w="712" w:type="dxa"/>
            <w:tcBorders>
              <w:top w:val="single" w:color="D7DADB" w:sz="6" w:space="0"/>
              <w:bottom w:val="single" w:color="D7DADB" w:sz="6" w:space="0"/>
            </w:tcBorders>
            <w:shd w:val="clear" w:color="auto" w:fill="EAF9FF"/>
            <w:vAlign w:val="top"/>
          </w:tcPr>
          <w:p w14:paraId="4C82CF7D">
            <w:pPr>
              <w:pStyle w:val="8"/>
              <w:spacing w:before="65" w:line="237" w:lineRule="exact"/>
              <w:ind w:left="86"/>
            </w:pPr>
            <w:r>
              <w:rPr>
                <w:color w:val="5F6A72"/>
                <w:spacing w:val="-7"/>
                <w:position w:val="1"/>
              </w:rPr>
              <w:t>18.8</w:t>
            </w:r>
          </w:p>
        </w:tc>
        <w:tc>
          <w:tcPr>
            <w:tcW w:w="1014" w:type="dxa"/>
            <w:tcBorders>
              <w:top w:val="single" w:color="D7DADB" w:sz="6" w:space="0"/>
              <w:bottom w:val="single" w:color="D7DADB" w:sz="6" w:space="0"/>
            </w:tcBorders>
            <w:shd w:val="clear" w:color="auto" w:fill="EAF9FF"/>
            <w:vAlign w:val="top"/>
          </w:tcPr>
          <w:p w14:paraId="644D867F">
            <w:pPr>
              <w:pStyle w:val="8"/>
              <w:spacing w:before="104" w:line="186" w:lineRule="auto"/>
              <w:ind w:left="81"/>
            </w:pPr>
            <w:r>
              <w:rPr>
                <w:color w:val="5F6A72"/>
                <w:spacing w:val="-15"/>
                <w:w w:val="97"/>
              </w:rPr>
              <w:t>Gas</w:t>
            </w:r>
          </w:p>
        </w:tc>
        <w:tc>
          <w:tcPr>
            <w:tcW w:w="783" w:type="dxa"/>
            <w:tcBorders>
              <w:top w:val="single" w:color="D7DADB" w:sz="6" w:space="0"/>
              <w:bottom w:val="single" w:color="D7DADB" w:sz="6" w:space="0"/>
            </w:tcBorders>
            <w:shd w:val="clear" w:color="auto" w:fill="EAF9FF"/>
            <w:vAlign w:val="top"/>
          </w:tcPr>
          <w:p w14:paraId="7F055E1A">
            <w:pPr>
              <w:pStyle w:val="8"/>
              <w:spacing w:before="104" w:line="186" w:lineRule="auto"/>
              <w:ind w:left="81"/>
            </w:pPr>
            <w:r>
              <w:rPr>
                <w:color w:val="5F6A72"/>
                <w:spacing w:val="-9"/>
              </w:rPr>
              <w:t>Onshore</w:t>
            </w:r>
          </w:p>
        </w:tc>
      </w:tr>
      <w:tr w14:paraId="79B240C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86" w:hRule="atLeast"/>
        </w:trPr>
        <w:tc>
          <w:tcPr>
            <w:tcW w:w="1080" w:type="dxa"/>
            <w:tcBorders>
              <w:top w:val="single" w:color="D7DADB" w:sz="6" w:space="0"/>
              <w:bottom w:val="single" w:color="D7DADB" w:sz="6" w:space="0"/>
              <w:right w:val="single" w:color="D7DADB" w:sz="6" w:space="0"/>
            </w:tcBorders>
            <w:vAlign w:val="top"/>
          </w:tcPr>
          <w:p w14:paraId="7EAA6491">
            <w:pPr>
              <w:pStyle w:val="8"/>
              <w:spacing w:before="105" w:line="177" w:lineRule="auto"/>
              <w:ind w:left="18"/>
            </w:pPr>
            <w:r>
              <w:rPr>
                <w:color w:val="2A8ABF"/>
                <w:spacing w:val="-10"/>
              </w:rPr>
              <w:t>Morena</w:t>
            </w:r>
            <w:r>
              <w:rPr>
                <w:color w:val="2A8ABF"/>
                <w:spacing w:val="-13"/>
              </w:rPr>
              <w:t xml:space="preserve"> </w:t>
            </w:r>
            <w:r>
              <w:rPr>
                <w:color w:val="2A8ABF"/>
                <w:spacing w:val="-10"/>
              </w:rPr>
              <w:t>Sur,</w:t>
            </w:r>
          </w:p>
          <w:p w14:paraId="5EF6E82F">
            <w:pPr>
              <w:pStyle w:val="8"/>
              <w:spacing w:before="57" w:line="238" w:lineRule="exact"/>
              <w:ind w:left="3"/>
            </w:pPr>
            <w:r>
              <w:rPr>
                <w:color w:val="2A8ABF"/>
                <w:spacing w:val="-8"/>
                <w:position w:val="1"/>
              </w:rPr>
              <w:t>Austral basin</w:t>
            </w:r>
          </w:p>
        </w:tc>
        <w:tc>
          <w:tcPr>
            <w:tcW w:w="1853" w:type="dxa"/>
            <w:tcBorders>
              <w:top w:val="single" w:color="D7DADB" w:sz="6" w:space="0"/>
              <w:left w:val="single" w:color="D7DADB" w:sz="6" w:space="0"/>
              <w:bottom w:val="single" w:color="D7DADB" w:sz="6" w:space="0"/>
            </w:tcBorders>
            <w:vAlign w:val="top"/>
          </w:tcPr>
          <w:p w14:paraId="68CF0CE9">
            <w:pPr>
              <w:pStyle w:val="8"/>
              <w:spacing w:before="105" w:line="186" w:lineRule="auto"/>
              <w:ind w:left="86"/>
            </w:pPr>
            <w:r>
              <w:rPr>
                <w:color w:val="5F6A72"/>
                <w:spacing w:val="-11"/>
              </w:rPr>
              <w:t>Morena</w:t>
            </w:r>
            <w:r>
              <w:rPr>
                <w:color w:val="5F6A72"/>
                <w:spacing w:val="-6"/>
              </w:rPr>
              <w:t xml:space="preserve"> </w:t>
            </w:r>
            <w:r>
              <w:rPr>
                <w:color w:val="5F6A72"/>
                <w:spacing w:val="-11"/>
              </w:rPr>
              <w:t>Sur</w:t>
            </w:r>
          </w:p>
        </w:tc>
        <w:tc>
          <w:tcPr>
            <w:tcW w:w="1739" w:type="dxa"/>
            <w:tcBorders>
              <w:top w:val="single" w:color="D7DADB" w:sz="6" w:space="0"/>
              <w:bottom w:val="single" w:color="D7DADB" w:sz="6" w:space="0"/>
            </w:tcBorders>
            <w:vAlign w:val="top"/>
          </w:tcPr>
          <w:p w14:paraId="61F79FE1">
            <w:pPr>
              <w:pStyle w:val="8"/>
              <w:spacing w:before="65" w:line="271" w:lineRule="auto"/>
              <w:ind w:left="80" w:right="94"/>
            </w:pPr>
            <w:r>
              <w:rPr>
                <w:color w:val="5F6A72"/>
                <w:spacing w:val="-11"/>
              </w:rPr>
              <w:t>Compania General de</w:t>
            </w:r>
            <w:r>
              <w:rPr>
                <w:color w:val="5F6A72"/>
                <w:spacing w:val="10"/>
              </w:rPr>
              <w:t xml:space="preserve"> </w:t>
            </w:r>
            <w:r>
              <w:rPr>
                <w:color w:val="5F6A72"/>
                <w:spacing w:val="-9"/>
              </w:rPr>
              <w:t>Combustibles (100%)</w:t>
            </w:r>
          </w:p>
        </w:tc>
        <w:tc>
          <w:tcPr>
            <w:tcW w:w="1071" w:type="dxa"/>
            <w:tcBorders>
              <w:top w:val="single" w:color="D7DADB" w:sz="6" w:space="0"/>
              <w:bottom w:val="single" w:color="D7DADB" w:sz="6" w:space="0"/>
            </w:tcBorders>
            <w:vAlign w:val="top"/>
          </w:tcPr>
          <w:p w14:paraId="3DC05F31">
            <w:pPr>
              <w:pStyle w:val="8"/>
              <w:spacing w:before="174" w:line="89" w:lineRule="exact"/>
              <w:ind w:left="80"/>
            </w:pPr>
            <w:r>
              <w:rPr>
                <w:color w:val="5F6A72"/>
                <w:position w:val="-6"/>
              </w:rPr>
              <w:t>-</w:t>
            </w:r>
          </w:p>
        </w:tc>
        <w:tc>
          <w:tcPr>
            <w:tcW w:w="1143" w:type="dxa"/>
            <w:tcBorders>
              <w:top w:val="single" w:color="D7DADB" w:sz="6" w:space="0"/>
              <w:bottom w:val="single" w:color="D7DADB" w:sz="6" w:space="0"/>
            </w:tcBorders>
            <w:vAlign w:val="top"/>
          </w:tcPr>
          <w:p w14:paraId="7B0D0B73">
            <w:pPr>
              <w:pStyle w:val="8"/>
              <w:spacing w:before="107" w:line="181" w:lineRule="auto"/>
              <w:ind w:left="86"/>
            </w:pPr>
            <w:r>
              <w:rPr>
                <w:color w:val="5F6A72"/>
                <w:spacing w:val="-10"/>
              </w:rPr>
              <w:t>Discovery</w:t>
            </w:r>
          </w:p>
        </w:tc>
        <w:tc>
          <w:tcPr>
            <w:tcW w:w="809" w:type="dxa"/>
            <w:tcBorders>
              <w:top w:val="single" w:color="D7DADB" w:sz="6" w:space="0"/>
              <w:bottom w:val="single" w:color="D7DADB" w:sz="6" w:space="0"/>
            </w:tcBorders>
            <w:vAlign w:val="top"/>
          </w:tcPr>
          <w:p w14:paraId="570880E6">
            <w:pPr>
              <w:pStyle w:val="8"/>
              <w:spacing w:before="139" w:line="126" w:lineRule="exact"/>
              <w:ind w:left="84"/>
            </w:pPr>
            <w:r>
              <w:rPr>
                <w:color w:val="5F6A72"/>
                <w:spacing w:val="-8"/>
                <w:position w:val="-2"/>
              </w:rPr>
              <w:t>na</w:t>
            </w:r>
          </w:p>
        </w:tc>
        <w:tc>
          <w:tcPr>
            <w:tcW w:w="712" w:type="dxa"/>
            <w:tcBorders>
              <w:top w:val="single" w:color="D7DADB" w:sz="6" w:space="0"/>
              <w:bottom w:val="single" w:color="D7DADB" w:sz="6" w:space="0"/>
            </w:tcBorders>
            <w:vAlign w:val="top"/>
          </w:tcPr>
          <w:p w14:paraId="158B5B3A">
            <w:pPr>
              <w:pStyle w:val="8"/>
              <w:spacing w:before="139" w:line="126" w:lineRule="exact"/>
              <w:ind w:left="84"/>
            </w:pPr>
            <w:r>
              <w:rPr>
                <w:color w:val="5F6A72"/>
                <w:spacing w:val="-8"/>
                <w:position w:val="-2"/>
              </w:rPr>
              <w:t>na</w:t>
            </w:r>
          </w:p>
        </w:tc>
        <w:tc>
          <w:tcPr>
            <w:tcW w:w="1014" w:type="dxa"/>
            <w:tcBorders>
              <w:top w:val="single" w:color="D7DADB" w:sz="6" w:space="0"/>
              <w:bottom w:val="single" w:color="D7DADB" w:sz="6" w:space="0"/>
            </w:tcBorders>
            <w:vAlign w:val="top"/>
          </w:tcPr>
          <w:p w14:paraId="397229D7">
            <w:pPr>
              <w:pStyle w:val="8"/>
              <w:spacing w:before="105" w:line="186" w:lineRule="auto"/>
              <w:ind w:left="81"/>
            </w:pPr>
            <w:r>
              <w:rPr>
                <w:color w:val="5F6A72"/>
                <w:spacing w:val="-15"/>
                <w:w w:val="97"/>
              </w:rPr>
              <w:t>Gas</w:t>
            </w:r>
          </w:p>
        </w:tc>
        <w:tc>
          <w:tcPr>
            <w:tcW w:w="783" w:type="dxa"/>
            <w:tcBorders>
              <w:top w:val="single" w:color="D7DADB" w:sz="6" w:space="0"/>
              <w:bottom w:val="single" w:color="D7DADB" w:sz="6" w:space="0"/>
            </w:tcBorders>
            <w:vAlign w:val="top"/>
          </w:tcPr>
          <w:p w14:paraId="52A0C499">
            <w:pPr>
              <w:pStyle w:val="8"/>
              <w:spacing w:before="105" w:line="186" w:lineRule="auto"/>
              <w:ind w:left="81"/>
            </w:pPr>
            <w:r>
              <w:rPr>
                <w:color w:val="5F6A72"/>
                <w:spacing w:val="-9"/>
              </w:rPr>
              <w:t>Onshore</w:t>
            </w:r>
          </w:p>
        </w:tc>
      </w:tr>
      <w:tr w14:paraId="146B94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37" w:hRule="atLeast"/>
        </w:trPr>
        <w:tc>
          <w:tcPr>
            <w:tcW w:w="1080" w:type="dxa"/>
            <w:tcBorders>
              <w:top w:val="single" w:color="D7DADB" w:sz="6" w:space="0"/>
              <w:bottom w:val="single" w:color="D7DADB" w:sz="6" w:space="0"/>
              <w:right w:val="single" w:color="D7DADB" w:sz="6" w:space="0"/>
            </w:tcBorders>
            <w:shd w:val="clear" w:color="auto" w:fill="EAF9FF"/>
            <w:vAlign w:val="top"/>
          </w:tcPr>
          <w:p w14:paraId="29B58552">
            <w:pPr>
              <w:pStyle w:val="8"/>
              <w:spacing w:before="65" w:line="291" w:lineRule="auto"/>
              <w:ind w:left="18" w:right="117"/>
            </w:pPr>
            <w:r>
              <w:rPr>
                <w:color w:val="2A8ABF"/>
                <w:spacing w:val="-15"/>
              </w:rPr>
              <w:t>Paso</w:t>
            </w:r>
            <w:r>
              <w:rPr>
                <w:color w:val="2A8ABF"/>
                <w:spacing w:val="-3"/>
              </w:rPr>
              <w:t xml:space="preserve"> </w:t>
            </w:r>
            <w:r>
              <w:rPr>
                <w:color w:val="2A8ABF"/>
                <w:spacing w:val="-15"/>
              </w:rPr>
              <w:t>de las</w:t>
            </w:r>
            <w:r>
              <w:rPr>
                <w:color w:val="2A8ABF"/>
              </w:rPr>
              <w:t xml:space="preserve"> </w:t>
            </w:r>
            <w:r>
              <w:rPr>
                <w:color w:val="2A8ABF"/>
                <w:spacing w:val="-11"/>
              </w:rPr>
              <w:t>Bardas Norte</w:t>
            </w:r>
            <w:r>
              <w:rPr>
                <w:color w:val="2A8ABF"/>
                <w:spacing w:val="7"/>
              </w:rPr>
              <w:t xml:space="preserve"> </w:t>
            </w:r>
            <w:r>
              <w:rPr>
                <w:color w:val="2A8ABF"/>
                <w:spacing w:val="-10"/>
              </w:rPr>
              <w:t>Block</w:t>
            </w:r>
          </w:p>
        </w:tc>
        <w:tc>
          <w:tcPr>
            <w:tcW w:w="1853" w:type="dxa"/>
            <w:tcBorders>
              <w:top w:val="single" w:color="D7DADB" w:sz="6" w:space="0"/>
              <w:left w:val="single" w:color="D7DADB" w:sz="6" w:space="0"/>
              <w:bottom w:val="single" w:color="D7DADB" w:sz="6" w:space="0"/>
            </w:tcBorders>
            <w:shd w:val="clear" w:color="auto" w:fill="EAF9FF"/>
            <w:vAlign w:val="top"/>
          </w:tcPr>
          <w:p w14:paraId="7EFB76D4">
            <w:pPr>
              <w:pStyle w:val="8"/>
              <w:spacing w:before="66" w:line="291" w:lineRule="auto"/>
              <w:ind w:left="86" w:right="443"/>
            </w:pPr>
            <w:r>
              <w:rPr>
                <w:color w:val="5F6A72"/>
                <w:spacing w:val="-15"/>
              </w:rPr>
              <w:t>Paso de las</w:t>
            </w:r>
            <w:r>
              <w:rPr>
                <w:color w:val="5F6A72"/>
                <w:spacing w:val="8"/>
              </w:rPr>
              <w:t xml:space="preserve"> </w:t>
            </w:r>
            <w:r>
              <w:rPr>
                <w:color w:val="5F6A72"/>
                <w:spacing w:val="-15"/>
              </w:rPr>
              <w:t>Bardas</w:t>
            </w:r>
            <w:r>
              <w:rPr>
                <w:color w:val="5F6A72"/>
              </w:rPr>
              <w:t xml:space="preserve"> </w:t>
            </w:r>
            <w:r>
              <w:rPr>
                <w:color w:val="5F6A72"/>
                <w:spacing w:val="-7"/>
              </w:rPr>
              <w:t>Norte Block</w:t>
            </w:r>
          </w:p>
        </w:tc>
        <w:tc>
          <w:tcPr>
            <w:tcW w:w="1739" w:type="dxa"/>
            <w:tcBorders>
              <w:top w:val="single" w:color="D7DADB" w:sz="6" w:space="0"/>
              <w:bottom w:val="single" w:color="D7DADB" w:sz="6" w:space="0"/>
            </w:tcBorders>
            <w:shd w:val="clear" w:color="auto" w:fill="EAF9FF"/>
            <w:vAlign w:val="top"/>
          </w:tcPr>
          <w:p w14:paraId="6E63BA3F">
            <w:pPr>
              <w:pStyle w:val="8"/>
              <w:spacing w:before="66" w:line="234" w:lineRule="auto"/>
              <w:ind w:left="71"/>
            </w:pPr>
            <w:r>
              <w:rPr>
                <w:color w:val="5F6A72"/>
                <w:spacing w:val="-14"/>
              </w:rPr>
              <w:t>YPF (100%)</w:t>
            </w:r>
          </w:p>
        </w:tc>
        <w:tc>
          <w:tcPr>
            <w:tcW w:w="1071" w:type="dxa"/>
            <w:tcBorders>
              <w:top w:val="single" w:color="D7DADB" w:sz="6" w:space="0"/>
              <w:bottom w:val="single" w:color="D7DADB" w:sz="6" w:space="0"/>
            </w:tcBorders>
            <w:shd w:val="clear" w:color="auto" w:fill="EAF9FF"/>
            <w:vAlign w:val="top"/>
          </w:tcPr>
          <w:p w14:paraId="756EB008">
            <w:pPr>
              <w:pStyle w:val="8"/>
              <w:spacing w:before="174" w:line="90" w:lineRule="exact"/>
              <w:ind w:left="80"/>
            </w:pPr>
            <w:r>
              <w:rPr>
                <w:color w:val="5F6A72"/>
                <w:position w:val="-6"/>
              </w:rPr>
              <w:t>-</w:t>
            </w:r>
          </w:p>
        </w:tc>
        <w:tc>
          <w:tcPr>
            <w:tcW w:w="1143" w:type="dxa"/>
            <w:tcBorders>
              <w:top w:val="single" w:color="D7DADB" w:sz="6" w:space="0"/>
              <w:bottom w:val="single" w:color="D7DADB" w:sz="6" w:space="0"/>
            </w:tcBorders>
            <w:shd w:val="clear" w:color="auto" w:fill="EAF9FF"/>
            <w:vAlign w:val="top"/>
          </w:tcPr>
          <w:p w14:paraId="0A9BD4A2">
            <w:pPr>
              <w:pStyle w:val="8"/>
              <w:spacing w:before="108" w:line="181" w:lineRule="auto"/>
              <w:ind w:left="86"/>
            </w:pPr>
            <w:r>
              <w:rPr>
                <w:color w:val="5F6A72"/>
                <w:spacing w:val="-10"/>
              </w:rPr>
              <w:t>Discovery</w:t>
            </w:r>
          </w:p>
        </w:tc>
        <w:tc>
          <w:tcPr>
            <w:tcW w:w="809" w:type="dxa"/>
            <w:tcBorders>
              <w:top w:val="single" w:color="D7DADB" w:sz="6" w:space="0"/>
              <w:bottom w:val="single" w:color="D7DADB" w:sz="6" w:space="0"/>
            </w:tcBorders>
            <w:shd w:val="clear" w:color="auto" w:fill="EAF9FF"/>
            <w:vAlign w:val="top"/>
          </w:tcPr>
          <w:p w14:paraId="598D5E76">
            <w:pPr>
              <w:pStyle w:val="8"/>
              <w:spacing w:before="140" w:line="125" w:lineRule="exact"/>
              <w:ind w:left="84"/>
            </w:pPr>
            <w:r>
              <w:rPr>
                <w:color w:val="5F6A72"/>
                <w:spacing w:val="-8"/>
                <w:position w:val="-2"/>
              </w:rPr>
              <w:t>na</w:t>
            </w:r>
          </w:p>
        </w:tc>
        <w:tc>
          <w:tcPr>
            <w:tcW w:w="712" w:type="dxa"/>
            <w:tcBorders>
              <w:top w:val="single" w:color="D7DADB" w:sz="6" w:space="0"/>
              <w:bottom w:val="single" w:color="D7DADB" w:sz="6" w:space="0"/>
            </w:tcBorders>
            <w:shd w:val="clear" w:color="auto" w:fill="EAF9FF"/>
            <w:vAlign w:val="top"/>
          </w:tcPr>
          <w:p w14:paraId="6672D15B">
            <w:pPr>
              <w:pStyle w:val="8"/>
              <w:spacing w:before="140" w:line="125" w:lineRule="exact"/>
              <w:ind w:left="84"/>
            </w:pPr>
            <w:r>
              <w:rPr>
                <w:color w:val="5F6A72"/>
                <w:spacing w:val="-8"/>
                <w:position w:val="-2"/>
              </w:rPr>
              <w:t>na</w:t>
            </w:r>
          </w:p>
        </w:tc>
        <w:tc>
          <w:tcPr>
            <w:tcW w:w="1014" w:type="dxa"/>
            <w:tcBorders>
              <w:top w:val="single" w:color="D7DADB" w:sz="6" w:space="0"/>
              <w:bottom w:val="single" w:color="D7DADB" w:sz="6" w:space="0"/>
            </w:tcBorders>
            <w:shd w:val="clear" w:color="auto" w:fill="EAF9FF"/>
            <w:vAlign w:val="top"/>
          </w:tcPr>
          <w:p w14:paraId="2984CC16">
            <w:pPr>
              <w:pStyle w:val="8"/>
              <w:spacing w:before="108" w:line="181" w:lineRule="auto"/>
              <w:ind w:left="74"/>
            </w:pPr>
            <w:r>
              <w:rPr>
                <w:color w:val="5F6A72"/>
                <w:spacing w:val="-7"/>
              </w:rPr>
              <w:t>Tight gas</w:t>
            </w:r>
          </w:p>
        </w:tc>
        <w:tc>
          <w:tcPr>
            <w:tcW w:w="783" w:type="dxa"/>
            <w:tcBorders>
              <w:top w:val="single" w:color="D7DADB" w:sz="6" w:space="0"/>
              <w:bottom w:val="single" w:color="D7DADB" w:sz="6" w:space="0"/>
            </w:tcBorders>
            <w:shd w:val="clear" w:color="auto" w:fill="EAF9FF"/>
            <w:vAlign w:val="top"/>
          </w:tcPr>
          <w:p w14:paraId="0597A529">
            <w:pPr>
              <w:pStyle w:val="8"/>
              <w:spacing w:before="105" w:line="186" w:lineRule="auto"/>
              <w:ind w:left="81"/>
            </w:pPr>
            <w:r>
              <w:rPr>
                <w:color w:val="5F6A72"/>
                <w:spacing w:val="-9"/>
              </w:rPr>
              <w:t>Onshore</w:t>
            </w:r>
          </w:p>
        </w:tc>
      </w:tr>
      <w:tr w14:paraId="422F19F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329" w:hRule="atLeast"/>
        </w:trPr>
        <w:tc>
          <w:tcPr>
            <w:tcW w:w="1080" w:type="dxa"/>
            <w:tcBorders>
              <w:top w:val="single" w:color="D7DADB" w:sz="6" w:space="0"/>
              <w:right w:val="single" w:color="D7DADB" w:sz="6" w:space="0"/>
            </w:tcBorders>
            <w:vAlign w:val="top"/>
          </w:tcPr>
          <w:p w14:paraId="2723D826">
            <w:pPr>
              <w:pStyle w:val="8"/>
              <w:spacing w:before="65" w:line="238" w:lineRule="exact"/>
              <w:ind w:left="18"/>
            </w:pPr>
            <w:r>
              <w:rPr>
                <w:color w:val="2A8ABF"/>
                <w:spacing w:val="-10"/>
                <w:position w:val="1"/>
              </w:rPr>
              <w:t>Puesto</w:t>
            </w:r>
          </w:p>
          <w:p w14:paraId="06436420">
            <w:pPr>
              <w:pStyle w:val="8"/>
              <w:spacing w:before="12" w:line="237" w:lineRule="exact"/>
              <w:ind w:left="12"/>
            </w:pPr>
            <w:r>
              <w:rPr>
                <w:color w:val="2A8ABF"/>
                <w:spacing w:val="-11"/>
                <w:position w:val="1"/>
              </w:rPr>
              <w:t>Guardian</w:t>
            </w:r>
          </w:p>
          <w:p w14:paraId="6CF80889">
            <w:pPr>
              <w:pStyle w:val="8"/>
              <w:spacing w:before="12" w:line="290" w:lineRule="auto"/>
              <w:ind w:left="17" w:right="179" w:hanging="5"/>
            </w:pPr>
            <w:r>
              <w:rPr>
                <w:color w:val="2A8ABF"/>
                <w:spacing w:val="-10"/>
              </w:rPr>
              <w:t>Concession,</w:t>
            </w:r>
            <w:r>
              <w:rPr>
                <w:color w:val="2A8ABF"/>
              </w:rPr>
              <w:t xml:space="preserve"> </w:t>
            </w:r>
            <w:r>
              <w:rPr>
                <w:color w:val="2A8ABF"/>
                <w:spacing w:val="-7"/>
              </w:rPr>
              <w:t>Noroeste</w:t>
            </w:r>
          </w:p>
          <w:p w14:paraId="4ADBE28B">
            <w:pPr>
              <w:pStyle w:val="8"/>
              <w:spacing w:line="237" w:lineRule="exact"/>
              <w:ind w:left="18"/>
            </w:pPr>
            <w:r>
              <w:rPr>
                <w:color w:val="2A8ABF"/>
                <w:spacing w:val="-15"/>
                <w:position w:val="1"/>
              </w:rPr>
              <w:t>Basin</w:t>
            </w:r>
          </w:p>
        </w:tc>
        <w:tc>
          <w:tcPr>
            <w:tcW w:w="1853" w:type="dxa"/>
            <w:tcBorders>
              <w:top w:val="single" w:color="D7DADB" w:sz="6" w:space="0"/>
              <w:left w:val="single" w:color="D7DADB" w:sz="6" w:space="0"/>
            </w:tcBorders>
            <w:vAlign w:val="top"/>
          </w:tcPr>
          <w:p w14:paraId="3A6AC21D">
            <w:pPr>
              <w:pStyle w:val="8"/>
              <w:spacing w:before="65" w:line="214" w:lineRule="exact"/>
              <w:ind w:left="86"/>
            </w:pPr>
            <w:r>
              <w:rPr>
                <w:color w:val="5F6A72"/>
                <w:spacing w:val="-11"/>
                <w:position w:val="1"/>
              </w:rPr>
              <w:t>Puesto Guardian,</w:t>
            </w:r>
          </w:p>
          <w:p w14:paraId="7A23677F">
            <w:pPr>
              <w:pStyle w:val="8"/>
              <w:spacing w:before="36" w:line="289" w:lineRule="auto"/>
              <w:ind w:left="85" w:right="303" w:hanging="5"/>
            </w:pPr>
            <w:r>
              <w:rPr>
                <w:color w:val="5F6A72"/>
                <w:spacing w:val="-14"/>
              </w:rPr>
              <w:t>Canada Grande, Dos</w:t>
            </w:r>
            <w:r>
              <w:rPr>
                <w:color w:val="5F6A72"/>
                <w:spacing w:val="11"/>
              </w:rPr>
              <w:t xml:space="preserve"> </w:t>
            </w:r>
            <w:r>
              <w:rPr>
                <w:color w:val="5F6A72"/>
                <w:spacing w:val="-10"/>
              </w:rPr>
              <w:t>Puntitas, Pozo</w:t>
            </w:r>
          </w:p>
          <w:p w14:paraId="3B08C369">
            <w:pPr>
              <w:pStyle w:val="8"/>
              <w:spacing w:before="1" w:line="214" w:lineRule="exact"/>
              <w:ind w:left="86"/>
            </w:pPr>
            <w:r>
              <w:rPr>
                <w:color w:val="5F6A72"/>
                <w:spacing w:val="-11"/>
                <w:position w:val="1"/>
              </w:rPr>
              <w:t>Escondido, Pozo</w:t>
            </w:r>
          </w:p>
          <w:p w14:paraId="6A8EDBCC">
            <w:pPr>
              <w:pStyle w:val="8"/>
              <w:spacing w:before="35" w:line="238" w:lineRule="exact"/>
              <w:ind w:left="86"/>
            </w:pPr>
            <w:r>
              <w:rPr>
                <w:color w:val="5F6A72"/>
                <w:spacing w:val="-10"/>
                <w:position w:val="1"/>
              </w:rPr>
              <w:t>Escondido Este</w:t>
            </w:r>
          </w:p>
        </w:tc>
        <w:tc>
          <w:tcPr>
            <w:tcW w:w="1739" w:type="dxa"/>
            <w:tcBorders>
              <w:top w:val="single" w:color="D7DADB" w:sz="6" w:space="0"/>
            </w:tcBorders>
            <w:vAlign w:val="top"/>
          </w:tcPr>
          <w:p w14:paraId="409E87B0">
            <w:pPr>
              <w:pStyle w:val="8"/>
              <w:spacing w:before="64" w:line="271" w:lineRule="auto"/>
              <w:ind w:left="79" w:right="417" w:firstLine="6"/>
            </w:pPr>
            <w:r>
              <w:rPr>
                <w:color w:val="5F6A72"/>
                <w:spacing w:val="-10"/>
              </w:rPr>
              <w:t>President Energy</w:t>
            </w:r>
            <w:r>
              <w:rPr>
                <w:color w:val="5F6A72"/>
                <w:spacing w:val="13"/>
                <w:w w:val="101"/>
              </w:rPr>
              <w:t xml:space="preserve"> </w:t>
            </w:r>
            <w:r>
              <w:rPr>
                <w:color w:val="5F6A72"/>
                <w:spacing w:val="-11"/>
              </w:rPr>
              <w:t>(100%)</w:t>
            </w:r>
          </w:p>
        </w:tc>
        <w:tc>
          <w:tcPr>
            <w:tcW w:w="1071" w:type="dxa"/>
            <w:tcBorders>
              <w:top w:val="single" w:color="D7DADB" w:sz="6" w:space="0"/>
            </w:tcBorders>
            <w:vAlign w:val="top"/>
          </w:tcPr>
          <w:p w14:paraId="6E5BA001">
            <w:pPr>
              <w:pStyle w:val="8"/>
              <w:spacing w:before="174" w:line="89" w:lineRule="exact"/>
              <w:ind w:left="80"/>
            </w:pPr>
            <w:r>
              <w:rPr>
                <w:color w:val="5F6A72"/>
                <w:position w:val="-6"/>
              </w:rPr>
              <w:t>-</w:t>
            </w:r>
          </w:p>
        </w:tc>
        <w:tc>
          <w:tcPr>
            <w:tcW w:w="1143" w:type="dxa"/>
            <w:tcBorders>
              <w:top w:val="single" w:color="D7DADB" w:sz="6" w:space="0"/>
            </w:tcBorders>
            <w:vAlign w:val="top"/>
          </w:tcPr>
          <w:p w14:paraId="151D2A3B">
            <w:pPr>
              <w:pStyle w:val="8"/>
              <w:spacing w:before="65" w:line="238" w:lineRule="exact"/>
              <w:ind w:left="86"/>
            </w:pPr>
            <w:r>
              <w:rPr>
                <w:color w:val="5F6A72"/>
                <w:spacing w:val="-6"/>
                <w:position w:val="1"/>
              </w:rPr>
              <w:t>Production</w:t>
            </w:r>
          </w:p>
        </w:tc>
        <w:tc>
          <w:tcPr>
            <w:tcW w:w="809" w:type="dxa"/>
            <w:tcBorders>
              <w:top w:val="single" w:color="D7DADB" w:sz="6" w:space="0"/>
            </w:tcBorders>
            <w:vAlign w:val="top"/>
          </w:tcPr>
          <w:p w14:paraId="22318F06">
            <w:pPr>
              <w:pStyle w:val="8"/>
              <w:spacing w:before="65" w:line="214" w:lineRule="exact"/>
              <w:ind w:left="83"/>
            </w:pPr>
            <w:r>
              <w:rPr>
                <w:color w:val="5F6A72"/>
                <w:spacing w:val="-6"/>
                <w:position w:val="1"/>
              </w:rPr>
              <w:t>98,781</w:t>
            </w:r>
          </w:p>
        </w:tc>
        <w:tc>
          <w:tcPr>
            <w:tcW w:w="712" w:type="dxa"/>
            <w:tcBorders>
              <w:top w:val="single" w:color="D7DADB" w:sz="6" w:space="0"/>
            </w:tcBorders>
            <w:vAlign w:val="top"/>
          </w:tcPr>
          <w:p w14:paraId="7278C895">
            <w:pPr>
              <w:pStyle w:val="8"/>
              <w:spacing w:before="139" w:line="126" w:lineRule="exact"/>
              <w:ind w:left="84"/>
            </w:pPr>
            <w:r>
              <w:rPr>
                <w:color w:val="5F6A72"/>
                <w:spacing w:val="-8"/>
                <w:position w:val="-2"/>
              </w:rPr>
              <w:t>na</w:t>
            </w:r>
          </w:p>
        </w:tc>
        <w:tc>
          <w:tcPr>
            <w:tcW w:w="1014" w:type="dxa"/>
            <w:tcBorders>
              <w:top w:val="single" w:color="D7DADB" w:sz="6" w:space="0"/>
            </w:tcBorders>
            <w:vAlign w:val="top"/>
          </w:tcPr>
          <w:p w14:paraId="41239D47">
            <w:pPr>
              <w:pStyle w:val="8"/>
              <w:spacing w:before="105" w:line="186" w:lineRule="auto"/>
              <w:ind w:left="81"/>
            </w:pPr>
            <w:r>
              <w:rPr>
                <w:color w:val="5F6A72"/>
                <w:spacing w:val="-9"/>
              </w:rPr>
              <w:t>Oil</w:t>
            </w:r>
          </w:p>
        </w:tc>
        <w:tc>
          <w:tcPr>
            <w:tcW w:w="783" w:type="dxa"/>
            <w:tcBorders>
              <w:top w:val="single" w:color="D7DADB" w:sz="6" w:space="0"/>
            </w:tcBorders>
            <w:vAlign w:val="top"/>
          </w:tcPr>
          <w:p w14:paraId="0706861A">
            <w:pPr>
              <w:pStyle w:val="8"/>
              <w:spacing w:before="105" w:line="186" w:lineRule="auto"/>
              <w:ind w:left="81"/>
            </w:pPr>
            <w:r>
              <w:rPr>
                <w:color w:val="5F6A72"/>
                <w:spacing w:val="-9"/>
              </w:rPr>
              <w:t>Onshore</w:t>
            </w:r>
          </w:p>
        </w:tc>
      </w:tr>
    </w:tbl>
    <w:p w14:paraId="6AEED20F">
      <w:pPr>
        <w:pStyle w:val="4"/>
        <w:spacing w:before="149" w:line="233" w:lineRule="auto"/>
        <w:ind w:left="370"/>
        <w:rPr>
          <w:sz w:val="15"/>
          <w:szCs w:val="15"/>
        </w:rPr>
      </w:pPr>
      <w:r>
        <w:drawing>
          <wp:anchor distT="0" distB="0" distL="0" distR="0" simplePos="0" relativeHeight="251700224"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7"/>
          <w:w w:val="95"/>
          <w:sz w:val="15"/>
          <w:szCs w:val="15"/>
        </w:rPr>
        <w:t>na = not</w:t>
      </w:r>
      <w:r>
        <w:rPr>
          <w:i/>
          <w:iCs/>
          <w:color w:val="333333"/>
          <w:spacing w:val="-14"/>
          <w:sz w:val="15"/>
          <w:szCs w:val="15"/>
        </w:rPr>
        <w:t xml:space="preserve"> </w:t>
      </w:r>
      <w:r>
        <w:rPr>
          <w:i/>
          <w:iCs/>
          <w:color w:val="333333"/>
          <w:spacing w:val="-7"/>
          <w:w w:val="95"/>
          <w:sz w:val="15"/>
          <w:szCs w:val="15"/>
        </w:rPr>
        <w:t>available. Source: BM</w:t>
      </w:r>
      <w:r>
        <w:rPr>
          <w:i/>
          <w:iCs/>
          <w:color w:val="333333"/>
          <w:spacing w:val="-8"/>
          <w:w w:val="95"/>
          <w:sz w:val="15"/>
          <w:szCs w:val="15"/>
        </w:rPr>
        <w:t>I Upstream</w:t>
      </w:r>
      <w:r>
        <w:rPr>
          <w:i/>
          <w:iCs/>
          <w:color w:val="333333"/>
          <w:spacing w:val="4"/>
          <w:sz w:val="15"/>
          <w:szCs w:val="15"/>
        </w:rPr>
        <w:t xml:space="preserve"> </w:t>
      </w:r>
      <w:r>
        <w:rPr>
          <w:i/>
          <w:iCs/>
          <w:color w:val="333333"/>
          <w:spacing w:val="-8"/>
          <w:w w:val="95"/>
          <w:sz w:val="15"/>
          <w:szCs w:val="15"/>
        </w:rPr>
        <w:t>Oil &amp; Gas Projects Database</w:t>
      </w:r>
    </w:p>
    <w:p w14:paraId="7011B29C">
      <w:pPr>
        <w:spacing w:line="233" w:lineRule="auto"/>
        <w:rPr>
          <w:sz w:val="15"/>
          <w:szCs w:val="15"/>
        </w:rPr>
        <w:sectPr>
          <w:footerReference r:id="rId16" w:type="default"/>
          <w:pgSz w:w="11906" w:h="16838"/>
          <w:pgMar w:top="400" w:right="490" w:bottom="883" w:left="490" w:header="0" w:footer="0" w:gutter="0"/>
          <w:cols w:space="720" w:num="1"/>
        </w:sectPr>
      </w:pPr>
    </w:p>
    <w:p w14:paraId="48B7FE62">
      <w:pPr>
        <w:pStyle w:val="4"/>
        <w:spacing w:before="73" w:line="241" w:lineRule="auto"/>
        <w:ind w:left="7372"/>
        <w:rPr>
          <w:sz w:val="20"/>
          <w:szCs w:val="20"/>
        </w:rPr>
      </w:pPr>
      <w:r>
        <w:drawing>
          <wp:anchor distT="0" distB="0" distL="0" distR="0" simplePos="0" relativeHeight="25170534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06368" behindDoc="0" locked="0" layoutInCell="0" allowOverlap="1">
            <wp:simplePos x="0" y="0"/>
            <wp:positionH relativeFrom="page">
              <wp:posOffset>311150</wp:posOffset>
            </wp:positionH>
            <wp:positionV relativeFrom="page">
              <wp:posOffset>0</wp:posOffset>
            </wp:positionV>
            <wp:extent cx="19050" cy="814070"/>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6C50C4F">
      <w:pPr>
        <w:pStyle w:val="4"/>
        <w:spacing w:line="278" w:lineRule="auto"/>
      </w:pPr>
    </w:p>
    <w:p w14:paraId="747BEBE8">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C8930DC">
      <w:pPr>
        <w:pStyle w:val="4"/>
        <w:spacing w:line="428" w:lineRule="auto"/>
      </w:pPr>
    </w:p>
    <w:p w14:paraId="3A0E3A89">
      <w:pPr>
        <w:pStyle w:val="4"/>
        <w:spacing w:before="87" w:line="236" w:lineRule="auto"/>
        <w:ind w:left="383"/>
        <w:outlineLvl w:val="0"/>
        <w:rPr>
          <w:sz w:val="30"/>
          <w:szCs w:val="30"/>
        </w:rPr>
      </w:pPr>
      <w:bookmarkStart w:id="12" w:name="bookmark7"/>
      <w:bookmarkEnd w:id="12"/>
      <w:r>
        <w:rPr>
          <w:color w:val="2A8ABF"/>
          <w:spacing w:val="-12"/>
          <w:sz w:val="30"/>
          <w:szCs w:val="30"/>
        </w:rPr>
        <w:t>Upstream Oil Production</w:t>
      </w:r>
    </w:p>
    <w:p w14:paraId="5AE616DD">
      <w:pPr>
        <w:pStyle w:val="4"/>
        <w:spacing w:line="262" w:lineRule="auto"/>
      </w:pPr>
    </w:p>
    <w:p w14:paraId="4556DD09">
      <w:pPr>
        <w:pStyle w:val="4"/>
        <w:spacing w:before="57" w:line="273" w:lineRule="auto"/>
        <w:ind w:left="365" w:right="665" w:firstLine="20"/>
        <w:rPr>
          <w:sz w:val="20"/>
          <w:szCs w:val="20"/>
        </w:rPr>
      </w:pPr>
      <w:r>
        <w:rPr>
          <w:b/>
          <w:bCs/>
          <w:i/>
          <w:iCs/>
          <w:color w:val="57585A"/>
          <w:spacing w:val="-6"/>
          <w:w w:val="96"/>
          <w:sz w:val="20"/>
          <w:szCs w:val="20"/>
        </w:rPr>
        <w:t>Key View:</w:t>
      </w:r>
      <w:r>
        <w:rPr>
          <w:b/>
          <w:bCs/>
          <w:i/>
          <w:iCs/>
          <w:color w:val="57585A"/>
          <w:spacing w:val="-24"/>
          <w:sz w:val="20"/>
          <w:szCs w:val="20"/>
        </w:rPr>
        <w:t xml:space="preserve"> </w:t>
      </w:r>
      <w:r>
        <w:rPr>
          <w:i/>
          <w:iCs/>
          <w:color w:val="57585A"/>
          <w:spacing w:val="-6"/>
          <w:w w:val="96"/>
          <w:sz w:val="20"/>
          <w:szCs w:val="20"/>
        </w:rPr>
        <w:t>Argentina’s oil</w:t>
      </w:r>
      <w:r>
        <w:rPr>
          <w:i/>
          <w:iCs/>
          <w:color w:val="57585A"/>
          <w:spacing w:val="-25"/>
          <w:sz w:val="20"/>
          <w:szCs w:val="20"/>
        </w:rPr>
        <w:t xml:space="preserve"> </w:t>
      </w:r>
      <w:r>
        <w:rPr>
          <w:i/>
          <w:iCs/>
          <w:color w:val="57585A"/>
          <w:spacing w:val="-6"/>
          <w:w w:val="96"/>
          <w:sz w:val="20"/>
          <w:szCs w:val="20"/>
        </w:rPr>
        <w:t>production sector</w:t>
      </w:r>
      <w:r>
        <w:rPr>
          <w:i/>
          <w:iCs/>
          <w:color w:val="57585A"/>
          <w:spacing w:val="-23"/>
          <w:sz w:val="20"/>
          <w:szCs w:val="20"/>
        </w:rPr>
        <w:t xml:space="preserve"> </w:t>
      </w:r>
      <w:r>
        <w:rPr>
          <w:i/>
          <w:iCs/>
          <w:color w:val="57585A"/>
          <w:spacing w:val="-6"/>
          <w:w w:val="96"/>
          <w:sz w:val="20"/>
          <w:szCs w:val="20"/>
        </w:rPr>
        <w:t>is increasingly</w:t>
      </w:r>
      <w:r>
        <w:rPr>
          <w:i/>
          <w:iCs/>
          <w:color w:val="57585A"/>
          <w:spacing w:val="-18"/>
          <w:sz w:val="20"/>
          <w:szCs w:val="20"/>
        </w:rPr>
        <w:t xml:space="preserve"> </w:t>
      </w:r>
      <w:r>
        <w:rPr>
          <w:i/>
          <w:iCs/>
          <w:color w:val="57585A"/>
          <w:spacing w:val="-6"/>
          <w:w w:val="96"/>
          <w:sz w:val="20"/>
          <w:szCs w:val="20"/>
        </w:rPr>
        <w:t>dynamic, with both con</w:t>
      </w:r>
      <w:r>
        <w:rPr>
          <w:i/>
          <w:iCs/>
          <w:color w:val="57585A"/>
          <w:spacing w:val="-7"/>
          <w:w w:val="96"/>
          <w:sz w:val="20"/>
          <w:szCs w:val="20"/>
        </w:rPr>
        <w:t>ventional</w:t>
      </w:r>
      <w:r>
        <w:rPr>
          <w:i/>
          <w:iCs/>
          <w:color w:val="57585A"/>
          <w:spacing w:val="-18"/>
          <w:sz w:val="20"/>
          <w:szCs w:val="20"/>
        </w:rPr>
        <w:t xml:space="preserve"> </w:t>
      </w:r>
      <w:r>
        <w:rPr>
          <w:i/>
          <w:iCs/>
          <w:color w:val="57585A"/>
          <w:spacing w:val="-7"/>
          <w:w w:val="96"/>
          <w:sz w:val="20"/>
          <w:szCs w:val="20"/>
        </w:rPr>
        <w:t>and unconventional</w:t>
      </w:r>
      <w:r>
        <w:rPr>
          <w:i/>
          <w:iCs/>
          <w:color w:val="57585A"/>
          <w:spacing w:val="-25"/>
          <w:sz w:val="20"/>
          <w:szCs w:val="20"/>
        </w:rPr>
        <w:t xml:space="preserve"> </w:t>
      </w:r>
      <w:r>
        <w:rPr>
          <w:i/>
          <w:iCs/>
          <w:color w:val="57585A"/>
          <w:spacing w:val="-7"/>
          <w:w w:val="96"/>
          <w:sz w:val="20"/>
          <w:szCs w:val="20"/>
        </w:rPr>
        <w:t>production.</w:t>
      </w:r>
      <w:r>
        <w:rPr>
          <w:i/>
          <w:iCs/>
          <w:color w:val="57585A"/>
          <w:spacing w:val="7"/>
          <w:sz w:val="20"/>
          <w:szCs w:val="20"/>
        </w:rPr>
        <w:t xml:space="preserve"> </w:t>
      </w:r>
      <w:r>
        <w:rPr>
          <w:i/>
          <w:iCs/>
          <w:color w:val="57585A"/>
          <w:spacing w:val="-7"/>
          <w:w w:val="96"/>
          <w:sz w:val="20"/>
          <w:szCs w:val="20"/>
        </w:rPr>
        <w:t>Oil</w:t>
      </w:r>
      <w:r>
        <w:rPr>
          <w:i/>
          <w:iCs/>
          <w:color w:val="57585A"/>
          <w:sz w:val="20"/>
          <w:szCs w:val="20"/>
        </w:rPr>
        <w:t xml:space="preserve"> </w:t>
      </w:r>
      <w:r>
        <w:rPr>
          <w:i/>
          <w:iCs/>
          <w:color w:val="57585A"/>
          <w:spacing w:val="-7"/>
          <w:w w:val="96"/>
          <w:sz w:val="20"/>
          <w:szCs w:val="20"/>
        </w:rPr>
        <w:t>production (crude oil</w:t>
      </w:r>
      <w:r>
        <w:rPr>
          <w:i/>
          <w:iCs/>
          <w:color w:val="57585A"/>
          <w:sz w:val="20"/>
          <w:szCs w:val="20"/>
        </w:rPr>
        <w:t xml:space="preserve"> </w:t>
      </w:r>
      <w:r>
        <w:rPr>
          <w:i/>
          <w:iCs/>
          <w:color w:val="57585A"/>
          <w:spacing w:val="-7"/>
          <w:w w:val="96"/>
          <w:sz w:val="20"/>
          <w:szCs w:val="20"/>
        </w:rPr>
        <w:t>and condensates) saw</w:t>
      </w:r>
      <w:r>
        <w:rPr>
          <w:i/>
          <w:iCs/>
          <w:color w:val="57585A"/>
          <w:spacing w:val="-24"/>
          <w:sz w:val="20"/>
          <w:szCs w:val="20"/>
        </w:rPr>
        <w:t xml:space="preserve"> </w:t>
      </w:r>
      <w:r>
        <w:rPr>
          <w:i/>
          <w:iCs/>
          <w:color w:val="57585A"/>
          <w:spacing w:val="-7"/>
          <w:w w:val="96"/>
          <w:sz w:val="20"/>
          <w:szCs w:val="20"/>
        </w:rPr>
        <w:t>an impressive</w:t>
      </w:r>
      <w:r>
        <w:rPr>
          <w:i/>
          <w:iCs/>
          <w:color w:val="57585A"/>
          <w:spacing w:val="18"/>
          <w:sz w:val="20"/>
          <w:szCs w:val="20"/>
        </w:rPr>
        <w:t xml:space="preserve"> </w:t>
      </w:r>
      <w:r>
        <w:rPr>
          <w:i/>
          <w:iCs/>
          <w:color w:val="57585A"/>
          <w:spacing w:val="-7"/>
          <w:w w:val="96"/>
          <w:sz w:val="20"/>
          <w:szCs w:val="20"/>
        </w:rPr>
        <w:t>11.0%y-o-ygrowth in 2024, and we forecast</w:t>
      </w:r>
      <w:r>
        <w:rPr>
          <w:i/>
          <w:iCs/>
          <w:color w:val="57585A"/>
          <w:spacing w:val="-19"/>
          <w:sz w:val="20"/>
          <w:szCs w:val="20"/>
        </w:rPr>
        <w:t xml:space="preserve"> </w:t>
      </w:r>
      <w:r>
        <w:rPr>
          <w:i/>
          <w:iCs/>
          <w:color w:val="57585A"/>
          <w:spacing w:val="-7"/>
          <w:w w:val="96"/>
          <w:sz w:val="20"/>
          <w:szCs w:val="20"/>
        </w:rPr>
        <w:t>another 15.0%y-o-y</w:t>
      </w:r>
    </w:p>
    <w:p w14:paraId="15860663">
      <w:pPr>
        <w:pStyle w:val="4"/>
        <w:spacing w:before="36" w:line="233" w:lineRule="auto"/>
        <w:ind w:left="365"/>
        <w:rPr>
          <w:sz w:val="20"/>
          <w:szCs w:val="20"/>
        </w:rPr>
      </w:pPr>
      <w:r>
        <w:rPr>
          <w:i/>
          <w:iCs/>
          <w:color w:val="57585A"/>
          <w:spacing w:val="-8"/>
          <w:w w:val="97"/>
          <w:sz w:val="20"/>
          <w:szCs w:val="20"/>
        </w:rPr>
        <w:t>production gain in 2025 thanks the Oldelval</w:t>
      </w:r>
      <w:r>
        <w:rPr>
          <w:i/>
          <w:iCs/>
          <w:color w:val="57585A"/>
          <w:spacing w:val="-20"/>
          <w:sz w:val="20"/>
          <w:szCs w:val="20"/>
        </w:rPr>
        <w:t xml:space="preserve"> </w:t>
      </w:r>
      <w:r>
        <w:rPr>
          <w:i/>
          <w:iCs/>
          <w:color w:val="57585A"/>
          <w:spacing w:val="-8"/>
          <w:w w:val="97"/>
          <w:sz w:val="20"/>
          <w:szCs w:val="20"/>
        </w:rPr>
        <w:t>pipeline expansion.</w:t>
      </w:r>
      <w:r>
        <w:rPr>
          <w:i/>
          <w:iCs/>
          <w:color w:val="57585A"/>
          <w:spacing w:val="11"/>
          <w:sz w:val="20"/>
          <w:szCs w:val="20"/>
        </w:rPr>
        <w:t xml:space="preserve"> </w:t>
      </w:r>
      <w:r>
        <w:rPr>
          <w:i/>
          <w:iCs/>
          <w:color w:val="57585A"/>
          <w:spacing w:val="-8"/>
          <w:w w:val="97"/>
          <w:sz w:val="20"/>
          <w:szCs w:val="20"/>
        </w:rPr>
        <w:t>The sector</w:t>
      </w:r>
      <w:r>
        <w:rPr>
          <w:i/>
          <w:iCs/>
          <w:color w:val="57585A"/>
          <w:spacing w:val="-23"/>
          <w:sz w:val="20"/>
          <w:szCs w:val="20"/>
        </w:rPr>
        <w:t xml:space="preserve"> </w:t>
      </w:r>
      <w:r>
        <w:rPr>
          <w:i/>
          <w:iCs/>
          <w:color w:val="57585A"/>
          <w:spacing w:val="-8"/>
          <w:w w:val="97"/>
          <w:sz w:val="20"/>
          <w:szCs w:val="20"/>
        </w:rPr>
        <w:t>is being</w:t>
      </w:r>
      <w:r>
        <w:rPr>
          <w:i/>
          <w:iCs/>
          <w:color w:val="57585A"/>
          <w:spacing w:val="-16"/>
          <w:sz w:val="20"/>
          <w:szCs w:val="20"/>
        </w:rPr>
        <w:t xml:space="preserve"> </w:t>
      </w:r>
      <w:r>
        <w:rPr>
          <w:i/>
          <w:iCs/>
          <w:color w:val="57585A"/>
          <w:spacing w:val="-8"/>
          <w:w w:val="97"/>
          <w:sz w:val="20"/>
          <w:szCs w:val="20"/>
        </w:rPr>
        <w:t>boosted</w:t>
      </w:r>
      <w:r>
        <w:rPr>
          <w:i/>
          <w:iCs/>
          <w:color w:val="57585A"/>
          <w:spacing w:val="-17"/>
          <w:sz w:val="20"/>
          <w:szCs w:val="20"/>
        </w:rPr>
        <w:t xml:space="preserve"> </w:t>
      </w:r>
      <w:r>
        <w:rPr>
          <w:i/>
          <w:iCs/>
          <w:color w:val="57585A"/>
          <w:spacing w:val="-8"/>
          <w:w w:val="97"/>
          <w:sz w:val="20"/>
          <w:szCs w:val="20"/>
        </w:rPr>
        <w:t>by</w:t>
      </w:r>
      <w:r>
        <w:rPr>
          <w:i/>
          <w:iCs/>
          <w:color w:val="57585A"/>
          <w:spacing w:val="-23"/>
          <w:sz w:val="20"/>
          <w:szCs w:val="20"/>
        </w:rPr>
        <w:t xml:space="preserve"> </w:t>
      </w:r>
      <w:r>
        <w:rPr>
          <w:i/>
          <w:iCs/>
          <w:color w:val="57585A"/>
          <w:spacing w:val="-8"/>
          <w:w w:val="97"/>
          <w:sz w:val="20"/>
          <w:szCs w:val="20"/>
        </w:rPr>
        <w:t>recent</w:t>
      </w:r>
      <w:r>
        <w:rPr>
          <w:i/>
          <w:iCs/>
          <w:color w:val="57585A"/>
          <w:spacing w:val="-26"/>
          <w:sz w:val="20"/>
          <w:szCs w:val="20"/>
        </w:rPr>
        <w:t xml:space="preserve"> </w:t>
      </w:r>
      <w:r>
        <w:rPr>
          <w:i/>
          <w:iCs/>
          <w:color w:val="57585A"/>
          <w:spacing w:val="-8"/>
          <w:w w:val="97"/>
          <w:sz w:val="20"/>
          <w:szCs w:val="20"/>
        </w:rPr>
        <w:t>policy</w:t>
      </w:r>
      <w:r>
        <w:rPr>
          <w:i/>
          <w:iCs/>
          <w:color w:val="57585A"/>
          <w:spacing w:val="-19"/>
          <w:sz w:val="20"/>
          <w:szCs w:val="20"/>
        </w:rPr>
        <w:t xml:space="preserve"> </w:t>
      </w:r>
      <w:r>
        <w:rPr>
          <w:i/>
          <w:iCs/>
          <w:color w:val="57585A"/>
          <w:spacing w:val="-8"/>
          <w:w w:val="97"/>
          <w:sz w:val="20"/>
          <w:szCs w:val="20"/>
        </w:rPr>
        <w:t>changes and</w:t>
      </w:r>
    </w:p>
    <w:p w14:paraId="1B8B5D18">
      <w:pPr>
        <w:pStyle w:val="4"/>
        <w:spacing w:before="57" w:line="273" w:lineRule="auto"/>
        <w:ind w:left="378" w:right="592"/>
        <w:rPr>
          <w:sz w:val="20"/>
          <w:szCs w:val="20"/>
        </w:rPr>
      </w:pPr>
      <w:r>
        <w:rPr>
          <w:i/>
          <w:iCs/>
          <w:color w:val="57585A"/>
          <w:spacing w:val="-9"/>
          <w:w w:val="99"/>
          <w:sz w:val="20"/>
          <w:szCs w:val="20"/>
        </w:rPr>
        <w:t xml:space="preserve">deregulation which are favourable to private </w:t>
      </w:r>
      <w:r>
        <w:rPr>
          <w:i/>
          <w:iCs/>
          <w:color w:val="57585A"/>
          <w:spacing w:val="-10"/>
          <w:w w:val="99"/>
          <w:sz w:val="20"/>
          <w:szCs w:val="20"/>
        </w:rPr>
        <w:t>investment</w:t>
      </w:r>
      <w:r>
        <w:rPr>
          <w:i/>
          <w:iCs/>
          <w:color w:val="57585A"/>
          <w:spacing w:val="-19"/>
          <w:sz w:val="20"/>
          <w:szCs w:val="20"/>
        </w:rPr>
        <w:t xml:space="preserve"> </w:t>
      </w:r>
      <w:r>
        <w:rPr>
          <w:i/>
          <w:iCs/>
          <w:color w:val="57585A"/>
          <w:spacing w:val="-10"/>
          <w:w w:val="99"/>
          <w:sz w:val="20"/>
          <w:szCs w:val="20"/>
        </w:rPr>
        <w:t>and favouring upstream investments, with notable efforts being</w:t>
      </w:r>
      <w:r>
        <w:rPr>
          <w:i/>
          <w:iCs/>
          <w:color w:val="57585A"/>
          <w:spacing w:val="-17"/>
          <w:sz w:val="20"/>
          <w:szCs w:val="20"/>
        </w:rPr>
        <w:t xml:space="preserve"> </w:t>
      </w:r>
      <w:r>
        <w:rPr>
          <w:i/>
          <w:iCs/>
          <w:color w:val="57585A"/>
          <w:spacing w:val="-10"/>
          <w:w w:val="99"/>
          <w:sz w:val="20"/>
          <w:szCs w:val="20"/>
        </w:rPr>
        <w:t>made to</w:t>
      </w:r>
      <w:r>
        <w:rPr>
          <w:i/>
          <w:iCs/>
          <w:color w:val="57585A"/>
          <w:sz w:val="20"/>
          <w:szCs w:val="20"/>
        </w:rPr>
        <w:t xml:space="preserve"> </w:t>
      </w:r>
      <w:r>
        <w:rPr>
          <w:i/>
          <w:iCs/>
          <w:color w:val="57585A"/>
          <w:spacing w:val="-8"/>
          <w:w w:val="96"/>
          <w:sz w:val="20"/>
          <w:szCs w:val="20"/>
        </w:rPr>
        <w:t>develop unconventional</w:t>
      </w:r>
      <w:r>
        <w:rPr>
          <w:i/>
          <w:iCs/>
          <w:color w:val="57585A"/>
          <w:spacing w:val="-7"/>
          <w:sz w:val="20"/>
          <w:szCs w:val="20"/>
        </w:rPr>
        <w:t xml:space="preserve"> </w:t>
      </w:r>
      <w:r>
        <w:rPr>
          <w:i/>
          <w:iCs/>
          <w:color w:val="57585A"/>
          <w:spacing w:val="-8"/>
          <w:w w:val="96"/>
          <w:sz w:val="20"/>
          <w:szCs w:val="20"/>
        </w:rPr>
        <w:t>resources (notably</w:t>
      </w:r>
      <w:r>
        <w:rPr>
          <w:i/>
          <w:iCs/>
          <w:color w:val="57585A"/>
          <w:spacing w:val="-23"/>
          <w:sz w:val="20"/>
          <w:szCs w:val="20"/>
        </w:rPr>
        <w:t xml:space="preserve"> </w:t>
      </w:r>
      <w:r>
        <w:rPr>
          <w:i/>
          <w:iCs/>
          <w:color w:val="57585A"/>
          <w:spacing w:val="-8"/>
          <w:w w:val="96"/>
          <w:sz w:val="20"/>
          <w:szCs w:val="20"/>
        </w:rPr>
        <w:t>in the</w:t>
      </w:r>
      <w:r>
        <w:rPr>
          <w:i/>
          <w:iCs/>
          <w:color w:val="57585A"/>
          <w:spacing w:val="8"/>
          <w:sz w:val="20"/>
          <w:szCs w:val="20"/>
        </w:rPr>
        <w:t xml:space="preserve"> </w:t>
      </w:r>
      <w:r>
        <w:rPr>
          <w:i/>
          <w:iCs/>
          <w:color w:val="57585A"/>
          <w:spacing w:val="-8"/>
          <w:w w:val="96"/>
          <w:sz w:val="20"/>
          <w:szCs w:val="20"/>
        </w:rPr>
        <w:t>Vaca Muerta).</w:t>
      </w:r>
    </w:p>
    <w:p w14:paraId="23FD32A9">
      <w:pPr>
        <w:pStyle w:val="4"/>
        <w:spacing w:line="333" w:lineRule="auto"/>
      </w:pPr>
    </w:p>
    <w:p w14:paraId="46716C2C">
      <w:pPr>
        <w:pStyle w:val="4"/>
        <w:spacing w:line="313" w:lineRule="auto"/>
        <w:rPr>
          <w:rFonts w:hint="eastAsia"/>
        </w:rPr>
      </w:pPr>
      <w:r>
        <w:rPr>
          <w:rFonts w:hint="eastAsia"/>
        </w:rPr>
        <w:t>核心观点：阿根廷石油生产行业活力日益提升，常规与非常规生产均有涉及。2024 年，石油产量（原油与凝析油）同比大幅增长 11.0%；得益于奥尔德瓦尔（Oldelval）输油管道的扩建，我们预测 2025 年产量将再同比增长 15.0%。近期的政策调整与放松管制为该行业提供了助力，这些举措有利于私人投资，尤其支持上游投资，同时阿根廷还在大力推进非常规资源开发（重点是瓦卡穆尔塔页岩区）。</w:t>
      </w:r>
    </w:p>
    <w:p w14:paraId="303C0AF0">
      <w:pPr>
        <w:pStyle w:val="4"/>
        <w:spacing w:line="333" w:lineRule="auto"/>
      </w:pPr>
      <w:bookmarkStart w:id="48" w:name="_GoBack"/>
      <w:bookmarkEnd w:id="48"/>
    </w:p>
    <w:p w14:paraId="223A3B38">
      <w:pPr>
        <w:pStyle w:val="4"/>
        <w:spacing w:before="70" w:line="182" w:lineRule="auto"/>
        <w:ind w:left="378"/>
        <w:outlineLvl w:val="2"/>
        <w:rPr>
          <w:sz w:val="24"/>
          <w:szCs w:val="24"/>
        </w:rPr>
      </w:pPr>
      <w:r>
        <w:rPr>
          <w:b/>
          <w:bCs/>
          <w:color w:val="174174"/>
          <w:spacing w:val="-9"/>
          <w:sz w:val="24"/>
          <w:szCs w:val="24"/>
        </w:rPr>
        <w:t>Latest Updates</w:t>
      </w:r>
    </w:p>
    <w:p w14:paraId="08289729">
      <w:pPr>
        <w:pStyle w:val="4"/>
        <w:spacing w:line="357" w:lineRule="auto"/>
      </w:pPr>
    </w:p>
    <w:p w14:paraId="76AB440C">
      <w:pPr>
        <w:pStyle w:val="4"/>
        <w:spacing w:before="57" w:line="272" w:lineRule="auto"/>
        <w:ind w:left="613" w:right="596" w:hanging="256"/>
        <w:rPr>
          <w:sz w:val="20"/>
          <w:szCs w:val="20"/>
        </w:rPr>
      </w:pPr>
      <w:r>
        <w:rPr>
          <w:color w:val="33CCFF"/>
          <w:spacing w:val="-10"/>
          <w:sz w:val="20"/>
          <w:szCs w:val="20"/>
        </w:rPr>
        <w:t xml:space="preserve">•   </w:t>
      </w:r>
      <w:r>
        <w:rPr>
          <w:color w:val="57585A"/>
          <w:spacing w:val="-10"/>
          <w:sz w:val="20"/>
          <w:szCs w:val="20"/>
        </w:rPr>
        <w:t>Oil output increased by an impr</w:t>
      </w:r>
      <w:r>
        <w:rPr>
          <w:color w:val="57585A"/>
          <w:spacing w:val="-11"/>
          <w:sz w:val="20"/>
          <w:szCs w:val="20"/>
        </w:rPr>
        <w:t>essive 11.0%</w:t>
      </w:r>
      <w:r>
        <w:rPr>
          <w:color w:val="57585A"/>
          <w:spacing w:val="-16"/>
          <w:sz w:val="20"/>
          <w:szCs w:val="20"/>
        </w:rPr>
        <w:t xml:space="preserve"> </w:t>
      </w:r>
      <w:r>
        <w:rPr>
          <w:color w:val="57585A"/>
          <w:spacing w:val="-11"/>
          <w:sz w:val="20"/>
          <w:szCs w:val="20"/>
        </w:rPr>
        <w:t>y-o-y</w:t>
      </w:r>
      <w:r>
        <w:rPr>
          <w:color w:val="57585A"/>
          <w:spacing w:val="-4"/>
          <w:sz w:val="20"/>
          <w:szCs w:val="20"/>
        </w:rPr>
        <w:t xml:space="preserve"> </w:t>
      </w:r>
      <w:r>
        <w:rPr>
          <w:color w:val="57585A"/>
          <w:spacing w:val="-11"/>
          <w:sz w:val="20"/>
          <w:szCs w:val="20"/>
        </w:rPr>
        <w:t>in 2024, to a total of</w:t>
      </w:r>
      <w:r>
        <w:rPr>
          <w:color w:val="57585A"/>
          <w:spacing w:val="-16"/>
          <w:sz w:val="20"/>
          <w:szCs w:val="20"/>
        </w:rPr>
        <w:t xml:space="preserve"> </w:t>
      </w:r>
      <w:r>
        <w:rPr>
          <w:color w:val="57585A"/>
          <w:spacing w:val="-11"/>
          <w:sz w:val="20"/>
          <w:szCs w:val="20"/>
        </w:rPr>
        <w:t>706,000b/d, the highest level since 2004. This is being</w:t>
      </w:r>
      <w:r>
        <w:rPr>
          <w:color w:val="57585A"/>
          <w:sz w:val="20"/>
          <w:szCs w:val="20"/>
        </w:rPr>
        <w:t xml:space="preserve"> </w:t>
      </w:r>
      <w:r>
        <w:rPr>
          <w:color w:val="57585A"/>
          <w:spacing w:val="-9"/>
          <w:sz w:val="20"/>
          <w:szCs w:val="20"/>
        </w:rPr>
        <w:t>led by unconventional oil grow</w:t>
      </w:r>
      <w:r>
        <w:rPr>
          <w:color w:val="57585A"/>
          <w:spacing w:val="-10"/>
          <w:sz w:val="20"/>
          <w:szCs w:val="20"/>
        </w:rPr>
        <w:t>th: in 2024, unconventional oil output surpassed conventional oil production,</w:t>
      </w:r>
      <w:r>
        <w:rPr>
          <w:color w:val="57585A"/>
          <w:spacing w:val="-16"/>
          <w:sz w:val="20"/>
          <w:szCs w:val="20"/>
        </w:rPr>
        <w:t xml:space="preserve"> </w:t>
      </w:r>
      <w:r>
        <w:rPr>
          <w:color w:val="57585A"/>
          <w:spacing w:val="-10"/>
          <w:sz w:val="20"/>
          <w:szCs w:val="20"/>
        </w:rPr>
        <w:t>with government</w:t>
      </w:r>
      <w:r>
        <w:rPr>
          <w:color w:val="57585A"/>
          <w:sz w:val="20"/>
          <w:szCs w:val="20"/>
        </w:rPr>
        <w:t xml:space="preserve"> </w:t>
      </w:r>
      <w:r>
        <w:rPr>
          <w:color w:val="57585A"/>
          <w:spacing w:val="-9"/>
          <w:sz w:val="20"/>
          <w:szCs w:val="20"/>
        </w:rPr>
        <w:t>data indicating unconventional output averaged 392,000b/d, compared to conventional production of</w:t>
      </w:r>
      <w:r>
        <w:rPr>
          <w:color w:val="57585A"/>
          <w:spacing w:val="-8"/>
          <w:sz w:val="20"/>
          <w:szCs w:val="20"/>
        </w:rPr>
        <w:t xml:space="preserve"> </w:t>
      </w:r>
      <w:r>
        <w:rPr>
          <w:color w:val="57585A"/>
          <w:spacing w:val="-9"/>
          <w:sz w:val="20"/>
          <w:szCs w:val="20"/>
        </w:rPr>
        <w:t>314,000b/d.</w:t>
      </w:r>
    </w:p>
    <w:p w14:paraId="520268EF">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The Oldelval pipeline system (Oleoductos del Valle) has recently been expanded to 225,000b/d and 300,000b/d in 2023, to</w:t>
      </w:r>
    </w:p>
    <w:p w14:paraId="15BD1988">
      <w:pPr>
        <w:pStyle w:val="4"/>
        <w:spacing w:before="57" w:line="231" w:lineRule="auto"/>
        <w:ind w:left="613"/>
        <w:rPr>
          <w:sz w:val="20"/>
          <w:szCs w:val="20"/>
        </w:rPr>
      </w:pPr>
      <w:r>
        <w:rPr>
          <w:color w:val="57585A"/>
          <w:spacing w:val="-10"/>
          <w:sz w:val="20"/>
          <w:szCs w:val="20"/>
        </w:rPr>
        <w:t>377,000b/d end-2024, and total capacity of 540,000b/d in 2025 (the final expansion reportedly came online in</w:t>
      </w:r>
      <w:r>
        <w:rPr>
          <w:color w:val="57585A"/>
          <w:spacing w:val="-12"/>
          <w:sz w:val="20"/>
          <w:szCs w:val="20"/>
        </w:rPr>
        <w:t xml:space="preserve"> </w:t>
      </w:r>
      <w:r>
        <w:rPr>
          <w:color w:val="57585A"/>
          <w:spacing w:val="-10"/>
          <w:sz w:val="20"/>
          <w:szCs w:val="20"/>
        </w:rPr>
        <w:t>April 2025</w:t>
      </w:r>
    </w:p>
    <w:p w14:paraId="0165B7C1">
      <w:pPr>
        <w:pStyle w:val="4"/>
        <w:spacing w:before="58" w:line="272" w:lineRule="auto"/>
        <w:ind w:left="608" w:right="553" w:firstLine="10"/>
        <w:rPr>
          <w:sz w:val="20"/>
          <w:szCs w:val="20"/>
        </w:rPr>
      </w:pPr>
      <w:r>
        <w:rPr>
          <w:color w:val="57585A"/>
          <w:spacing w:val="-11"/>
          <w:sz w:val="20"/>
          <w:szCs w:val="20"/>
        </w:rPr>
        <w:t>boosting total capacity to 540,000b/d). This pipeline connects</w:t>
      </w:r>
      <w:r>
        <w:rPr>
          <w:color w:val="57585A"/>
          <w:spacing w:val="-14"/>
          <w:sz w:val="20"/>
          <w:szCs w:val="20"/>
        </w:rPr>
        <w:t xml:space="preserve"> </w:t>
      </w:r>
      <w:r>
        <w:rPr>
          <w:color w:val="57585A"/>
          <w:spacing w:val="-11"/>
          <w:sz w:val="20"/>
          <w:szCs w:val="20"/>
        </w:rPr>
        <w:t>Vaca Muerta</w:t>
      </w:r>
      <w:r>
        <w:rPr>
          <w:color w:val="57585A"/>
          <w:spacing w:val="-16"/>
          <w:sz w:val="20"/>
          <w:szCs w:val="20"/>
        </w:rPr>
        <w:t xml:space="preserve"> </w:t>
      </w:r>
      <w:r>
        <w:rPr>
          <w:color w:val="57585A"/>
          <w:spacing w:val="-11"/>
          <w:sz w:val="20"/>
          <w:szCs w:val="20"/>
        </w:rPr>
        <w:t>with the Por</w:t>
      </w:r>
      <w:r>
        <w:rPr>
          <w:color w:val="57585A"/>
          <w:spacing w:val="-12"/>
          <w:sz w:val="20"/>
          <w:szCs w:val="20"/>
        </w:rPr>
        <w:t>t of Rosales terminal in Bahia Blanca in</w:t>
      </w:r>
      <w:r>
        <w:rPr>
          <w:color w:val="57585A"/>
          <w:sz w:val="20"/>
          <w:szCs w:val="20"/>
        </w:rPr>
        <w:t xml:space="preserve"> </w:t>
      </w:r>
      <w:r>
        <w:rPr>
          <w:color w:val="57585A"/>
          <w:spacing w:val="-11"/>
          <w:sz w:val="20"/>
          <w:szCs w:val="20"/>
        </w:rPr>
        <w:t>the Buenos</w:t>
      </w:r>
      <w:r>
        <w:rPr>
          <w:color w:val="57585A"/>
          <w:spacing w:val="-15"/>
          <w:sz w:val="20"/>
          <w:szCs w:val="20"/>
        </w:rPr>
        <w:t xml:space="preserve"> </w:t>
      </w:r>
      <w:r>
        <w:rPr>
          <w:color w:val="57585A"/>
          <w:spacing w:val="-11"/>
          <w:sz w:val="20"/>
          <w:szCs w:val="20"/>
        </w:rPr>
        <w:t>Aires province. The expansion</w:t>
      </w:r>
      <w:r>
        <w:rPr>
          <w:color w:val="57585A"/>
          <w:spacing w:val="-16"/>
          <w:sz w:val="20"/>
          <w:szCs w:val="20"/>
        </w:rPr>
        <w:t xml:space="preserve"> </w:t>
      </w:r>
      <w:r>
        <w:rPr>
          <w:color w:val="57585A"/>
          <w:spacing w:val="-11"/>
          <w:sz w:val="20"/>
          <w:szCs w:val="20"/>
        </w:rPr>
        <w:t>will allow significant increases in deliveries to the export terminal from</w:t>
      </w:r>
      <w:r>
        <w:rPr>
          <w:color w:val="57585A"/>
          <w:spacing w:val="-12"/>
          <w:sz w:val="20"/>
          <w:szCs w:val="20"/>
        </w:rPr>
        <w:t xml:space="preserve"> 2025 to 2027</w:t>
      </w:r>
      <w:r>
        <w:rPr>
          <w:color w:val="57585A"/>
          <w:sz w:val="20"/>
          <w:szCs w:val="20"/>
        </w:rPr>
        <w:t xml:space="preserve"> </w:t>
      </w:r>
      <w:r>
        <w:rPr>
          <w:color w:val="57585A"/>
          <w:spacing w:val="-10"/>
          <w:sz w:val="20"/>
          <w:szCs w:val="20"/>
        </w:rPr>
        <w:t>and is expected to result in substantial increases</w:t>
      </w:r>
      <w:r>
        <w:rPr>
          <w:color w:val="57585A"/>
          <w:spacing w:val="-11"/>
          <w:sz w:val="20"/>
          <w:szCs w:val="20"/>
        </w:rPr>
        <w:t xml:space="preserve"> in oil output in the coming quarters.</w:t>
      </w:r>
    </w:p>
    <w:p w14:paraId="7BCCE7A8">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We forecast another impressive 15.0%</w:t>
      </w:r>
      <w:r>
        <w:rPr>
          <w:color w:val="57585A"/>
          <w:spacing w:val="-15"/>
          <w:sz w:val="20"/>
          <w:szCs w:val="20"/>
        </w:rPr>
        <w:t xml:space="preserve"> </w:t>
      </w:r>
      <w:r>
        <w:rPr>
          <w:color w:val="57585A"/>
          <w:spacing w:val="-10"/>
          <w:sz w:val="20"/>
          <w:szCs w:val="20"/>
        </w:rPr>
        <w:t>y-o-y growth in crude oil and co</w:t>
      </w:r>
      <w:r>
        <w:rPr>
          <w:color w:val="57585A"/>
          <w:spacing w:val="-11"/>
          <w:sz w:val="20"/>
          <w:szCs w:val="20"/>
        </w:rPr>
        <w:t>ndensates output in 2025, thanks notably to the</w:t>
      </w:r>
    </w:p>
    <w:p w14:paraId="5096591E">
      <w:pPr>
        <w:pStyle w:val="4"/>
        <w:spacing w:before="56" w:line="277" w:lineRule="auto"/>
        <w:ind w:left="608" w:right="533" w:firstLine="6"/>
        <w:rPr>
          <w:sz w:val="20"/>
          <w:szCs w:val="20"/>
        </w:rPr>
      </w:pPr>
      <w:r>
        <w:rPr>
          <w:color w:val="57585A"/>
          <w:spacing w:val="-11"/>
          <w:sz w:val="20"/>
          <w:szCs w:val="20"/>
        </w:rPr>
        <w:t>completed expansion of</w:t>
      </w:r>
      <w:r>
        <w:rPr>
          <w:color w:val="57585A"/>
          <w:spacing w:val="-21"/>
          <w:sz w:val="20"/>
          <w:szCs w:val="20"/>
        </w:rPr>
        <w:t xml:space="preserve"> </w:t>
      </w:r>
      <w:r>
        <w:rPr>
          <w:color w:val="57585A"/>
          <w:spacing w:val="-11"/>
          <w:sz w:val="20"/>
          <w:szCs w:val="20"/>
        </w:rPr>
        <w:t>the Oldelval pipeline. We have recently increased our production forecasts for the 2025-2027 peri</w:t>
      </w:r>
      <w:r>
        <w:rPr>
          <w:color w:val="57585A"/>
          <w:spacing w:val="-12"/>
          <w:sz w:val="20"/>
          <w:szCs w:val="20"/>
        </w:rPr>
        <w:t>od,</w:t>
      </w:r>
      <w:r>
        <w:rPr>
          <w:color w:val="57585A"/>
          <w:sz w:val="20"/>
          <w:szCs w:val="20"/>
        </w:rPr>
        <w:t xml:space="preserve"> </w:t>
      </w:r>
      <w:r>
        <w:rPr>
          <w:color w:val="57585A"/>
          <w:spacing w:val="-10"/>
          <w:sz w:val="20"/>
          <w:szCs w:val="20"/>
        </w:rPr>
        <w:t>and note that the sector is increasingly on track to meet its ambitious 1.0mn b/d oil production ta</w:t>
      </w:r>
      <w:r>
        <w:rPr>
          <w:color w:val="57585A"/>
          <w:spacing w:val="-11"/>
          <w:sz w:val="20"/>
          <w:szCs w:val="20"/>
        </w:rPr>
        <w:t>rget by 2030. However,</w:t>
      </w:r>
      <w:r>
        <w:rPr>
          <w:color w:val="57585A"/>
          <w:spacing w:val="-15"/>
          <w:sz w:val="20"/>
          <w:szCs w:val="20"/>
        </w:rPr>
        <w:t xml:space="preserve"> </w:t>
      </w:r>
      <w:r>
        <w:rPr>
          <w:color w:val="57585A"/>
          <w:spacing w:val="-11"/>
          <w:sz w:val="20"/>
          <w:szCs w:val="20"/>
        </w:rPr>
        <w:t>we</w:t>
      </w:r>
      <w:r>
        <w:rPr>
          <w:color w:val="57585A"/>
          <w:sz w:val="20"/>
          <w:szCs w:val="20"/>
        </w:rPr>
        <w:t xml:space="preserve">   </w:t>
      </w:r>
      <w:r>
        <w:rPr>
          <w:color w:val="57585A"/>
          <w:spacing w:val="-11"/>
          <w:sz w:val="20"/>
          <w:szCs w:val="20"/>
        </w:rPr>
        <w:t>remain on the conservative side however, assuming some delays in the completion of midstream projects,</w:t>
      </w:r>
      <w:r>
        <w:rPr>
          <w:color w:val="57585A"/>
          <w:spacing w:val="-16"/>
          <w:sz w:val="20"/>
          <w:szCs w:val="20"/>
        </w:rPr>
        <w:t xml:space="preserve"> </w:t>
      </w:r>
      <w:r>
        <w:rPr>
          <w:color w:val="57585A"/>
          <w:spacing w:val="-11"/>
          <w:sz w:val="20"/>
          <w:szCs w:val="20"/>
        </w:rPr>
        <w:t>w</w:t>
      </w:r>
      <w:r>
        <w:rPr>
          <w:color w:val="57585A"/>
          <w:spacing w:val="-12"/>
          <w:sz w:val="20"/>
          <w:szCs w:val="20"/>
        </w:rPr>
        <w:t>hich</w:t>
      </w:r>
      <w:r>
        <w:rPr>
          <w:color w:val="57585A"/>
          <w:spacing w:val="-15"/>
          <w:sz w:val="20"/>
          <w:szCs w:val="20"/>
        </w:rPr>
        <w:t xml:space="preserve"> </w:t>
      </w:r>
      <w:r>
        <w:rPr>
          <w:color w:val="57585A"/>
          <w:spacing w:val="-12"/>
          <w:sz w:val="20"/>
          <w:szCs w:val="20"/>
        </w:rPr>
        <w:t>will postpone</w:t>
      </w:r>
      <w:r>
        <w:rPr>
          <w:color w:val="57585A"/>
          <w:sz w:val="20"/>
          <w:szCs w:val="20"/>
        </w:rPr>
        <w:t xml:space="preserve"> </w:t>
      </w:r>
      <w:r>
        <w:rPr>
          <w:color w:val="57585A"/>
          <w:spacing w:val="-10"/>
          <w:sz w:val="20"/>
          <w:szCs w:val="20"/>
        </w:rPr>
        <w:t>the ramp-up of production, and notably on the Vaca Muerta South oil p</w:t>
      </w:r>
      <w:r>
        <w:rPr>
          <w:color w:val="57585A"/>
          <w:spacing w:val="-11"/>
          <w:sz w:val="20"/>
          <w:szCs w:val="20"/>
        </w:rPr>
        <w:t>ipeline. We forecast oil output of 914,000b/d in 2030.</w:t>
      </w:r>
    </w:p>
    <w:p w14:paraId="4FED8919">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ln November 2024</w:t>
      </w:r>
      <w:r>
        <w:rPr>
          <w:color w:val="57585A"/>
          <w:spacing w:val="-15"/>
          <w:sz w:val="20"/>
          <w:szCs w:val="20"/>
        </w:rPr>
        <w:t xml:space="preserve"> </w:t>
      </w:r>
      <w:r>
        <w:rPr>
          <w:color w:val="57585A"/>
          <w:spacing w:val="-10"/>
          <w:sz w:val="20"/>
          <w:szCs w:val="20"/>
        </w:rPr>
        <w:t>YPF reported it started developing the second</w:t>
      </w:r>
      <w:r>
        <w:rPr>
          <w:color w:val="57585A"/>
          <w:spacing w:val="-11"/>
          <w:sz w:val="20"/>
          <w:szCs w:val="20"/>
        </w:rPr>
        <w:t xml:space="preserve"> section of</w:t>
      </w:r>
      <w:r>
        <w:rPr>
          <w:color w:val="57585A"/>
          <w:spacing w:val="-22"/>
          <w:sz w:val="20"/>
          <w:szCs w:val="20"/>
        </w:rPr>
        <w:t xml:space="preserve"> </w:t>
      </w:r>
      <w:r>
        <w:rPr>
          <w:color w:val="57585A"/>
          <w:spacing w:val="-11"/>
          <w:sz w:val="20"/>
          <w:szCs w:val="20"/>
        </w:rPr>
        <w:t>the Vaca Muerta South oil pipeline, a 440km link</w:t>
      </w:r>
    </w:p>
    <w:p w14:paraId="5BA61035">
      <w:pPr>
        <w:pStyle w:val="4"/>
        <w:spacing w:before="55" w:line="262" w:lineRule="auto"/>
        <w:ind w:left="614" w:right="416" w:firstLine="4"/>
        <w:rPr>
          <w:sz w:val="20"/>
          <w:szCs w:val="20"/>
        </w:rPr>
      </w:pPr>
      <w:r>
        <w:rPr>
          <w:color w:val="57585A"/>
          <w:spacing w:val="-10"/>
          <w:sz w:val="20"/>
          <w:szCs w:val="20"/>
        </w:rPr>
        <w:t>between</w:t>
      </w:r>
      <w:r>
        <w:rPr>
          <w:color w:val="57585A"/>
          <w:spacing w:val="-16"/>
          <w:sz w:val="20"/>
          <w:szCs w:val="20"/>
        </w:rPr>
        <w:t xml:space="preserve"> </w:t>
      </w:r>
      <w:r>
        <w:rPr>
          <w:color w:val="57585A"/>
          <w:spacing w:val="-10"/>
          <w:sz w:val="20"/>
          <w:szCs w:val="20"/>
        </w:rPr>
        <w:t>Allen and Punta Colorad</w:t>
      </w:r>
      <w:r>
        <w:rPr>
          <w:color w:val="57585A"/>
          <w:spacing w:val="-11"/>
          <w:sz w:val="20"/>
          <w:szCs w:val="20"/>
        </w:rPr>
        <w:t>a in Rio Negro province in</w:t>
      </w:r>
      <w:r>
        <w:rPr>
          <w:color w:val="57585A"/>
          <w:spacing w:val="-16"/>
          <w:sz w:val="20"/>
          <w:szCs w:val="20"/>
        </w:rPr>
        <w:t xml:space="preserve"> </w:t>
      </w:r>
      <w:r>
        <w:rPr>
          <w:color w:val="57585A"/>
          <w:spacing w:val="-11"/>
          <w:sz w:val="20"/>
          <w:szCs w:val="20"/>
        </w:rPr>
        <w:t>Argentina. The pipeline</w:t>
      </w:r>
      <w:r>
        <w:rPr>
          <w:color w:val="57585A"/>
          <w:spacing w:val="-15"/>
          <w:sz w:val="20"/>
          <w:szCs w:val="20"/>
        </w:rPr>
        <w:t xml:space="preserve"> </w:t>
      </w:r>
      <w:r>
        <w:rPr>
          <w:color w:val="57585A"/>
          <w:spacing w:val="-11"/>
          <w:sz w:val="20"/>
          <w:szCs w:val="20"/>
        </w:rPr>
        <w:t>will start exports in 2026/2027</w:t>
      </w:r>
      <w:r>
        <w:rPr>
          <w:color w:val="57585A"/>
          <w:spacing w:val="-16"/>
          <w:sz w:val="20"/>
          <w:szCs w:val="20"/>
        </w:rPr>
        <w:t xml:space="preserve"> </w:t>
      </w:r>
      <w:r>
        <w:rPr>
          <w:color w:val="57585A"/>
          <w:spacing w:val="-11"/>
          <w:sz w:val="20"/>
          <w:szCs w:val="20"/>
        </w:rPr>
        <w:t>with an initial</w:t>
      </w:r>
      <w:r>
        <w:rPr>
          <w:color w:val="57585A"/>
          <w:sz w:val="20"/>
          <w:szCs w:val="20"/>
        </w:rPr>
        <w:t xml:space="preserve"> </w:t>
      </w:r>
      <w:r>
        <w:rPr>
          <w:color w:val="57585A"/>
          <w:spacing w:val="-9"/>
          <w:sz w:val="20"/>
          <w:szCs w:val="20"/>
        </w:rPr>
        <w:t>capacity of</w:t>
      </w:r>
      <w:r>
        <w:rPr>
          <w:color w:val="57585A"/>
          <w:spacing w:val="-16"/>
          <w:sz w:val="20"/>
          <w:szCs w:val="20"/>
        </w:rPr>
        <w:t xml:space="preserve"> </w:t>
      </w:r>
      <w:r>
        <w:rPr>
          <w:color w:val="57585A"/>
          <w:spacing w:val="-9"/>
          <w:sz w:val="20"/>
          <w:szCs w:val="20"/>
        </w:rPr>
        <w:t>390,000b/d</w:t>
      </w:r>
      <w:r>
        <w:rPr>
          <w:color w:val="57585A"/>
          <w:spacing w:val="-10"/>
          <w:sz w:val="20"/>
          <w:szCs w:val="20"/>
        </w:rPr>
        <w:t>, increasing to 700,000b/d by 2028.</w:t>
      </w:r>
    </w:p>
    <w:p w14:paraId="1357E1BE">
      <w:pPr>
        <w:pStyle w:val="4"/>
        <w:spacing w:before="58" w:line="234" w:lineRule="auto"/>
        <w:ind w:left="357"/>
        <w:rPr>
          <w:sz w:val="20"/>
          <w:szCs w:val="20"/>
        </w:rPr>
      </w:pPr>
      <w:r>
        <w:rPr>
          <w:color w:val="33CCFF"/>
          <w:spacing w:val="-12"/>
          <w:sz w:val="20"/>
          <w:szCs w:val="20"/>
        </w:rPr>
        <w:t xml:space="preserve">•   </w:t>
      </w:r>
      <w:r>
        <w:rPr>
          <w:color w:val="57585A"/>
          <w:spacing w:val="-12"/>
          <w:sz w:val="20"/>
          <w:szCs w:val="20"/>
        </w:rPr>
        <w:t>ln</w:t>
      </w:r>
      <w:r>
        <w:rPr>
          <w:color w:val="57585A"/>
          <w:spacing w:val="-23"/>
          <w:sz w:val="20"/>
          <w:szCs w:val="20"/>
        </w:rPr>
        <w:t xml:space="preserve"> </w:t>
      </w:r>
      <w:r>
        <w:rPr>
          <w:color w:val="57585A"/>
          <w:spacing w:val="-12"/>
          <w:sz w:val="20"/>
          <w:szCs w:val="20"/>
        </w:rPr>
        <w:t>January 2025, VMOS SA, a company owne</w:t>
      </w:r>
      <w:r>
        <w:rPr>
          <w:color w:val="57585A"/>
          <w:spacing w:val="-13"/>
          <w:sz w:val="20"/>
          <w:szCs w:val="20"/>
        </w:rPr>
        <w:t>d by</w:t>
      </w:r>
      <w:r>
        <w:rPr>
          <w:color w:val="57585A"/>
          <w:spacing w:val="-16"/>
          <w:sz w:val="20"/>
          <w:szCs w:val="20"/>
        </w:rPr>
        <w:t xml:space="preserve"> </w:t>
      </w:r>
      <w:r>
        <w:rPr>
          <w:color w:val="57585A"/>
          <w:spacing w:val="-13"/>
          <w:sz w:val="20"/>
          <w:szCs w:val="20"/>
        </w:rPr>
        <w:t>YPF, awarded an engineering and management contract related to the</w:t>
      </w:r>
    </w:p>
    <w:p w14:paraId="18749292">
      <w:pPr>
        <w:pStyle w:val="4"/>
        <w:spacing w:before="57" w:line="280" w:lineRule="auto"/>
        <w:ind w:left="608" w:right="412" w:firstLine="5"/>
        <w:rPr>
          <w:sz w:val="20"/>
          <w:szCs w:val="20"/>
        </w:rPr>
      </w:pPr>
      <w:r>
        <w:rPr>
          <w:color w:val="57585A"/>
          <w:spacing w:val="-12"/>
          <w:sz w:val="20"/>
          <w:szCs w:val="20"/>
        </w:rPr>
        <w:t>development of</w:t>
      </w:r>
      <w:r>
        <w:rPr>
          <w:color w:val="57585A"/>
          <w:spacing w:val="-22"/>
          <w:sz w:val="20"/>
          <w:szCs w:val="20"/>
        </w:rPr>
        <w:t xml:space="preserve"> </w:t>
      </w:r>
      <w:r>
        <w:rPr>
          <w:color w:val="57585A"/>
          <w:spacing w:val="-12"/>
          <w:sz w:val="20"/>
          <w:szCs w:val="20"/>
        </w:rPr>
        <w:t xml:space="preserve">the Vaca Muerta project, to Técnicas </w:t>
      </w:r>
      <w:r>
        <w:rPr>
          <w:color w:val="57585A"/>
          <w:spacing w:val="-13"/>
          <w:sz w:val="20"/>
          <w:szCs w:val="20"/>
        </w:rPr>
        <w:t>Reunidas. The USD440mn contract is an EPCm (engineering, procurement</w:t>
      </w:r>
      <w:r>
        <w:rPr>
          <w:color w:val="57585A"/>
          <w:sz w:val="20"/>
          <w:szCs w:val="20"/>
        </w:rPr>
        <w:t xml:space="preserve"> </w:t>
      </w:r>
      <w:r>
        <w:rPr>
          <w:color w:val="57585A"/>
          <w:spacing w:val="-10"/>
          <w:sz w:val="20"/>
          <w:szCs w:val="20"/>
        </w:rPr>
        <w:t>and construction management) contract for a</w:t>
      </w:r>
      <w:r>
        <w:rPr>
          <w:color w:val="57585A"/>
          <w:spacing w:val="-11"/>
          <w:sz w:val="20"/>
          <w:szCs w:val="20"/>
        </w:rPr>
        <w:t xml:space="preserve"> hydrocarbon storage and dispatch terminal that</w:t>
      </w:r>
      <w:r>
        <w:rPr>
          <w:color w:val="57585A"/>
          <w:spacing w:val="-16"/>
          <w:sz w:val="20"/>
          <w:szCs w:val="20"/>
        </w:rPr>
        <w:t xml:space="preserve"> </w:t>
      </w:r>
      <w:r>
        <w:rPr>
          <w:color w:val="57585A"/>
          <w:spacing w:val="-11"/>
          <w:sz w:val="20"/>
          <w:szCs w:val="20"/>
        </w:rPr>
        <w:t>will be located in Punta Colorada,</w:t>
      </w:r>
      <w:r>
        <w:rPr>
          <w:color w:val="57585A"/>
          <w:sz w:val="20"/>
          <w:szCs w:val="20"/>
        </w:rPr>
        <w:t xml:space="preserve"> </w:t>
      </w:r>
      <w:r>
        <w:rPr>
          <w:color w:val="57585A"/>
          <w:spacing w:val="-11"/>
          <w:sz w:val="20"/>
          <w:szCs w:val="20"/>
        </w:rPr>
        <w:t>on the coast of</w:t>
      </w:r>
      <w:r>
        <w:rPr>
          <w:color w:val="57585A"/>
          <w:spacing w:val="-21"/>
          <w:sz w:val="20"/>
          <w:szCs w:val="20"/>
        </w:rPr>
        <w:t xml:space="preserve"> </w:t>
      </w:r>
      <w:r>
        <w:rPr>
          <w:color w:val="57585A"/>
          <w:spacing w:val="-11"/>
          <w:sz w:val="20"/>
          <w:szCs w:val="20"/>
        </w:rPr>
        <w:t>the province of Río Negro.</w:t>
      </w:r>
      <w:r>
        <w:rPr>
          <w:color w:val="57585A"/>
          <w:spacing w:val="-15"/>
          <w:sz w:val="20"/>
          <w:szCs w:val="20"/>
        </w:rPr>
        <w:t xml:space="preserve"> </w:t>
      </w:r>
      <w:r>
        <w:rPr>
          <w:color w:val="57585A"/>
          <w:spacing w:val="-11"/>
          <w:sz w:val="20"/>
          <w:szCs w:val="20"/>
        </w:rPr>
        <w:t>YPF plans for the entire development of</w:t>
      </w:r>
      <w:r>
        <w:rPr>
          <w:color w:val="57585A"/>
          <w:spacing w:val="-21"/>
          <w:sz w:val="20"/>
          <w:szCs w:val="20"/>
        </w:rPr>
        <w:t xml:space="preserve"> </w:t>
      </w:r>
      <w:r>
        <w:rPr>
          <w:color w:val="57585A"/>
          <w:spacing w:val="-11"/>
          <w:sz w:val="20"/>
          <w:szCs w:val="20"/>
        </w:rPr>
        <w:t>the Vaca Muerta project and its infrastruct</w:t>
      </w:r>
      <w:r>
        <w:rPr>
          <w:color w:val="57585A"/>
          <w:spacing w:val="-12"/>
          <w:sz w:val="20"/>
          <w:szCs w:val="20"/>
        </w:rPr>
        <w:t>ure</w:t>
      </w:r>
      <w:r>
        <w:rPr>
          <w:color w:val="57585A"/>
          <w:sz w:val="20"/>
          <w:szCs w:val="20"/>
        </w:rPr>
        <w:t xml:space="preserve"> </w:t>
      </w:r>
      <w:r>
        <w:rPr>
          <w:color w:val="57585A"/>
          <w:spacing w:val="-10"/>
          <w:sz w:val="20"/>
          <w:szCs w:val="20"/>
        </w:rPr>
        <w:t>to begin commercial operation in</w:t>
      </w:r>
      <w:r>
        <w:rPr>
          <w:color w:val="57585A"/>
          <w:spacing w:val="-23"/>
          <w:sz w:val="20"/>
          <w:szCs w:val="20"/>
        </w:rPr>
        <w:t xml:space="preserve"> </w:t>
      </w:r>
      <w:r>
        <w:rPr>
          <w:color w:val="57585A"/>
          <w:spacing w:val="-10"/>
          <w:sz w:val="20"/>
          <w:szCs w:val="20"/>
        </w:rPr>
        <w:t>July 2027.</w:t>
      </w:r>
      <w:r>
        <w:rPr>
          <w:color w:val="57585A"/>
          <w:spacing w:val="-15"/>
          <w:sz w:val="20"/>
          <w:szCs w:val="20"/>
        </w:rPr>
        <w:t xml:space="preserve"> </w:t>
      </w:r>
      <w:r>
        <w:rPr>
          <w:color w:val="57585A"/>
          <w:spacing w:val="-10"/>
          <w:sz w:val="20"/>
          <w:szCs w:val="20"/>
        </w:rPr>
        <w:t>This includes the construction of</w:t>
      </w:r>
      <w:r>
        <w:rPr>
          <w:color w:val="57585A"/>
          <w:spacing w:val="-21"/>
          <w:sz w:val="20"/>
          <w:szCs w:val="20"/>
        </w:rPr>
        <w:t xml:space="preserve"> </w:t>
      </w:r>
      <w:r>
        <w:rPr>
          <w:color w:val="57585A"/>
          <w:spacing w:val="-10"/>
          <w:sz w:val="20"/>
          <w:szCs w:val="20"/>
        </w:rPr>
        <w:t>the 437km crude oil export pipeline,</w:t>
      </w:r>
      <w:r>
        <w:rPr>
          <w:color w:val="57585A"/>
          <w:spacing w:val="-11"/>
          <w:sz w:val="20"/>
          <w:szCs w:val="20"/>
        </w:rPr>
        <w:t xml:space="preserve"> the loading</w:t>
      </w:r>
      <w:r>
        <w:rPr>
          <w:color w:val="57585A"/>
          <w:sz w:val="20"/>
          <w:szCs w:val="20"/>
        </w:rPr>
        <w:t xml:space="preserve">  </w:t>
      </w:r>
      <w:r>
        <w:rPr>
          <w:color w:val="57585A"/>
          <w:spacing w:val="-11"/>
          <w:sz w:val="20"/>
          <w:szCs w:val="20"/>
        </w:rPr>
        <w:t>and unloading terminal,</w:t>
      </w:r>
      <w:r>
        <w:rPr>
          <w:color w:val="57585A"/>
          <w:spacing w:val="-12"/>
          <w:sz w:val="20"/>
          <w:szCs w:val="20"/>
        </w:rPr>
        <w:t xml:space="preserve"> and a tank and storage</w:t>
      </w:r>
      <w:r>
        <w:rPr>
          <w:color w:val="57585A"/>
          <w:spacing w:val="-15"/>
          <w:sz w:val="20"/>
          <w:szCs w:val="20"/>
        </w:rPr>
        <w:t xml:space="preserve"> </w:t>
      </w:r>
      <w:r>
        <w:rPr>
          <w:color w:val="57585A"/>
          <w:spacing w:val="-12"/>
          <w:sz w:val="20"/>
          <w:szCs w:val="20"/>
        </w:rPr>
        <w:t>yard.</w:t>
      </w:r>
    </w:p>
    <w:p w14:paraId="15FBF47E">
      <w:pPr>
        <w:pStyle w:val="4"/>
        <w:spacing w:before="58" w:line="277" w:lineRule="auto"/>
        <w:ind w:left="607" w:right="454" w:hanging="250"/>
        <w:rPr>
          <w:sz w:val="20"/>
          <w:szCs w:val="20"/>
        </w:rPr>
      </w:pPr>
      <w:r>
        <w:rPr>
          <w:color w:val="33CCFF"/>
          <w:spacing w:val="-10"/>
          <w:sz w:val="20"/>
          <w:szCs w:val="20"/>
        </w:rPr>
        <w:t xml:space="preserve">•   </w:t>
      </w:r>
      <w:r>
        <w:rPr>
          <w:color w:val="57585A"/>
          <w:spacing w:val="-10"/>
          <w:sz w:val="20"/>
          <w:szCs w:val="20"/>
        </w:rPr>
        <w:t>We also highlight risk to ou</w:t>
      </w:r>
      <w:r>
        <w:rPr>
          <w:color w:val="57585A"/>
          <w:spacing w:val="-11"/>
          <w:sz w:val="20"/>
          <w:szCs w:val="20"/>
        </w:rPr>
        <w:t>r forecast stemming from heightened regulatory uncertainty. We maintain our</w:t>
      </w:r>
      <w:r>
        <w:rPr>
          <w:color w:val="57585A"/>
          <w:spacing w:val="-15"/>
          <w:sz w:val="20"/>
          <w:szCs w:val="20"/>
        </w:rPr>
        <w:t xml:space="preserve"> </w:t>
      </w:r>
      <w:r>
        <w:rPr>
          <w:color w:val="57585A"/>
          <w:spacing w:val="-11"/>
          <w:sz w:val="20"/>
          <w:szCs w:val="20"/>
        </w:rPr>
        <w:t>view that</w:t>
      </w:r>
      <w:r>
        <w:rPr>
          <w:color w:val="57585A"/>
          <w:spacing w:val="-24"/>
          <w:sz w:val="20"/>
          <w:szCs w:val="20"/>
        </w:rPr>
        <w:t xml:space="preserve"> </w:t>
      </w:r>
      <w:r>
        <w:rPr>
          <w:color w:val="57585A"/>
          <w:spacing w:val="-11"/>
          <w:sz w:val="20"/>
          <w:szCs w:val="20"/>
        </w:rPr>
        <w:t>Javier MileiIs</w:t>
      </w:r>
      <w:r>
        <w:rPr>
          <w:color w:val="57585A"/>
          <w:sz w:val="20"/>
          <w:szCs w:val="20"/>
        </w:rPr>
        <w:t xml:space="preserve"> </w:t>
      </w:r>
      <w:r>
        <w:rPr>
          <w:color w:val="57585A"/>
          <w:spacing w:val="-10"/>
          <w:sz w:val="20"/>
          <w:szCs w:val="20"/>
        </w:rPr>
        <w:t>free-market agenda is broadly supportive of</w:t>
      </w:r>
      <w:r>
        <w:rPr>
          <w:color w:val="57585A"/>
          <w:spacing w:val="-21"/>
          <w:sz w:val="20"/>
          <w:szCs w:val="20"/>
        </w:rPr>
        <w:t xml:space="preserve"> </w:t>
      </w:r>
      <w:r>
        <w:rPr>
          <w:color w:val="57585A"/>
          <w:spacing w:val="-10"/>
          <w:sz w:val="20"/>
          <w:szCs w:val="20"/>
        </w:rPr>
        <w:t>the oil</w:t>
      </w:r>
      <w:r>
        <w:rPr>
          <w:color w:val="57585A"/>
          <w:spacing w:val="-11"/>
          <w:sz w:val="20"/>
          <w:szCs w:val="20"/>
        </w:rPr>
        <w:t xml:space="preserve"> and gas sector and is expected to foster long-term hydrocarbons production</w:t>
      </w:r>
      <w:r>
        <w:rPr>
          <w:color w:val="57585A"/>
          <w:sz w:val="20"/>
          <w:szCs w:val="20"/>
        </w:rPr>
        <w:t xml:space="preserve"> </w:t>
      </w:r>
      <w:r>
        <w:rPr>
          <w:color w:val="57585A"/>
          <w:spacing w:val="-12"/>
          <w:sz w:val="20"/>
          <w:szCs w:val="20"/>
        </w:rPr>
        <w:t>growth.</w:t>
      </w:r>
      <w:r>
        <w:rPr>
          <w:color w:val="57585A"/>
          <w:spacing w:val="-15"/>
          <w:sz w:val="20"/>
          <w:szCs w:val="20"/>
        </w:rPr>
        <w:t xml:space="preserve"> </w:t>
      </w:r>
      <w:r>
        <w:rPr>
          <w:color w:val="57585A"/>
          <w:spacing w:val="-12"/>
          <w:sz w:val="20"/>
          <w:szCs w:val="20"/>
        </w:rPr>
        <w:t>The new Qlncentive Regime for Large lnvestments, (RlGl) could increa</w:t>
      </w:r>
      <w:r>
        <w:rPr>
          <w:color w:val="57585A"/>
          <w:spacing w:val="-13"/>
          <w:sz w:val="20"/>
          <w:szCs w:val="20"/>
        </w:rPr>
        <w:t>se stability and attractiveness for long-term large</w:t>
      </w:r>
      <w:r>
        <w:rPr>
          <w:color w:val="57585A"/>
          <w:sz w:val="20"/>
          <w:szCs w:val="20"/>
        </w:rPr>
        <w:t xml:space="preserve">   </w:t>
      </w:r>
      <w:r>
        <w:rPr>
          <w:color w:val="57585A"/>
          <w:spacing w:val="-11"/>
          <w:sz w:val="20"/>
          <w:szCs w:val="20"/>
        </w:rPr>
        <w:t>investments in the oil and gas sector. lt</w:t>
      </w:r>
      <w:r>
        <w:rPr>
          <w:color w:val="57585A"/>
          <w:spacing w:val="-16"/>
          <w:sz w:val="20"/>
          <w:szCs w:val="20"/>
        </w:rPr>
        <w:t xml:space="preserve"> </w:t>
      </w:r>
      <w:r>
        <w:rPr>
          <w:color w:val="57585A"/>
          <w:spacing w:val="-11"/>
          <w:sz w:val="20"/>
          <w:szCs w:val="20"/>
        </w:rPr>
        <w:t>will offer 30</w:t>
      </w:r>
      <w:r>
        <w:rPr>
          <w:color w:val="57585A"/>
          <w:spacing w:val="-15"/>
          <w:sz w:val="20"/>
          <w:szCs w:val="20"/>
        </w:rPr>
        <w:t xml:space="preserve"> </w:t>
      </w:r>
      <w:r>
        <w:rPr>
          <w:color w:val="57585A"/>
          <w:spacing w:val="-11"/>
          <w:sz w:val="20"/>
          <w:szCs w:val="20"/>
        </w:rPr>
        <w:t>years of</w:t>
      </w:r>
      <w:r>
        <w:rPr>
          <w:color w:val="57585A"/>
          <w:spacing w:val="-21"/>
          <w:sz w:val="20"/>
          <w:szCs w:val="20"/>
        </w:rPr>
        <w:t xml:space="preserve"> </w:t>
      </w:r>
      <w:r>
        <w:rPr>
          <w:color w:val="57585A"/>
          <w:spacing w:val="-11"/>
          <w:sz w:val="20"/>
          <w:szCs w:val="20"/>
        </w:rPr>
        <w:t xml:space="preserve">fiscal stability, fiscal, customs </w:t>
      </w:r>
      <w:r>
        <w:rPr>
          <w:color w:val="57585A"/>
          <w:spacing w:val="-12"/>
          <w:sz w:val="20"/>
          <w:szCs w:val="20"/>
        </w:rPr>
        <w:t>and exchange incentives for large</w:t>
      </w:r>
    </w:p>
    <w:p w14:paraId="384C3200">
      <w:pPr>
        <w:pStyle w:val="4"/>
        <w:spacing w:before="59" w:line="231" w:lineRule="auto"/>
        <w:ind w:left="616"/>
        <w:rPr>
          <w:sz w:val="20"/>
          <w:szCs w:val="20"/>
        </w:rPr>
      </w:pPr>
      <w:r>
        <w:rPr>
          <w:color w:val="57585A"/>
          <w:spacing w:val="-11"/>
          <w:sz w:val="20"/>
          <w:szCs w:val="20"/>
        </w:rPr>
        <w:t>investments of over USD200mn in several sectors, of</w:t>
      </w:r>
      <w:r>
        <w:rPr>
          <w:color w:val="57585A"/>
          <w:spacing w:val="-25"/>
          <w:sz w:val="20"/>
          <w:szCs w:val="20"/>
        </w:rPr>
        <w:t xml:space="preserve"> </w:t>
      </w:r>
      <w:r>
        <w:rPr>
          <w:color w:val="57585A"/>
          <w:spacing w:val="-11"/>
          <w:sz w:val="20"/>
          <w:szCs w:val="20"/>
        </w:rPr>
        <w:t>which oil and gas. This c</w:t>
      </w:r>
      <w:r>
        <w:rPr>
          <w:color w:val="57585A"/>
          <w:spacing w:val="-12"/>
          <w:sz w:val="20"/>
          <w:szCs w:val="20"/>
        </w:rPr>
        <w:t>ould significantly improve the stability and</w:t>
      </w:r>
    </w:p>
    <w:p w14:paraId="4A5C738D">
      <w:pPr>
        <w:pStyle w:val="4"/>
        <w:spacing w:before="58" w:line="263" w:lineRule="auto"/>
        <w:ind w:left="617" w:right="584" w:hanging="5"/>
        <w:rPr>
          <w:sz w:val="20"/>
          <w:szCs w:val="20"/>
        </w:rPr>
      </w:pPr>
      <w:r>
        <w:rPr>
          <w:color w:val="57585A"/>
          <w:spacing w:val="-11"/>
          <w:sz w:val="20"/>
          <w:szCs w:val="20"/>
        </w:rPr>
        <w:t>attractiveness of investments in the</w:t>
      </w:r>
      <w:r>
        <w:rPr>
          <w:color w:val="57585A"/>
          <w:spacing w:val="-16"/>
          <w:sz w:val="20"/>
          <w:szCs w:val="20"/>
        </w:rPr>
        <w:t xml:space="preserve"> </w:t>
      </w:r>
      <w:r>
        <w:rPr>
          <w:color w:val="57585A"/>
          <w:spacing w:val="-11"/>
          <w:sz w:val="20"/>
          <w:szCs w:val="20"/>
        </w:rPr>
        <w:t>Argentinian oil and gas sector, and creates significant long-term upside risks to</w:t>
      </w:r>
      <w:r>
        <w:rPr>
          <w:color w:val="57585A"/>
          <w:spacing w:val="-12"/>
          <w:sz w:val="20"/>
          <w:szCs w:val="20"/>
        </w:rPr>
        <w:t xml:space="preserve"> oil and gas</w:t>
      </w:r>
      <w:r>
        <w:rPr>
          <w:color w:val="57585A"/>
          <w:sz w:val="20"/>
          <w:szCs w:val="20"/>
        </w:rPr>
        <w:t xml:space="preserve"> </w:t>
      </w:r>
      <w:r>
        <w:rPr>
          <w:color w:val="57585A"/>
          <w:spacing w:val="-8"/>
          <w:sz w:val="20"/>
          <w:szCs w:val="20"/>
        </w:rPr>
        <w:t>production.</w:t>
      </w:r>
    </w:p>
    <w:p w14:paraId="56AA0C4E">
      <w:pPr>
        <w:pStyle w:val="4"/>
        <w:spacing w:line="313" w:lineRule="auto"/>
      </w:pPr>
    </w:p>
    <w:p w14:paraId="516877F9">
      <w:pPr>
        <w:pStyle w:val="4"/>
        <w:spacing w:line="313" w:lineRule="auto"/>
        <w:rPr>
          <w:rFonts w:hint="eastAsia"/>
        </w:rPr>
      </w:pPr>
      <w:r>
        <w:rPr>
          <w:rFonts w:hint="eastAsia"/>
        </w:rPr>
        <w:t>最新动态</w:t>
      </w:r>
    </w:p>
    <w:p w14:paraId="6142DA83">
      <w:pPr>
        <w:pStyle w:val="4"/>
        <w:spacing w:line="313" w:lineRule="auto"/>
        <w:rPr>
          <w:rFonts w:hint="eastAsia"/>
        </w:rPr>
      </w:pPr>
      <w:r>
        <w:rPr>
          <w:rFonts w:hint="eastAsia"/>
        </w:rPr>
        <w:t>2024 年，阿根廷石油日产量同比大幅增长 11.0%，达到 70.6 万桶，创下 2004 年以来的最高水平。这一增长主要由非常规石油推动：2024 年，非常规石油日产量超过常规石油，官方数据显示，非常规石油日均产量为 39.2 万桶，而常规石油日均产量为 31.4 万桶。</w:t>
      </w:r>
    </w:p>
    <w:p w14:paraId="12DF1EB6">
      <w:pPr>
        <w:pStyle w:val="4"/>
        <w:spacing w:line="313" w:lineRule="auto"/>
        <w:rPr>
          <w:rFonts w:hint="eastAsia"/>
        </w:rPr>
      </w:pPr>
      <w:r>
        <w:rPr>
          <w:rFonts w:hint="eastAsia"/>
        </w:rPr>
        <w:t>奥尔德瓦尔输油管道系统（Oleoductos del Valle）近期持续扩建：2023 年运力为 22.5 万 - 30 万桶 / 日，2024 年底提升至 37.7 万桶 / 日，2025 年总运力将达 54 万桶 / 日（据悉最终扩建工程于 2025 年 4 月投产，使总运力提升至 54 万桶 / 日）。该管道连接瓦卡穆尔塔页岩区与布宜诺斯艾利斯省巴伊亚布兰卡市的罗萨莱斯港码头，2025-2027 年期间，扩建后的管道将大幅增加向出口码头的运输量，预计未来几个季度石油产量将显著提升。</w:t>
      </w:r>
    </w:p>
    <w:p w14:paraId="2019A4A6">
      <w:pPr>
        <w:pStyle w:val="4"/>
        <w:spacing w:line="313" w:lineRule="auto"/>
        <w:rPr>
          <w:rFonts w:hint="eastAsia"/>
        </w:rPr>
      </w:pPr>
      <w:r>
        <w:rPr>
          <w:rFonts w:hint="eastAsia"/>
        </w:rPr>
        <w:t>得益于奥尔德瓦尔输油管道扩建工程的完工，我们预测 2025 年阿根廷原油与凝析油产量将再同比大幅增长 15.0%。我们近期上调了 2025-2027 年的产量预测，同时注意到该行业正逐步朝着 2030 年实现 100 万桶 / 日的宏伟石油产量目标迈进。不过，我们仍持保守态度，因为中游项目（尤其是瓦卡穆尔塔南部输油管道）的完工可能出现延迟，这将推迟产量提升进程。我们预测 2030 年阿根廷石油日产量将为 91.4 万桶。</w:t>
      </w:r>
    </w:p>
    <w:p w14:paraId="400197BE">
      <w:pPr>
        <w:pStyle w:val="4"/>
        <w:spacing w:line="313" w:lineRule="auto"/>
        <w:rPr>
          <w:rFonts w:hint="eastAsia"/>
        </w:rPr>
      </w:pPr>
      <w:r>
        <w:rPr>
          <w:rFonts w:hint="eastAsia"/>
        </w:rPr>
        <w:t>2024 年 11 月，阿根廷国家石油公司（YPF）宣布启动瓦卡穆尔塔南部输油管道第二段的建设。该管道长 440 公里，连接阿根廷内格罗河省的艾伦市与蓬塔科罗拉多市，将于 2026-2027 年开始用于出口，初始运力为 39 万桶 / 日，2028 年将提升至 70 万桶 / 日。</w:t>
      </w:r>
    </w:p>
    <w:p w14:paraId="236B4FD4">
      <w:pPr>
        <w:pStyle w:val="4"/>
        <w:spacing w:line="313" w:lineRule="auto"/>
        <w:rPr>
          <w:rFonts w:hint="eastAsia"/>
        </w:rPr>
      </w:pPr>
      <w:r>
        <w:rPr>
          <w:rFonts w:hint="eastAsia"/>
        </w:rPr>
        <w:t>2025 年 1 月，阿根廷国家石油公司（YPF）旗下的 VMOS 公司，将瓦卡穆尔塔项目的一项工程管理合同授予泰尼卡斯・雷乌尼达斯公司（Técnicas Reunidas）。这份合同金额为 4.4 亿美元，属于 EPCm（设计、采购、施工管理）合同，涉及在内格罗河省沿海城市蓬塔科罗拉多建设一座油气储输终端。阿根廷国家石油公司计划让瓦卡穆尔塔项目及其相关基础设施于 2027 年 7 月全面投入商业运营，其中包括 437 公里长的原油出口管道、装卸码头以及储油区的建设。</w:t>
      </w:r>
    </w:p>
    <w:p w14:paraId="6C3463BD">
      <w:pPr>
        <w:pStyle w:val="4"/>
        <w:spacing w:line="313" w:lineRule="auto"/>
      </w:pPr>
      <w:r>
        <w:rPr>
          <w:rFonts w:hint="eastAsia"/>
        </w:rPr>
        <w:t>我们还需强调，监管不确定性加剧给我们的预测带来了风险。不过我们仍认为，哈维尔・米莱（Javier Milei）的自由市场议程总体上对油气行业有利，有望推动油气产量长期增长。新出台的《大型投资激励制度》（RIGI）或将提升行业稳定性，增强对油气行业长期大型投资的吸引力。该制度将为多个行业（包括油气行业）中 2 亿美元以上的大型投资提供 30 年的财政稳定性，以及财政、海关和外汇方面的激励。这一举措可能显著提升阿根廷油气行业投资的稳定性与吸引力，为油气产量带来显著的长期增长空间。</w:t>
      </w:r>
    </w:p>
    <w:p w14:paraId="27D14C9D">
      <w:pPr>
        <w:pStyle w:val="4"/>
        <w:spacing w:line="313" w:lineRule="auto"/>
      </w:pPr>
    </w:p>
    <w:p w14:paraId="7B786702">
      <w:pPr>
        <w:pStyle w:val="4"/>
        <w:spacing w:line="313" w:lineRule="auto"/>
      </w:pPr>
    </w:p>
    <w:p w14:paraId="6987DC30">
      <w:pPr>
        <w:pStyle w:val="4"/>
        <w:spacing w:line="313" w:lineRule="auto"/>
      </w:pPr>
    </w:p>
    <w:p w14:paraId="73C40BE0">
      <w:pPr>
        <w:pStyle w:val="4"/>
        <w:spacing w:line="313" w:lineRule="auto"/>
      </w:pPr>
    </w:p>
    <w:p w14:paraId="1CA599C3">
      <w:pPr>
        <w:pStyle w:val="4"/>
        <w:spacing w:line="313" w:lineRule="auto"/>
      </w:pPr>
    </w:p>
    <w:p w14:paraId="19D29D7C">
      <w:pPr>
        <w:pStyle w:val="4"/>
        <w:spacing w:line="313" w:lineRule="auto"/>
      </w:pPr>
    </w:p>
    <w:p w14:paraId="0D02D5F2">
      <w:pPr>
        <w:pStyle w:val="4"/>
        <w:spacing w:before="69" w:line="325"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285F5B07">
      <w:pPr>
        <w:pStyle w:val="4"/>
        <w:spacing w:line="301" w:lineRule="auto"/>
      </w:pPr>
    </w:p>
    <w:p w14:paraId="5E7F5888">
      <w:pPr>
        <w:pStyle w:val="4"/>
        <w:spacing w:before="57" w:line="231" w:lineRule="auto"/>
        <w:ind w:left="359"/>
        <w:rPr>
          <w:sz w:val="20"/>
          <w:szCs w:val="20"/>
        </w:rPr>
      </w:pPr>
      <w:r>
        <w:rPr>
          <w:color w:val="57585A"/>
          <w:spacing w:val="-10"/>
          <w:sz w:val="20"/>
          <w:szCs w:val="20"/>
        </w:rPr>
        <w:t>Argentina,s oil production sector is increasingly dynamic,</w:t>
      </w:r>
      <w:r>
        <w:rPr>
          <w:color w:val="57585A"/>
          <w:spacing w:val="-16"/>
          <w:sz w:val="20"/>
          <w:szCs w:val="20"/>
        </w:rPr>
        <w:t xml:space="preserve"> </w:t>
      </w:r>
      <w:r>
        <w:rPr>
          <w:color w:val="57585A"/>
          <w:spacing w:val="-10"/>
          <w:sz w:val="20"/>
          <w:szCs w:val="20"/>
        </w:rPr>
        <w:t>with both conventional and unconventional productio</w:t>
      </w:r>
      <w:r>
        <w:rPr>
          <w:color w:val="57585A"/>
          <w:spacing w:val="-11"/>
          <w:sz w:val="20"/>
          <w:szCs w:val="20"/>
        </w:rPr>
        <w:t>n.</w:t>
      </w:r>
      <w:r>
        <w:rPr>
          <w:color w:val="57585A"/>
          <w:spacing w:val="-15"/>
          <w:sz w:val="20"/>
          <w:szCs w:val="20"/>
        </w:rPr>
        <w:t xml:space="preserve"> </w:t>
      </w:r>
      <w:r>
        <w:rPr>
          <w:color w:val="57585A"/>
          <w:spacing w:val="-11"/>
          <w:sz w:val="20"/>
          <w:szCs w:val="20"/>
        </w:rPr>
        <w:t>The sector is</w:t>
      </w:r>
    </w:p>
    <w:p w14:paraId="7EED494E">
      <w:pPr>
        <w:pStyle w:val="4"/>
        <w:spacing w:before="59" w:line="231" w:lineRule="auto"/>
        <w:ind w:left="373"/>
        <w:rPr>
          <w:sz w:val="20"/>
          <w:szCs w:val="20"/>
        </w:rPr>
      </w:pPr>
      <w:r>
        <w:rPr>
          <w:color w:val="57585A"/>
          <w:spacing w:val="-11"/>
          <w:sz w:val="20"/>
          <w:szCs w:val="20"/>
        </w:rPr>
        <w:t>being boosted by recent policy changes and deregulation by the</w:t>
      </w:r>
      <w:r>
        <w:rPr>
          <w:color w:val="57585A"/>
          <w:spacing w:val="-23"/>
          <w:sz w:val="20"/>
          <w:szCs w:val="20"/>
        </w:rPr>
        <w:t xml:space="preserve"> </w:t>
      </w:r>
      <w:r>
        <w:rPr>
          <w:color w:val="57585A"/>
          <w:spacing w:val="-11"/>
          <w:sz w:val="20"/>
          <w:szCs w:val="20"/>
        </w:rPr>
        <w:t>Javier Milei government,</w:t>
      </w:r>
      <w:r>
        <w:rPr>
          <w:color w:val="57585A"/>
          <w:spacing w:val="-16"/>
          <w:sz w:val="20"/>
          <w:szCs w:val="20"/>
        </w:rPr>
        <w:t xml:space="preserve"> </w:t>
      </w:r>
      <w:r>
        <w:rPr>
          <w:color w:val="57585A"/>
          <w:spacing w:val="-11"/>
          <w:sz w:val="20"/>
          <w:szCs w:val="20"/>
        </w:rPr>
        <w:t>which are</w:t>
      </w:r>
      <w:r>
        <w:rPr>
          <w:color w:val="57585A"/>
          <w:spacing w:val="-12"/>
          <w:sz w:val="20"/>
          <w:szCs w:val="20"/>
        </w:rPr>
        <w:t xml:space="preserve"> favourable to private</w:t>
      </w:r>
    </w:p>
    <w:p w14:paraId="579DBB80">
      <w:pPr>
        <w:pStyle w:val="4"/>
        <w:spacing w:before="59" w:line="273" w:lineRule="auto"/>
        <w:ind w:left="363" w:right="449" w:firstLine="8"/>
        <w:rPr>
          <w:sz w:val="20"/>
          <w:szCs w:val="20"/>
        </w:rPr>
      </w:pPr>
      <w:r>
        <w:rPr>
          <w:color w:val="57585A"/>
          <w:spacing w:val="-10"/>
          <w:sz w:val="20"/>
          <w:szCs w:val="20"/>
        </w:rPr>
        <w:t>investment and favouring upstream investments,</w:t>
      </w:r>
      <w:r>
        <w:rPr>
          <w:color w:val="57585A"/>
          <w:spacing w:val="-16"/>
          <w:sz w:val="20"/>
          <w:szCs w:val="20"/>
        </w:rPr>
        <w:t xml:space="preserve"> </w:t>
      </w:r>
      <w:r>
        <w:rPr>
          <w:color w:val="57585A"/>
          <w:spacing w:val="-10"/>
          <w:sz w:val="20"/>
          <w:szCs w:val="20"/>
        </w:rPr>
        <w:t>with notable effor</w:t>
      </w:r>
      <w:r>
        <w:rPr>
          <w:color w:val="57585A"/>
          <w:spacing w:val="-11"/>
          <w:sz w:val="20"/>
          <w:szCs w:val="20"/>
        </w:rPr>
        <w:t>ts being made to develop unconventional resources (notably in</w:t>
      </w:r>
      <w:r>
        <w:rPr>
          <w:color w:val="57585A"/>
          <w:sz w:val="20"/>
          <w:szCs w:val="20"/>
        </w:rPr>
        <w:t xml:space="preserve"> </w:t>
      </w:r>
      <w:r>
        <w:rPr>
          <w:color w:val="57585A"/>
          <w:spacing w:val="-10"/>
          <w:sz w:val="20"/>
          <w:szCs w:val="20"/>
        </w:rPr>
        <w:t>the Vaca Muerta). ln addition, the completion of</w:t>
      </w:r>
      <w:r>
        <w:rPr>
          <w:color w:val="57585A"/>
          <w:spacing w:val="-15"/>
          <w:sz w:val="20"/>
          <w:szCs w:val="20"/>
        </w:rPr>
        <w:t xml:space="preserve"> </w:t>
      </w:r>
      <w:r>
        <w:rPr>
          <w:color w:val="57585A"/>
          <w:spacing w:val="-10"/>
          <w:sz w:val="20"/>
          <w:szCs w:val="20"/>
        </w:rPr>
        <w:t>critical oil transportation infrastructure is also allowing a s</w:t>
      </w:r>
      <w:r>
        <w:rPr>
          <w:color w:val="57585A"/>
          <w:spacing w:val="-11"/>
          <w:sz w:val="20"/>
          <w:szCs w:val="20"/>
        </w:rPr>
        <w:t>ignificant increase in</w:t>
      </w:r>
    </w:p>
    <w:p w14:paraId="5A912DAC">
      <w:pPr>
        <w:spacing w:line="273" w:lineRule="auto"/>
        <w:rPr>
          <w:sz w:val="20"/>
          <w:szCs w:val="20"/>
        </w:rPr>
        <w:sectPr>
          <w:footerReference r:id="rId17" w:type="default"/>
          <w:pgSz w:w="11906" w:h="16838"/>
          <w:pgMar w:top="400" w:right="490" w:bottom="883" w:left="490" w:header="0" w:footer="0" w:gutter="0"/>
          <w:cols w:space="720" w:num="1"/>
        </w:sectPr>
      </w:pPr>
    </w:p>
    <w:p w14:paraId="054F5AFD">
      <w:pPr>
        <w:pStyle w:val="4"/>
        <w:spacing w:before="73" w:line="241" w:lineRule="auto"/>
        <w:ind w:left="7372"/>
        <w:rPr>
          <w:sz w:val="20"/>
          <w:szCs w:val="20"/>
        </w:rPr>
      </w:pPr>
      <w:r>
        <w:drawing>
          <wp:anchor distT="0" distB="0" distL="0" distR="0" simplePos="0" relativeHeight="25170944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10464" behindDoc="0" locked="0" layoutInCell="0" allowOverlap="1">
            <wp:simplePos x="0" y="0"/>
            <wp:positionH relativeFrom="page">
              <wp:posOffset>311150</wp:posOffset>
            </wp:positionH>
            <wp:positionV relativeFrom="page">
              <wp:posOffset>0</wp:posOffset>
            </wp:positionV>
            <wp:extent cx="19050" cy="814070"/>
            <wp:effectExtent l="0" t="0" r="0" b="0"/>
            <wp:wrapNone/>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47F3B57">
      <w:pPr>
        <w:pStyle w:val="4"/>
        <w:spacing w:line="278" w:lineRule="auto"/>
      </w:pPr>
    </w:p>
    <w:p w14:paraId="0E0BBBED">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2CD0C10">
      <w:pPr>
        <w:pStyle w:val="4"/>
        <w:spacing w:line="470" w:lineRule="auto"/>
      </w:pPr>
    </w:p>
    <w:p w14:paraId="02B76B2E">
      <w:pPr>
        <w:pStyle w:val="4"/>
        <w:spacing w:before="58" w:line="231" w:lineRule="auto"/>
        <w:ind w:left="369"/>
        <w:rPr>
          <w:sz w:val="20"/>
          <w:szCs w:val="20"/>
        </w:rPr>
      </w:pPr>
      <w:r>
        <w:rPr>
          <w:color w:val="57585A"/>
          <w:spacing w:val="-9"/>
          <w:sz w:val="20"/>
          <w:szCs w:val="20"/>
        </w:rPr>
        <w:t>output,</w:t>
      </w:r>
      <w:r>
        <w:rPr>
          <w:color w:val="57585A"/>
          <w:spacing w:val="-16"/>
          <w:sz w:val="20"/>
          <w:szCs w:val="20"/>
        </w:rPr>
        <w:t xml:space="preserve"> </w:t>
      </w:r>
      <w:r>
        <w:rPr>
          <w:color w:val="57585A"/>
          <w:spacing w:val="-9"/>
          <w:sz w:val="20"/>
          <w:szCs w:val="20"/>
        </w:rPr>
        <w:t>with further gains to come in the coming quarters. Unconventional oil pr</w:t>
      </w:r>
      <w:r>
        <w:rPr>
          <w:color w:val="57585A"/>
          <w:spacing w:val="-10"/>
          <w:sz w:val="20"/>
          <w:szCs w:val="20"/>
        </w:rPr>
        <w:t>oduction has overtaken conventional output in</w:t>
      </w:r>
    </w:p>
    <w:p w14:paraId="71273F39">
      <w:pPr>
        <w:pStyle w:val="4"/>
        <w:spacing w:before="58" w:line="231" w:lineRule="auto"/>
        <w:ind w:left="363"/>
        <w:rPr>
          <w:sz w:val="20"/>
          <w:szCs w:val="20"/>
        </w:rPr>
      </w:pPr>
      <w:r>
        <w:rPr>
          <w:color w:val="57585A"/>
          <w:spacing w:val="-10"/>
          <w:sz w:val="20"/>
          <w:szCs w:val="20"/>
        </w:rPr>
        <w:t>terms of</w:t>
      </w:r>
      <w:r>
        <w:rPr>
          <w:color w:val="57585A"/>
          <w:spacing w:val="-14"/>
          <w:sz w:val="20"/>
          <w:szCs w:val="20"/>
        </w:rPr>
        <w:t xml:space="preserve"> </w:t>
      </w:r>
      <w:r>
        <w:rPr>
          <w:color w:val="57585A"/>
          <w:spacing w:val="-10"/>
          <w:sz w:val="20"/>
          <w:szCs w:val="20"/>
        </w:rPr>
        <w:t>total output in 2024, and</w:t>
      </w:r>
      <w:r>
        <w:rPr>
          <w:color w:val="57585A"/>
          <w:spacing w:val="-15"/>
          <w:sz w:val="20"/>
          <w:szCs w:val="20"/>
        </w:rPr>
        <w:t xml:space="preserve"> </w:t>
      </w:r>
      <w:r>
        <w:rPr>
          <w:color w:val="57585A"/>
          <w:spacing w:val="-10"/>
          <w:sz w:val="20"/>
          <w:szCs w:val="20"/>
        </w:rPr>
        <w:t>we expect this trend to continue over the coming</w:t>
      </w:r>
      <w:r>
        <w:rPr>
          <w:color w:val="57585A"/>
          <w:spacing w:val="-16"/>
          <w:sz w:val="20"/>
          <w:szCs w:val="20"/>
        </w:rPr>
        <w:t xml:space="preserve"> </w:t>
      </w:r>
      <w:r>
        <w:rPr>
          <w:color w:val="57585A"/>
          <w:spacing w:val="-10"/>
          <w:sz w:val="20"/>
          <w:szCs w:val="20"/>
        </w:rPr>
        <w:t>years, as conventional output matures and</w:t>
      </w:r>
    </w:p>
    <w:p w14:paraId="4CC4C449">
      <w:pPr>
        <w:pStyle w:val="4"/>
        <w:spacing w:before="56" w:line="283" w:lineRule="auto"/>
        <w:ind w:left="361" w:right="376" w:firstLine="11"/>
        <w:rPr>
          <w:sz w:val="20"/>
          <w:szCs w:val="20"/>
        </w:rPr>
      </w:pPr>
      <w:r>
        <w:rPr>
          <w:color w:val="57585A"/>
          <w:spacing w:val="-11"/>
          <w:sz w:val="20"/>
          <w:szCs w:val="20"/>
        </w:rPr>
        <w:t>unconventionals soar thanks to new oil transport infrastructure. Our forecasts currently remain on the conservative side however,</w:t>
      </w:r>
      <w:r>
        <w:rPr>
          <w:color w:val="57585A"/>
          <w:spacing w:val="3"/>
          <w:sz w:val="20"/>
          <w:szCs w:val="20"/>
        </w:rPr>
        <w:t xml:space="preserve">  </w:t>
      </w:r>
      <w:r>
        <w:rPr>
          <w:color w:val="57585A"/>
          <w:spacing w:val="-10"/>
          <w:sz w:val="20"/>
          <w:szCs w:val="20"/>
        </w:rPr>
        <w:t>assuming some delays in the completion of midstream projects,</w:t>
      </w:r>
      <w:r>
        <w:rPr>
          <w:color w:val="57585A"/>
          <w:spacing w:val="-15"/>
          <w:sz w:val="20"/>
          <w:szCs w:val="20"/>
        </w:rPr>
        <w:t xml:space="preserve"> </w:t>
      </w:r>
      <w:r>
        <w:rPr>
          <w:color w:val="57585A"/>
          <w:spacing w:val="-10"/>
          <w:sz w:val="20"/>
          <w:szCs w:val="20"/>
        </w:rPr>
        <w:t>which</w:t>
      </w:r>
      <w:r>
        <w:rPr>
          <w:color w:val="57585A"/>
          <w:spacing w:val="-16"/>
          <w:sz w:val="20"/>
          <w:szCs w:val="20"/>
        </w:rPr>
        <w:t xml:space="preserve"> </w:t>
      </w:r>
      <w:r>
        <w:rPr>
          <w:color w:val="57585A"/>
          <w:spacing w:val="-10"/>
          <w:sz w:val="20"/>
          <w:szCs w:val="20"/>
        </w:rPr>
        <w:t>will postpone the r</w:t>
      </w:r>
      <w:r>
        <w:rPr>
          <w:color w:val="57585A"/>
          <w:spacing w:val="-11"/>
          <w:sz w:val="20"/>
          <w:szCs w:val="20"/>
        </w:rPr>
        <w:t>amp-up of production, and notably on the</w:t>
      </w:r>
      <w:r>
        <w:rPr>
          <w:color w:val="57585A"/>
          <w:sz w:val="20"/>
          <w:szCs w:val="20"/>
        </w:rPr>
        <w:t xml:space="preserve"> </w:t>
      </w:r>
      <w:r>
        <w:rPr>
          <w:color w:val="57585A"/>
          <w:spacing w:val="-11"/>
          <w:sz w:val="20"/>
          <w:szCs w:val="20"/>
        </w:rPr>
        <w:t>Vaca Muerta South oil pipeline. However,</w:t>
      </w:r>
      <w:r>
        <w:rPr>
          <w:color w:val="57585A"/>
          <w:spacing w:val="-16"/>
          <w:sz w:val="20"/>
          <w:szCs w:val="20"/>
        </w:rPr>
        <w:t xml:space="preserve"> </w:t>
      </w:r>
      <w:r>
        <w:rPr>
          <w:color w:val="57585A"/>
          <w:spacing w:val="-11"/>
          <w:sz w:val="20"/>
          <w:szCs w:val="20"/>
        </w:rPr>
        <w:t xml:space="preserve">we have recently increased our production forecasts </w:t>
      </w:r>
      <w:r>
        <w:rPr>
          <w:color w:val="57585A"/>
          <w:spacing w:val="-12"/>
          <w:sz w:val="20"/>
          <w:szCs w:val="20"/>
        </w:rPr>
        <w:t>for the 2025-2027 period, and note</w:t>
      </w:r>
      <w:r>
        <w:rPr>
          <w:color w:val="57585A"/>
          <w:sz w:val="20"/>
          <w:szCs w:val="20"/>
        </w:rPr>
        <w:t xml:space="preserve">  </w:t>
      </w:r>
      <w:r>
        <w:rPr>
          <w:color w:val="57585A"/>
          <w:spacing w:val="-9"/>
          <w:sz w:val="20"/>
          <w:szCs w:val="20"/>
        </w:rPr>
        <w:t>that the sector is increasingly on track to meet</w:t>
      </w:r>
      <w:r>
        <w:rPr>
          <w:color w:val="57585A"/>
          <w:spacing w:val="-10"/>
          <w:sz w:val="20"/>
          <w:szCs w:val="20"/>
        </w:rPr>
        <w:t xml:space="preserve"> its ambitious 1.0mn b/d oil production target by 2030.</w:t>
      </w:r>
    </w:p>
    <w:p w14:paraId="2291174B">
      <w:pPr>
        <w:pStyle w:val="4"/>
        <w:spacing w:line="262" w:lineRule="auto"/>
      </w:pPr>
    </w:p>
    <w:p w14:paraId="004533CE">
      <w:pPr>
        <w:pStyle w:val="4"/>
        <w:spacing w:before="58" w:line="241" w:lineRule="auto"/>
        <w:ind w:left="375"/>
        <w:rPr>
          <w:sz w:val="20"/>
          <w:szCs w:val="20"/>
        </w:rPr>
      </w:pPr>
      <w:r>
        <w:rPr>
          <w:b/>
          <w:bCs/>
          <w:color w:val="57585A"/>
          <w:spacing w:val="-11"/>
          <w:sz w:val="20"/>
          <w:szCs w:val="20"/>
        </w:rPr>
        <w:t>Producing Basins</w:t>
      </w:r>
    </w:p>
    <w:p w14:paraId="498EF070">
      <w:pPr>
        <w:pStyle w:val="4"/>
        <w:spacing w:line="281" w:lineRule="auto"/>
      </w:pPr>
    </w:p>
    <w:p w14:paraId="51587DEF">
      <w:pPr>
        <w:pStyle w:val="4"/>
        <w:spacing w:before="58" w:line="231" w:lineRule="auto"/>
        <w:ind w:left="360"/>
        <w:rPr>
          <w:sz w:val="20"/>
          <w:szCs w:val="20"/>
        </w:rPr>
      </w:pPr>
      <w:r>
        <w:rPr>
          <w:color w:val="57585A"/>
          <w:spacing w:val="-11"/>
          <w:sz w:val="20"/>
          <w:szCs w:val="20"/>
        </w:rPr>
        <w:t>The conventional oil sector is primarily comp</w:t>
      </w:r>
      <w:r>
        <w:rPr>
          <w:color w:val="57585A"/>
          <w:spacing w:val="-12"/>
          <w:sz w:val="20"/>
          <w:szCs w:val="20"/>
        </w:rPr>
        <w:t>osed of mature basins such as the San</w:t>
      </w:r>
      <w:r>
        <w:rPr>
          <w:color w:val="57585A"/>
          <w:spacing w:val="-23"/>
          <w:sz w:val="20"/>
          <w:szCs w:val="20"/>
        </w:rPr>
        <w:t xml:space="preserve"> </w:t>
      </w:r>
      <w:r>
        <w:rPr>
          <w:color w:val="57585A"/>
          <w:spacing w:val="-12"/>
          <w:sz w:val="20"/>
          <w:szCs w:val="20"/>
        </w:rPr>
        <w:t>Jorge Gulf Basin, historically the dominant oil-</w:t>
      </w:r>
    </w:p>
    <w:p w14:paraId="5CE43D99">
      <w:pPr>
        <w:pStyle w:val="4"/>
        <w:spacing w:before="57" w:line="283" w:lineRule="auto"/>
        <w:ind w:left="369" w:right="378" w:firstLine="4"/>
        <w:rPr>
          <w:sz w:val="20"/>
          <w:szCs w:val="20"/>
        </w:rPr>
      </w:pPr>
      <w:r>
        <w:rPr>
          <w:color w:val="57585A"/>
          <w:spacing w:val="-11"/>
          <w:sz w:val="20"/>
          <w:szCs w:val="20"/>
        </w:rPr>
        <w:t>producing region before unconventional shale oil production began. Notable fields include the key Cerro Dragon fi</w:t>
      </w:r>
      <w:r>
        <w:rPr>
          <w:color w:val="57585A"/>
          <w:spacing w:val="-12"/>
          <w:sz w:val="20"/>
          <w:szCs w:val="20"/>
        </w:rPr>
        <w:t>eld in Santa Cruz,</w:t>
      </w:r>
      <w:r>
        <w:rPr>
          <w:color w:val="57585A"/>
          <w:sz w:val="20"/>
          <w:szCs w:val="20"/>
        </w:rPr>
        <w:t xml:space="preserve"> </w:t>
      </w:r>
      <w:r>
        <w:rPr>
          <w:color w:val="57585A"/>
          <w:spacing w:val="-13"/>
          <w:sz w:val="20"/>
          <w:szCs w:val="20"/>
        </w:rPr>
        <w:t>operated by Pan American Energy, the Cuyana Basin in the Mendoza region, and fields in the Neuquen</w:t>
      </w:r>
      <w:r>
        <w:rPr>
          <w:color w:val="57585A"/>
          <w:spacing w:val="11"/>
          <w:sz w:val="20"/>
          <w:szCs w:val="20"/>
        </w:rPr>
        <w:t xml:space="preserve"> </w:t>
      </w:r>
      <w:r>
        <w:rPr>
          <w:color w:val="57585A"/>
          <w:spacing w:val="-13"/>
          <w:sz w:val="20"/>
          <w:szCs w:val="20"/>
        </w:rPr>
        <w:t>Basin, which feature a mix of</w:t>
      </w:r>
      <w:r>
        <w:rPr>
          <w:color w:val="57585A"/>
          <w:sz w:val="20"/>
          <w:szCs w:val="20"/>
        </w:rPr>
        <w:t xml:space="preserve"> </w:t>
      </w:r>
      <w:r>
        <w:rPr>
          <w:color w:val="57585A"/>
          <w:spacing w:val="-10"/>
          <w:sz w:val="20"/>
          <w:szCs w:val="20"/>
        </w:rPr>
        <w:t>conventional and unconventi</w:t>
      </w:r>
      <w:r>
        <w:rPr>
          <w:color w:val="57585A"/>
          <w:spacing w:val="-11"/>
          <w:sz w:val="20"/>
          <w:szCs w:val="20"/>
        </w:rPr>
        <w:t>onal fields. In addition to the Cerro Dragon field, key conventional oil fields include the El Tordillo field,</w:t>
      </w:r>
      <w:r>
        <w:rPr>
          <w:color w:val="57585A"/>
          <w:sz w:val="20"/>
          <w:szCs w:val="20"/>
        </w:rPr>
        <w:t xml:space="preserve"> </w:t>
      </w:r>
      <w:r>
        <w:rPr>
          <w:color w:val="57585A"/>
          <w:spacing w:val="-12"/>
          <w:sz w:val="20"/>
          <w:szCs w:val="20"/>
        </w:rPr>
        <w:t>operated by</w:t>
      </w:r>
      <w:r>
        <w:rPr>
          <w:color w:val="57585A"/>
          <w:spacing w:val="-16"/>
          <w:sz w:val="20"/>
          <w:szCs w:val="20"/>
        </w:rPr>
        <w:t xml:space="preserve"> </w:t>
      </w:r>
      <w:r>
        <w:rPr>
          <w:color w:val="57585A"/>
          <w:spacing w:val="-12"/>
          <w:sz w:val="20"/>
          <w:szCs w:val="20"/>
        </w:rPr>
        <w:t>YPF, and the Canadon Seco field, operated by Tecpetrol. However, most</w:t>
      </w:r>
      <w:r>
        <w:rPr>
          <w:color w:val="57585A"/>
          <w:spacing w:val="-13"/>
          <w:sz w:val="20"/>
          <w:szCs w:val="20"/>
        </w:rPr>
        <w:t xml:space="preserve"> of</w:t>
      </w:r>
      <w:r>
        <w:rPr>
          <w:color w:val="57585A"/>
          <w:spacing w:val="-21"/>
          <w:sz w:val="20"/>
          <w:szCs w:val="20"/>
        </w:rPr>
        <w:t xml:space="preserve"> </w:t>
      </w:r>
      <w:r>
        <w:rPr>
          <w:color w:val="57585A"/>
          <w:spacing w:val="-13"/>
          <w:sz w:val="20"/>
          <w:szCs w:val="20"/>
        </w:rPr>
        <w:t>these fields are mature</w:t>
      </w:r>
      <w:r>
        <w:rPr>
          <w:color w:val="57585A"/>
          <w:spacing w:val="-15"/>
          <w:sz w:val="20"/>
          <w:szCs w:val="20"/>
        </w:rPr>
        <w:t xml:space="preserve"> </w:t>
      </w:r>
      <w:r>
        <w:rPr>
          <w:color w:val="57585A"/>
          <w:spacing w:val="-13"/>
          <w:sz w:val="20"/>
          <w:szCs w:val="20"/>
        </w:rPr>
        <w:t>with declining</w:t>
      </w:r>
    </w:p>
    <w:p w14:paraId="2CBEB0D6">
      <w:pPr>
        <w:pStyle w:val="4"/>
        <w:spacing w:before="37" w:line="231" w:lineRule="auto"/>
        <w:ind w:left="373"/>
        <w:rPr>
          <w:sz w:val="20"/>
          <w:szCs w:val="20"/>
        </w:rPr>
      </w:pPr>
      <w:r>
        <w:rPr>
          <w:color w:val="57585A"/>
          <w:spacing w:val="-11"/>
          <w:sz w:val="20"/>
          <w:szCs w:val="20"/>
        </w:rPr>
        <w:t>production rates and increasingly rely on enhanced oil recovery techniques (EOR) to mitigate production declines. Initial data</w:t>
      </w:r>
    </w:p>
    <w:p w14:paraId="438D98EF">
      <w:pPr>
        <w:pStyle w:val="4"/>
        <w:spacing w:before="60" w:line="279" w:lineRule="auto"/>
        <w:ind w:left="363" w:right="510" w:firstLine="10"/>
        <w:rPr>
          <w:sz w:val="20"/>
          <w:szCs w:val="20"/>
        </w:rPr>
      </w:pPr>
      <w:r>
        <w:rPr>
          <w:color w:val="57585A"/>
          <w:spacing w:val="-9"/>
          <w:sz w:val="20"/>
          <w:szCs w:val="20"/>
        </w:rPr>
        <w:t>provided by the governme</w:t>
      </w:r>
      <w:r>
        <w:rPr>
          <w:color w:val="57585A"/>
          <w:spacing w:val="-10"/>
          <w:sz w:val="20"/>
          <w:szCs w:val="20"/>
        </w:rPr>
        <w:t>nt show that conventional oil production in</w:t>
      </w:r>
      <w:r>
        <w:rPr>
          <w:color w:val="57585A"/>
          <w:spacing w:val="-15"/>
          <w:sz w:val="20"/>
          <w:szCs w:val="20"/>
        </w:rPr>
        <w:t xml:space="preserve"> </w:t>
      </w:r>
      <w:r>
        <w:rPr>
          <w:color w:val="57585A"/>
          <w:spacing w:val="-10"/>
          <w:sz w:val="20"/>
          <w:szCs w:val="20"/>
        </w:rPr>
        <w:t>Argentina declined in 2024 compared to 2023, indicating</w:t>
      </w:r>
      <w:r>
        <w:rPr>
          <w:color w:val="57585A"/>
          <w:sz w:val="20"/>
          <w:szCs w:val="20"/>
        </w:rPr>
        <w:t xml:space="preserve">   </w:t>
      </w:r>
      <w:r>
        <w:rPr>
          <w:color w:val="57585A"/>
          <w:spacing w:val="-10"/>
          <w:sz w:val="20"/>
          <w:szCs w:val="20"/>
        </w:rPr>
        <w:t xml:space="preserve">that current EOR efforts are </w:t>
      </w:r>
      <w:r>
        <w:rPr>
          <w:color w:val="57585A"/>
          <w:spacing w:val="-11"/>
          <w:sz w:val="20"/>
          <w:szCs w:val="20"/>
        </w:rPr>
        <w:t>insufficient to reverse production declines. We expect this trend to continue over the coming quarters,</w:t>
      </w:r>
      <w:r>
        <w:rPr>
          <w:color w:val="57585A"/>
          <w:sz w:val="20"/>
          <w:szCs w:val="20"/>
        </w:rPr>
        <w:t xml:space="preserve"> </w:t>
      </w:r>
      <w:r>
        <w:rPr>
          <w:color w:val="57585A"/>
          <w:spacing w:val="-10"/>
          <w:sz w:val="20"/>
          <w:szCs w:val="20"/>
        </w:rPr>
        <w:t>as investor funds are increasingly directed towards boosting out</w:t>
      </w:r>
      <w:r>
        <w:rPr>
          <w:color w:val="57585A"/>
          <w:spacing w:val="-11"/>
          <w:sz w:val="20"/>
          <w:szCs w:val="20"/>
        </w:rPr>
        <w:t>put at unconventional assets rather than conventional fields.</w:t>
      </w:r>
    </w:p>
    <w:p w14:paraId="2EC9FB40">
      <w:pPr>
        <w:pStyle w:val="4"/>
        <w:spacing w:line="265" w:lineRule="auto"/>
      </w:pPr>
    </w:p>
    <w:p w14:paraId="6E69E69A">
      <w:pPr>
        <w:pStyle w:val="4"/>
        <w:spacing w:before="58" w:line="231" w:lineRule="auto"/>
        <w:ind w:left="360"/>
        <w:rPr>
          <w:sz w:val="20"/>
          <w:szCs w:val="20"/>
        </w:rPr>
      </w:pPr>
      <w:r>
        <w:rPr>
          <w:color w:val="57585A"/>
          <w:spacing w:val="-10"/>
          <w:sz w:val="20"/>
          <w:szCs w:val="20"/>
        </w:rPr>
        <w:t>The unconventional oil segment is largely re</w:t>
      </w:r>
      <w:r>
        <w:rPr>
          <w:color w:val="57585A"/>
          <w:spacing w:val="-11"/>
          <w:sz w:val="20"/>
          <w:szCs w:val="20"/>
        </w:rPr>
        <w:t>sponsible for recent oil production gains in</w:t>
      </w:r>
      <w:r>
        <w:rPr>
          <w:color w:val="57585A"/>
          <w:spacing w:val="-15"/>
          <w:sz w:val="20"/>
          <w:szCs w:val="20"/>
        </w:rPr>
        <w:t xml:space="preserve"> </w:t>
      </w:r>
      <w:r>
        <w:rPr>
          <w:color w:val="57585A"/>
          <w:spacing w:val="-11"/>
          <w:sz w:val="20"/>
          <w:szCs w:val="20"/>
        </w:rPr>
        <w:t>Argentina and is expected to drive</w:t>
      </w:r>
    </w:p>
    <w:p w14:paraId="3C4E5C99">
      <w:pPr>
        <w:pStyle w:val="4"/>
        <w:spacing w:before="58" w:line="273" w:lineRule="auto"/>
        <w:ind w:left="366" w:right="528" w:firstLine="6"/>
        <w:rPr>
          <w:sz w:val="20"/>
          <w:szCs w:val="20"/>
        </w:rPr>
      </w:pPr>
      <w:r>
        <w:rPr>
          <w:color w:val="57585A"/>
          <w:spacing w:val="-10"/>
          <w:sz w:val="20"/>
          <w:szCs w:val="20"/>
        </w:rPr>
        <w:t>production growth i</w:t>
      </w:r>
      <w:r>
        <w:rPr>
          <w:color w:val="57585A"/>
          <w:spacing w:val="-11"/>
          <w:sz w:val="20"/>
          <w:szCs w:val="20"/>
        </w:rPr>
        <w:t>n the coming</w:t>
      </w:r>
      <w:r>
        <w:rPr>
          <w:color w:val="57585A"/>
          <w:spacing w:val="-15"/>
          <w:sz w:val="20"/>
          <w:szCs w:val="20"/>
        </w:rPr>
        <w:t xml:space="preserve"> </w:t>
      </w:r>
      <w:r>
        <w:rPr>
          <w:color w:val="57585A"/>
          <w:spacing w:val="-11"/>
          <w:sz w:val="20"/>
          <w:szCs w:val="20"/>
        </w:rPr>
        <w:t>years. It mainly consists of</w:t>
      </w:r>
      <w:r>
        <w:rPr>
          <w:color w:val="57585A"/>
          <w:spacing w:val="-21"/>
          <w:sz w:val="20"/>
          <w:szCs w:val="20"/>
        </w:rPr>
        <w:t xml:space="preserve"> </w:t>
      </w:r>
      <w:r>
        <w:rPr>
          <w:color w:val="57585A"/>
          <w:spacing w:val="-11"/>
          <w:sz w:val="20"/>
          <w:szCs w:val="20"/>
        </w:rPr>
        <w:t>fields located in the Vaca Muerta Formation, one of</w:t>
      </w:r>
      <w:r>
        <w:rPr>
          <w:color w:val="57585A"/>
          <w:spacing w:val="-22"/>
          <w:sz w:val="20"/>
          <w:szCs w:val="20"/>
        </w:rPr>
        <w:t xml:space="preserve"> </w:t>
      </w:r>
      <w:r>
        <w:rPr>
          <w:color w:val="57585A"/>
          <w:spacing w:val="-11"/>
          <w:sz w:val="20"/>
          <w:szCs w:val="20"/>
        </w:rPr>
        <w:t>the</w:t>
      </w:r>
      <w:r>
        <w:rPr>
          <w:color w:val="57585A"/>
          <w:spacing w:val="-15"/>
          <w:sz w:val="20"/>
          <w:szCs w:val="20"/>
        </w:rPr>
        <w:t xml:space="preserve"> </w:t>
      </w:r>
      <w:r>
        <w:rPr>
          <w:color w:val="57585A"/>
          <w:spacing w:val="-11"/>
          <w:sz w:val="20"/>
          <w:szCs w:val="20"/>
        </w:rPr>
        <w:t>world’s largest</w:t>
      </w:r>
      <w:r>
        <w:rPr>
          <w:color w:val="57585A"/>
          <w:sz w:val="20"/>
          <w:szCs w:val="20"/>
        </w:rPr>
        <w:t xml:space="preserve"> </w:t>
      </w:r>
      <w:r>
        <w:rPr>
          <w:color w:val="57585A"/>
          <w:spacing w:val="-11"/>
          <w:sz w:val="20"/>
          <w:szCs w:val="20"/>
        </w:rPr>
        <w:t>shale plays,</w:t>
      </w:r>
      <w:r>
        <w:rPr>
          <w:color w:val="57585A"/>
          <w:spacing w:val="-16"/>
          <w:sz w:val="20"/>
          <w:szCs w:val="20"/>
        </w:rPr>
        <w:t xml:space="preserve"> </w:t>
      </w:r>
      <w:r>
        <w:rPr>
          <w:color w:val="57585A"/>
          <w:spacing w:val="-11"/>
          <w:sz w:val="20"/>
          <w:szCs w:val="20"/>
        </w:rPr>
        <w:t>with an estimated 16bn bbl of</w:t>
      </w:r>
      <w:r>
        <w:rPr>
          <w:color w:val="57585A"/>
          <w:spacing w:val="-21"/>
          <w:sz w:val="20"/>
          <w:szCs w:val="20"/>
        </w:rPr>
        <w:t xml:space="preserve"> </w:t>
      </w:r>
      <w:r>
        <w:rPr>
          <w:color w:val="57585A"/>
          <w:spacing w:val="-11"/>
          <w:sz w:val="20"/>
          <w:szCs w:val="20"/>
        </w:rPr>
        <w:t>technically recoverable shale oil, along</w:t>
      </w:r>
      <w:r>
        <w:rPr>
          <w:color w:val="57585A"/>
          <w:spacing w:val="-16"/>
          <w:sz w:val="20"/>
          <w:szCs w:val="20"/>
        </w:rPr>
        <w:t xml:space="preserve"> </w:t>
      </w:r>
      <w:r>
        <w:rPr>
          <w:color w:val="57585A"/>
          <w:spacing w:val="-11"/>
          <w:sz w:val="20"/>
          <w:szCs w:val="20"/>
        </w:rPr>
        <w:t>wit</w:t>
      </w:r>
      <w:r>
        <w:rPr>
          <w:color w:val="57585A"/>
          <w:spacing w:val="-12"/>
          <w:sz w:val="20"/>
          <w:szCs w:val="20"/>
        </w:rPr>
        <w:t>h significant tight and shale gas reserves.</w:t>
      </w:r>
    </w:p>
    <w:p w14:paraId="2874A429">
      <w:pPr>
        <w:pStyle w:val="4"/>
        <w:spacing w:before="37" w:line="296" w:lineRule="auto"/>
        <w:ind w:left="376" w:right="412" w:hanging="10"/>
        <w:rPr>
          <w:sz w:val="20"/>
          <w:szCs w:val="20"/>
        </w:rPr>
      </w:pPr>
      <w:r>
        <w:rPr>
          <w:color w:val="57585A"/>
          <w:spacing w:val="-12"/>
          <w:sz w:val="20"/>
          <w:szCs w:val="20"/>
        </w:rPr>
        <w:t>Situated in west-central</w:t>
      </w:r>
      <w:r>
        <w:rPr>
          <w:color w:val="57585A"/>
          <w:spacing w:val="-16"/>
          <w:sz w:val="20"/>
          <w:szCs w:val="20"/>
        </w:rPr>
        <w:t xml:space="preserve"> </w:t>
      </w:r>
      <w:r>
        <w:rPr>
          <w:color w:val="57585A"/>
          <w:spacing w:val="-12"/>
          <w:sz w:val="20"/>
          <w:szCs w:val="20"/>
        </w:rPr>
        <w:t>Argentina in the Neuque</w:t>
      </w:r>
      <w:r>
        <w:rPr>
          <w:color w:val="57585A"/>
          <w:spacing w:val="-13"/>
          <w:sz w:val="20"/>
          <w:szCs w:val="20"/>
        </w:rPr>
        <w:t>n Basin, the Vaca Muerta spans four provinces: Neuquen, Mendoza, Rio Negro, and</w:t>
      </w:r>
      <w:r>
        <w:rPr>
          <w:color w:val="57585A"/>
          <w:sz w:val="20"/>
          <w:szCs w:val="20"/>
        </w:rPr>
        <w:t xml:space="preserve"> </w:t>
      </w:r>
      <w:r>
        <w:rPr>
          <w:color w:val="57585A"/>
          <w:spacing w:val="-21"/>
          <w:sz w:val="20"/>
          <w:szCs w:val="20"/>
        </w:rPr>
        <w:t>La</w:t>
      </w:r>
      <w:r>
        <w:rPr>
          <w:color w:val="57585A"/>
          <w:spacing w:val="3"/>
          <w:sz w:val="20"/>
          <w:szCs w:val="20"/>
        </w:rPr>
        <w:t xml:space="preserve"> </w:t>
      </w:r>
      <w:r>
        <w:rPr>
          <w:color w:val="57585A"/>
          <w:spacing w:val="-21"/>
          <w:sz w:val="20"/>
          <w:szCs w:val="20"/>
        </w:rPr>
        <w:t>Pampa.</w:t>
      </w:r>
    </w:p>
    <w:p w14:paraId="072689F5">
      <w:pPr>
        <w:pStyle w:val="4"/>
        <w:spacing w:before="281" w:line="231" w:lineRule="auto"/>
        <w:ind w:left="376"/>
        <w:rPr>
          <w:sz w:val="20"/>
          <w:szCs w:val="20"/>
        </w:rPr>
      </w:pPr>
      <w:r>
        <w:rPr>
          <w:color w:val="57585A"/>
          <w:spacing w:val="-10"/>
          <w:sz w:val="20"/>
          <w:szCs w:val="20"/>
        </w:rPr>
        <w:t>Key blocks for unconventional oil output include:</w:t>
      </w:r>
    </w:p>
    <w:p w14:paraId="160E5770">
      <w:pPr>
        <w:pStyle w:val="4"/>
        <w:spacing w:line="286" w:lineRule="auto"/>
      </w:pPr>
    </w:p>
    <w:p w14:paraId="3187E0A0">
      <w:pPr>
        <w:pStyle w:val="4"/>
        <w:spacing w:before="58" w:line="234" w:lineRule="auto"/>
        <w:ind w:left="357"/>
        <w:rPr>
          <w:sz w:val="20"/>
          <w:szCs w:val="20"/>
        </w:rPr>
      </w:pPr>
      <w:r>
        <w:rPr>
          <w:color w:val="33CCFF"/>
          <w:spacing w:val="-12"/>
          <w:sz w:val="20"/>
          <w:szCs w:val="20"/>
        </w:rPr>
        <w:t xml:space="preserve">•   </w:t>
      </w:r>
      <w:r>
        <w:rPr>
          <w:color w:val="57585A"/>
          <w:spacing w:val="-12"/>
          <w:sz w:val="20"/>
          <w:szCs w:val="20"/>
        </w:rPr>
        <w:t>Loma Campana, operated by</w:t>
      </w:r>
      <w:r>
        <w:rPr>
          <w:color w:val="57585A"/>
          <w:spacing w:val="-15"/>
          <w:sz w:val="20"/>
          <w:szCs w:val="20"/>
        </w:rPr>
        <w:t xml:space="preserve"> </w:t>
      </w:r>
      <w:r>
        <w:rPr>
          <w:color w:val="57585A"/>
          <w:spacing w:val="-12"/>
          <w:sz w:val="20"/>
          <w:szCs w:val="20"/>
        </w:rPr>
        <w:t>YPF in</w:t>
      </w:r>
      <w:r>
        <w:rPr>
          <w:color w:val="57585A"/>
          <w:spacing w:val="-2"/>
          <w:sz w:val="20"/>
          <w:szCs w:val="20"/>
        </w:rPr>
        <w:t xml:space="preserve"> </w:t>
      </w:r>
      <w:r>
        <w:rPr>
          <w:color w:val="57585A"/>
          <w:spacing w:val="-12"/>
          <w:sz w:val="20"/>
          <w:szCs w:val="20"/>
        </w:rPr>
        <w:t>partnership</w:t>
      </w:r>
      <w:r>
        <w:rPr>
          <w:color w:val="57585A"/>
          <w:spacing w:val="-16"/>
          <w:sz w:val="20"/>
          <w:szCs w:val="20"/>
        </w:rPr>
        <w:t xml:space="preserve"> </w:t>
      </w:r>
      <w:r>
        <w:rPr>
          <w:color w:val="57585A"/>
          <w:spacing w:val="-12"/>
          <w:sz w:val="20"/>
          <w:szCs w:val="20"/>
        </w:rPr>
        <w:t>with Chevron,</w:t>
      </w:r>
      <w:r>
        <w:rPr>
          <w:color w:val="57585A"/>
          <w:spacing w:val="-15"/>
          <w:sz w:val="20"/>
          <w:szCs w:val="20"/>
        </w:rPr>
        <w:t xml:space="preserve"> </w:t>
      </w:r>
      <w:r>
        <w:rPr>
          <w:color w:val="57585A"/>
          <w:spacing w:val="-12"/>
          <w:sz w:val="20"/>
          <w:szCs w:val="20"/>
        </w:rPr>
        <w:t>which</w:t>
      </w:r>
      <w:r>
        <w:rPr>
          <w:color w:val="57585A"/>
          <w:spacing w:val="-4"/>
          <w:sz w:val="20"/>
          <w:szCs w:val="20"/>
        </w:rPr>
        <w:t xml:space="preserve"> </w:t>
      </w:r>
      <w:r>
        <w:rPr>
          <w:color w:val="57585A"/>
          <w:spacing w:val="-12"/>
          <w:sz w:val="20"/>
          <w:szCs w:val="20"/>
        </w:rPr>
        <w:t>is the first large-scale Vaca Muert</w:t>
      </w:r>
      <w:r>
        <w:rPr>
          <w:color w:val="57585A"/>
          <w:spacing w:val="-13"/>
          <w:sz w:val="20"/>
          <w:szCs w:val="20"/>
        </w:rPr>
        <w:t>a development.</w:t>
      </w:r>
    </w:p>
    <w:p w14:paraId="32D6B812">
      <w:pPr>
        <w:pStyle w:val="4"/>
        <w:spacing w:before="56" w:line="234" w:lineRule="auto"/>
        <w:ind w:left="357"/>
        <w:rPr>
          <w:sz w:val="20"/>
          <w:szCs w:val="20"/>
        </w:rPr>
      </w:pPr>
      <w:r>
        <w:rPr>
          <w:color w:val="33CCFF"/>
          <w:spacing w:val="-12"/>
          <w:sz w:val="20"/>
          <w:szCs w:val="20"/>
        </w:rPr>
        <w:t xml:space="preserve">•   </w:t>
      </w:r>
      <w:r>
        <w:rPr>
          <w:color w:val="57585A"/>
          <w:spacing w:val="-12"/>
          <w:sz w:val="20"/>
          <w:szCs w:val="20"/>
        </w:rPr>
        <w:t>Bandurria Sur, operated by</w:t>
      </w:r>
      <w:r>
        <w:rPr>
          <w:color w:val="57585A"/>
          <w:spacing w:val="-15"/>
          <w:sz w:val="20"/>
          <w:szCs w:val="20"/>
        </w:rPr>
        <w:t xml:space="preserve"> </w:t>
      </w:r>
      <w:r>
        <w:rPr>
          <w:color w:val="57585A"/>
          <w:spacing w:val="-12"/>
          <w:sz w:val="20"/>
          <w:szCs w:val="20"/>
        </w:rPr>
        <w:t>YPF</w:t>
      </w:r>
      <w:r>
        <w:rPr>
          <w:color w:val="57585A"/>
          <w:spacing w:val="-16"/>
          <w:sz w:val="20"/>
          <w:szCs w:val="20"/>
        </w:rPr>
        <w:t xml:space="preserve"> </w:t>
      </w:r>
      <w:r>
        <w:rPr>
          <w:color w:val="57585A"/>
          <w:spacing w:val="-12"/>
          <w:sz w:val="20"/>
          <w:szCs w:val="20"/>
        </w:rPr>
        <w:t>with partners Shell and</w:t>
      </w:r>
      <w:r>
        <w:rPr>
          <w:color w:val="57585A"/>
          <w:spacing w:val="1"/>
          <w:sz w:val="20"/>
          <w:szCs w:val="20"/>
        </w:rPr>
        <w:t xml:space="preserve"> </w:t>
      </w:r>
      <w:r>
        <w:rPr>
          <w:color w:val="57585A"/>
          <w:spacing w:val="-12"/>
          <w:sz w:val="20"/>
          <w:szCs w:val="20"/>
        </w:rPr>
        <w:t>Equinor (though</w:t>
      </w:r>
      <w:r>
        <w:rPr>
          <w:color w:val="57585A"/>
          <w:sz w:val="20"/>
          <w:szCs w:val="20"/>
        </w:rPr>
        <w:t xml:space="preserve"> </w:t>
      </w:r>
      <w:r>
        <w:rPr>
          <w:color w:val="57585A"/>
          <w:spacing w:val="-12"/>
          <w:sz w:val="20"/>
          <w:szCs w:val="20"/>
        </w:rPr>
        <w:t>Equinor is</w:t>
      </w:r>
      <w:r>
        <w:rPr>
          <w:color w:val="57585A"/>
          <w:spacing w:val="-6"/>
          <w:sz w:val="20"/>
          <w:szCs w:val="20"/>
        </w:rPr>
        <w:t xml:space="preserve"> </w:t>
      </w:r>
      <w:r>
        <w:rPr>
          <w:color w:val="57585A"/>
          <w:spacing w:val="-12"/>
          <w:sz w:val="20"/>
          <w:szCs w:val="20"/>
        </w:rPr>
        <w:t>exiting as</w:t>
      </w:r>
      <w:r>
        <w:rPr>
          <w:color w:val="57585A"/>
          <w:spacing w:val="-6"/>
          <w:sz w:val="20"/>
          <w:szCs w:val="20"/>
        </w:rPr>
        <w:t xml:space="preserve"> </w:t>
      </w:r>
      <w:r>
        <w:rPr>
          <w:color w:val="57585A"/>
          <w:spacing w:val="-12"/>
          <w:sz w:val="20"/>
          <w:szCs w:val="20"/>
        </w:rPr>
        <w:t>of</w:t>
      </w:r>
      <w:r>
        <w:rPr>
          <w:color w:val="57585A"/>
          <w:spacing w:val="-13"/>
          <w:sz w:val="20"/>
          <w:szCs w:val="20"/>
        </w:rPr>
        <w:t xml:space="preserve"> 2025).</w:t>
      </w:r>
    </w:p>
    <w:p w14:paraId="044F95B4">
      <w:pPr>
        <w:pStyle w:val="4"/>
        <w:spacing w:before="56" w:line="234" w:lineRule="auto"/>
        <w:ind w:left="357"/>
        <w:rPr>
          <w:sz w:val="20"/>
          <w:szCs w:val="20"/>
        </w:rPr>
      </w:pPr>
      <w:r>
        <w:rPr>
          <w:color w:val="33CCFF"/>
          <w:spacing w:val="-12"/>
          <w:sz w:val="20"/>
          <w:szCs w:val="20"/>
        </w:rPr>
        <w:t xml:space="preserve">•   </w:t>
      </w:r>
      <w:r>
        <w:rPr>
          <w:color w:val="57585A"/>
          <w:spacing w:val="-12"/>
          <w:sz w:val="20"/>
          <w:szCs w:val="20"/>
        </w:rPr>
        <w:t>La Amarga Chica, operated by YPF with partner Vista Energy (Petronas sold its share in the bl</w:t>
      </w:r>
      <w:r>
        <w:rPr>
          <w:color w:val="57585A"/>
          <w:spacing w:val="-13"/>
          <w:sz w:val="20"/>
          <w:szCs w:val="20"/>
        </w:rPr>
        <w:t>ock to Vista Energy in 2025).</w:t>
      </w:r>
    </w:p>
    <w:p w14:paraId="3CB377BE">
      <w:pPr>
        <w:pStyle w:val="4"/>
        <w:spacing w:before="56" w:line="234" w:lineRule="auto"/>
        <w:ind w:left="357"/>
        <w:rPr>
          <w:sz w:val="20"/>
          <w:szCs w:val="20"/>
        </w:rPr>
      </w:pPr>
      <w:r>
        <w:rPr>
          <w:color w:val="33CCFF"/>
          <w:spacing w:val="-14"/>
          <w:sz w:val="20"/>
          <w:szCs w:val="20"/>
        </w:rPr>
        <w:t xml:space="preserve">•   </w:t>
      </w:r>
      <w:r>
        <w:rPr>
          <w:color w:val="57585A"/>
          <w:spacing w:val="-14"/>
          <w:sz w:val="20"/>
          <w:szCs w:val="20"/>
        </w:rPr>
        <w:t>Bajada del</w:t>
      </w:r>
      <w:r>
        <w:rPr>
          <w:color w:val="57585A"/>
          <w:spacing w:val="3"/>
          <w:sz w:val="20"/>
          <w:szCs w:val="20"/>
        </w:rPr>
        <w:t xml:space="preserve"> </w:t>
      </w:r>
      <w:r>
        <w:rPr>
          <w:color w:val="57585A"/>
          <w:spacing w:val="-14"/>
          <w:sz w:val="20"/>
          <w:szCs w:val="20"/>
        </w:rPr>
        <w:t>Palo</w:t>
      </w:r>
      <w:r>
        <w:rPr>
          <w:color w:val="57585A"/>
          <w:spacing w:val="-6"/>
          <w:sz w:val="20"/>
          <w:szCs w:val="20"/>
        </w:rPr>
        <w:t xml:space="preserve"> </w:t>
      </w:r>
      <w:r>
        <w:rPr>
          <w:color w:val="57585A"/>
          <w:spacing w:val="-14"/>
          <w:sz w:val="20"/>
          <w:szCs w:val="20"/>
        </w:rPr>
        <w:t>Oeste,</w:t>
      </w:r>
      <w:r>
        <w:rPr>
          <w:color w:val="57585A"/>
          <w:spacing w:val="-6"/>
          <w:sz w:val="20"/>
          <w:szCs w:val="20"/>
        </w:rPr>
        <w:t xml:space="preserve"> </w:t>
      </w:r>
      <w:r>
        <w:rPr>
          <w:color w:val="57585A"/>
          <w:spacing w:val="-14"/>
          <w:sz w:val="20"/>
          <w:szCs w:val="20"/>
        </w:rPr>
        <w:t>operated</w:t>
      </w:r>
      <w:r>
        <w:rPr>
          <w:color w:val="57585A"/>
          <w:spacing w:val="-2"/>
          <w:sz w:val="20"/>
          <w:szCs w:val="20"/>
        </w:rPr>
        <w:t xml:space="preserve"> </w:t>
      </w:r>
      <w:r>
        <w:rPr>
          <w:color w:val="57585A"/>
          <w:spacing w:val="-14"/>
          <w:sz w:val="20"/>
          <w:szCs w:val="20"/>
        </w:rPr>
        <w:t>by Vista</w:t>
      </w:r>
      <w:r>
        <w:rPr>
          <w:color w:val="57585A"/>
          <w:spacing w:val="1"/>
          <w:sz w:val="20"/>
          <w:szCs w:val="20"/>
        </w:rPr>
        <w:t xml:space="preserve"> </w:t>
      </w:r>
      <w:r>
        <w:rPr>
          <w:color w:val="57585A"/>
          <w:spacing w:val="-14"/>
          <w:sz w:val="20"/>
          <w:szCs w:val="20"/>
        </w:rPr>
        <w:t>Energy.</w:t>
      </w:r>
    </w:p>
    <w:p w14:paraId="66C5551F">
      <w:pPr>
        <w:pStyle w:val="4"/>
        <w:spacing w:before="55" w:line="262" w:lineRule="auto"/>
        <w:ind w:left="618" w:right="730" w:hanging="261"/>
        <w:rPr>
          <w:sz w:val="20"/>
          <w:szCs w:val="20"/>
        </w:rPr>
      </w:pPr>
      <w:r>
        <w:rPr>
          <w:color w:val="33CCFF"/>
          <w:spacing w:val="-12"/>
          <w:sz w:val="20"/>
          <w:szCs w:val="20"/>
        </w:rPr>
        <w:t xml:space="preserve">•   </w:t>
      </w:r>
      <w:r>
        <w:rPr>
          <w:color w:val="57585A"/>
          <w:spacing w:val="-12"/>
          <w:sz w:val="20"/>
          <w:szCs w:val="20"/>
        </w:rPr>
        <w:t>Aguada Pichana Este/Oeste, operated by T</w:t>
      </w:r>
      <w:r>
        <w:rPr>
          <w:color w:val="57585A"/>
          <w:spacing w:val="-13"/>
          <w:sz w:val="20"/>
          <w:szCs w:val="20"/>
        </w:rPr>
        <w:t>otalEnergies with partners YPF, Wintershall, and PAA (although this block primarily</w:t>
      </w:r>
      <w:r>
        <w:rPr>
          <w:color w:val="57585A"/>
          <w:sz w:val="20"/>
          <w:szCs w:val="20"/>
        </w:rPr>
        <w:t xml:space="preserve"> </w:t>
      </w:r>
      <w:r>
        <w:rPr>
          <w:color w:val="57585A"/>
          <w:spacing w:val="-13"/>
          <w:sz w:val="20"/>
          <w:szCs w:val="20"/>
        </w:rPr>
        <w:t>produces gas and condensates).</w:t>
      </w:r>
    </w:p>
    <w:p w14:paraId="1D1ABE28">
      <w:pPr>
        <w:pStyle w:val="4"/>
        <w:spacing w:line="287" w:lineRule="auto"/>
      </w:pPr>
    </w:p>
    <w:p w14:paraId="26A17BDF">
      <w:pPr>
        <w:pStyle w:val="4"/>
        <w:spacing w:before="58" w:line="231" w:lineRule="auto"/>
        <w:ind w:left="361"/>
        <w:rPr>
          <w:sz w:val="20"/>
          <w:szCs w:val="20"/>
        </w:rPr>
      </w:pPr>
      <w:r>
        <w:rPr>
          <w:color w:val="57585A"/>
          <w:spacing w:val="-10"/>
          <w:sz w:val="20"/>
          <w:szCs w:val="20"/>
        </w:rPr>
        <w:t>We forecast unconventional oil output to continue increasing and lead overall oil production growt</w:t>
      </w:r>
      <w:r>
        <w:rPr>
          <w:color w:val="57585A"/>
          <w:spacing w:val="-11"/>
          <w:sz w:val="20"/>
          <w:szCs w:val="20"/>
        </w:rPr>
        <w:t>h in</w:t>
      </w:r>
      <w:r>
        <w:rPr>
          <w:color w:val="57585A"/>
          <w:spacing w:val="-16"/>
          <w:sz w:val="20"/>
          <w:szCs w:val="20"/>
        </w:rPr>
        <w:t xml:space="preserve"> </w:t>
      </w:r>
      <w:r>
        <w:rPr>
          <w:color w:val="57585A"/>
          <w:spacing w:val="-11"/>
          <w:sz w:val="20"/>
          <w:szCs w:val="20"/>
        </w:rPr>
        <w:t>Argentina.</w:t>
      </w:r>
      <w:r>
        <w:rPr>
          <w:color w:val="57585A"/>
          <w:spacing w:val="-15"/>
          <w:sz w:val="20"/>
          <w:szCs w:val="20"/>
        </w:rPr>
        <w:t xml:space="preserve"> </w:t>
      </w:r>
      <w:r>
        <w:rPr>
          <w:color w:val="57585A"/>
          <w:spacing w:val="-11"/>
          <w:sz w:val="20"/>
          <w:szCs w:val="20"/>
        </w:rPr>
        <w:t>The main</w:t>
      </w:r>
    </w:p>
    <w:p w14:paraId="3394BDF5">
      <w:pPr>
        <w:pStyle w:val="4"/>
        <w:spacing w:before="59" w:line="273" w:lineRule="auto"/>
        <w:ind w:left="372" w:right="428" w:hanging="1"/>
        <w:rPr>
          <w:sz w:val="20"/>
          <w:szCs w:val="20"/>
        </w:rPr>
      </w:pPr>
      <w:r>
        <w:rPr>
          <w:color w:val="57585A"/>
          <w:spacing w:val="-10"/>
          <w:sz w:val="20"/>
          <w:szCs w:val="20"/>
        </w:rPr>
        <w:t>impediment to quicker sector development remains pipeline infrastructure bottlenecks that hinder exports. Delays in infrastru</w:t>
      </w:r>
      <w:r>
        <w:rPr>
          <w:color w:val="57585A"/>
          <w:spacing w:val="-11"/>
          <w:sz w:val="20"/>
          <w:szCs w:val="20"/>
        </w:rPr>
        <w:t>cture</w:t>
      </w:r>
      <w:r>
        <w:rPr>
          <w:color w:val="57585A"/>
          <w:sz w:val="20"/>
          <w:szCs w:val="20"/>
        </w:rPr>
        <w:t xml:space="preserve"> </w:t>
      </w:r>
      <w:r>
        <w:rPr>
          <w:color w:val="57585A"/>
          <w:spacing w:val="-10"/>
          <w:sz w:val="20"/>
          <w:szCs w:val="20"/>
        </w:rPr>
        <w:t>projects pose the largest risk to production growth, as midstream i</w:t>
      </w:r>
      <w:r>
        <w:rPr>
          <w:color w:val="57585A"/>
          <w:spacing w:val="-11"/>
          <w:sz w:val="20"/>
          <w:szCs w:val="20"/>
        </w:rPr>
        <w:t>nvestment must develop at sufficient speed to support</w:t>
      </w:r>
    </w:p>
    <w:p w14:paraId="4EFEB4CD">
      <w:pPr>
        <w:pStyle w:val="4"/>
        <w:spacing w:before="36" w:line="273" w:lineRule="auto"/>
        <w:ind w:left="372" w:right="534"/>
        <w:rPr>
          <w:sz w:val="20"/>
          <w:szCs w:val="20"/>
        </w:rPr>
      </w:pPr>
      <w:r>
        <w:rPr>
          <w:color w:val="57585A"/>
          <w:spacing w:val="-11"/>
          <w:sz w:val="20"/>
          <w:szCs w:val="20"/>
        </w:rPr>
        <w:t>unconventional oil production growth. However, this is being addressed</w:t>
      </w:r>
      <w:r>
        <w:rPr>
          <w:color w:val="57585A"/>
          <w:spacing w:val="-16"/>
          <w:sz w:val="20"/>
          <w:szCs w:val="20"/>
        </w:rPr>
        <w:t xml:space="preserve"> </w:t>
      </w:r>
      <w:r>
        <w:rPr>
          <w:color w:val="57585A"/>
          <w:spacing w:val="-11"/>
          <w:sz w:val="20"/>
          <w:szCs w:val="20"/>
        </w:rPr>
        <w:t>with key expansions and project materialising (</w:t>
      </w:r>
      <w:r>
        <w:rPr>
          <w:color w:val="57585A"/>
          <w:spacing w:val="-12"/>
          <w:sz w:val="20"/>
          <w:szCs w:val="20"/>
        </w:rPr>
        <w:t>see further</w:t>
      </w:r>
      <w:r>
        <w:rPr>
          <w:color w:val="57585A"/>
          <w:sz w:val="20"/>
          <w:szCs w:val="20"/>
        </w:rPr>
        <w:t xml:space="preserve"> </w:t>
      </w:r>
      <w:r>
        <w:rPr>
          <w:color w:val="57585A"/>
          <w:spacing w:val="-10"/>
          <w:sz w:val="20"/>
          <w:szCs w:val="20"/>
        </w:rPr>
        <w:t>below) and allowing significant production gains</w:t>
      </w:r>
      <w:r>
        <w:rPr>
          <w:color w:val="57585A"/>
          <w:spacing w:val="-11"/>
          <w:sz w:val="20"/>
          <w:szCs w:val="20"/>
        </w:rPr>
        <w:t xml:space="preserve"> int he past months.</w:t>
      </w:r>
    </w:p>
    <w:p w14:paraId="2574F001">
      <w:pPr>
        <w:pStyle w:val="4"/>
        <w:spacing w:line="265" w:lineRule="auto"/>
      </w:pPr>
    </w:p>
    <w:p w14:paraId="7C019B44">
      <w:pPr>
        <w:pStyle w:val="4"/>
        <w:spacing w:before="59" w:line="231" w:lineRule="auto"/>
        <w:ind w:left="369"/>
        <w:rPr>
          <w:sz w:val="20"/>
          <w:szCs w:val="20"/>
        </w:rPr>
      </w:pPr>
      <w:r>
        <w:rPr>
          <w:color w:val="57585A"/>
          <w:spacing w:val="-11"/>
          <w:sz w:val="20"/>
          <w:szCs w:val="20"/>
        </w:rPr>
        <w:t>Other key risks include economic</w:t>
      </w:r>
      <w:r>
        <w:rPr>
          <w:color w:val="57585A"/>
          <w:spacing w:val="-16"/>
          <w:sz w:val="20"/>
          <w:szCs w:val="20"/>
        </w:rPr>
        <w:t xml:space="preserve"> </w:t>
      </w:r>
      <w:r>
        <w:rPr>
          <w:color w:val="57585A"/>
          <w:spacing w:val="-11"/>
          <w:sz w:val="20"/>
          <w:szCs w:val="20"/>
        </w:rPr>
        <w:t>volatility and curr</w:t>
      </w:r>
      <w:r>
        <w:rPr>
          <w:color w:val="57585A"/>
          <w:spacing w:val="-12"/>
          <w:sz w:val="20"/>
          <w:szCs w:val="20"/>
        </w:rPr>
        <w:t>ency controls, though these have eased as of 2025. President</w:t>
      </w:r>
      <w:r>
        <w:rPr>
          <w:color w:val="57585A"/>
          <w:spacing w:val="-23"/>
          <w:sz w:val="20"/>
          <w:szCs w:val="20"/>
        </w:rPr>
        <w:t xml:space="preserve"> </w:t>
      </w:r>
      <w:r>
        <w:rPr>
          <w:color w:val="57585A"/>
          <w:spacing w:val="-12"/>
          <w:sz w:val="20"/>
          <w:szCs w:val="20"/>
        </w:rPr>
        <w:t>Javier Milei</w:t>
      </w:r>
    </w:p>
    <w:p w14:paraId="3475A954">
      <w:pPr>
        <w:pStyle w:val="4"/>
        <w:spacing w:before="59" w:line="279" w:lineRule="auto"/>
        <w:ind w:left="371" w:right="498" w:firstLine="2"/>
        <w:rPr>
          <w:sz w:val="20"/>
          <w:szCs w:val="20"/>
        </w:rPr>
      </w:pPr>
      <w:r>
        <w:rPr>
          <w:color w:val="57585A"/>
          <w:spacing w:val="-11"/>
          <w:sz w:val="20"/>
          <w:szCs w:val="20"/>
        </w:rPr>
        <w:t>removed most currency controls in April 2025, and the IMF disbursed the first installment of</w:t>
      </w:r>
      <w:r>
        <w:rPr>
          <w:color w:val="57585A"/>
          <w:spacing w:val="-24"/>
          <w:sz w:val="20"/>
          <w:szCs w:val="20"/>
        </w:rPr>
        <w:t xml:space="preserve"> </w:t>
      </w:r>
      <w:r>
        <w:rPr>
          <w:color w:val="57585A"/>
          <w:spacing w:val="-11"/>
          <w:sz w:val="20"/>
          <w:szCs w:val="20"/>
        </w:rPr>
        <w:t>Argentina’s new USD20 billion bailout.</w:t>
      </w:r>
      <w:r>
        <w:rPr>
          <w:color w:val="57585A"/>
          <w:sz w:val="20"/>
          <w:szCs w:val="20"/>
        </w:rPr>
        <w:t xml:space="preserve"> </w:t>
      </w:r>
      <w:r>
        <w:rPr>
          <w:color w:val="57585A"/>
          <w:spacing w:val="-11"/>
          <w:sz w:val="20"/>
          <w:szCs w:val="20"/>
        </w:rPr>
        <w:t>However, most capital controls on companies remain in place, and</w:t>
      </w:r>
      <w:r>
        <w:rPr>
          <w:color w:val="57585A"/>
          <w:spacing w:val="-16"/>
          <w:sz w:val="20"/>
          <w:szCs w:val="20"/>
        </w:rPr>
        <w:t xml:space="preserve"> </w:t>
      </w:r>
      <w:r>
        <w:rPr>
          <w:color w:val="57585A"/>
          <w:spacing w:val="-11"/>
          <w:sz w:val="20"/>
          <w:szCs w:val="20"/>
        </w:rPr>
        <w:t>while foreign companies</w:t>
      </w:r>
      <w:r>
        <w:rPr>
          <w:color w:val="57585A"/>
          <w:spacing w:val="-16"/>
          <w:sz w:val="20"/>
          <w:szCs w:val="20"/>
        </w:rPr>
        <w:t xml:space="preserve"> </w:t>
      </w:r>
      <w:r>
        <w:rPr>
          <w:color w:val="57585A"/>
          <w:spacing w:val="-11"/>
          <w:sz w:val="20"/>
          <w:szCs w:val="20"/>
        </w:rPr>
        <w:t>will be able to repatriate profit</w:t>
      </w:r>
      <w:r>
        <w:rPr>
          <w:color w:val="57585A"/>
          <w:spacing w:val="-12"/>
          <w:sz w:val="20"/>
          <w:szCs w:val="20"/>
        </w:rPr>
        <w:t>s from</w:t>
      </w:r>
      <w:r>
        <w:rPr>
          <w:color w:val="57585A"/>
          <w:sz w:val="20"/>
          <w:szCs w:val="20"/>
        </w:rPr>
        <w:t xml:space="preserve">  </w:t>
      </w:r>
      <w:r>
        <w:rPr>
          <w:color w:val="57585A"/>
          <w:spacing w:val="-11"/>
          <w:sz w:val="20"/>
          <w:szCs w:val="20"/>
        </w:rPr>
        <w:t>2025 onward, this</w:t>
      </w:r>
      <w:r>
        <w:rPr>
          <w:color w:val="57585A"/>
          <w:spacing w:val="-16"/>
          <w:sz w:val="20"/>
          <w:szCs w:val="20"/>
        </w:rPr>
        <w:t xml:space="preserve"> </w:t>
      </w:r>
      <w:r>
        <w:rPr>
          <w:color w:val="57585A"/>
          <w:spacing w:val="-11"/>
          <w:sz w:val="20"/>
          <w:szCs w:val="20"/>
        </w:rPr>
        <w:t>will not apply to earnings</w:t>
      </w:r>
      <w:r>
        <w:rPr>
          <w:color w:val="57585A"/>
          <w:spacing w:val="-13"/>
          <w:sz w:val="20"/>
          <w:szCs w:val="20"/>
        </w:rPr>
        <w:t xml:space="preserve"> </w:t>
      </w:r>
      <w:r>
        <w:rPr>
          <w:color w:val="57585A"/>
          <w:spacing w:val="-11"/>
          <w:sz w:val="20"/>
          <w:szCs w:val="20"/>
        </w:rPr>
        <w:t>from previous</w:t>
      </w:r>
      <w:r>
        <w:rPr>
          <w:color w:val="57585A"/>
          <w:spacing w:val="-16"/>
          <w:sz w:val="20"/>
          <w:szCs w:val="20"/>
        </w:rPr>
        <w:t xml:space="preserve"> </w:t>
      </w:r>
      <w:r>
        <w:rPr>
          <w:color w:val="57585A"/>
          <w:spacing w:val="-11"/>
          <w:sz w:val="20"/>
          <w:szCs w:val="20"/>
        </w:rPr>
        <w:t>years.</w:t>
      </w:r>
    </w:p>
    <w:p w14:paraId="672CFA26">
      <w:pPr>
        <w:pStyle w:val="4"/>
        <w:spacing w:line="266" w:lineRule="auto"/>
      </w:pPr>
    </w:p>
    <w:p w14:paraId="23AFEFDD">
      <w:pPr>
        <w:pStyle w:val="4"/>
        <w:spacing w:before="59" w:line="279" w:lineRule="auto"/>
        <w:ind w:left="363" w:right="387" w:hanging="2"/>
        <w:rPr>
          <w:sz w:val="20"/>
          <w:szCs w:val="20"/>
        </w:rPr>
      </w:pPr>
      <w:r>
        <w:rPr>
          <w:color w:val="57585A"/>
          <w:spacing w:val="-11"/>
          <w:sz w:val="20"/>
          <w:szCs w:val="20"/>
        </w:rPr>
        <w:t>We do note however that the recently approved RIGI is a</w:t>
      </w:r>
      <w:r>
        <w:rPr>
          <w:color w:val="57585A"/>
          <w:spacing w:val="-12"/>
          <w:sz w:val="20"/>
          <w:szCs w:val="20"/>
        </w:rPr>
        <w:t xml:space="preserve"> positive for the industry, and should increase stability and attractiveness for</w:t>
      </w:r>
      <w:r>
        <w:rPr>
          <w:color w:val="57585A"/>
          <w:sz w:val="20"/>
          <w:szCs w:val="20"/>
        </w:rPr>
        <w:t xml:space="preserve"> </w:t>
      </w:r>
      <w:r>
        <w:rPr>
          <w:color w:val="57585A"/>
          <w:spacing w:val="-11"/>
          <w:sz w:val="20"/>
          <w:szCs w:val="20"/>
        </w:rPr>
        <w:t>long-term large investments in the oil and gas sector. It</w:t>
      </w:r>
      <w:r>
        <w:rPr>
          <w:color w:val="57585A"/>
          <w:spacing w:val="-15"/>
          <w:sz w:val="20"/>
          <w:szCs w:val="20"/>
        </w:rPr>
        <w:t xml:space="preserve"> </w:t>
      </w:r>
      <w:r>
        <w:rPr>
          <w:color w:val="57585A"/>
          <w:spacing w:val="-11"/>
          <w:sz w:val="20"/>
          <w:szCs w:val="20"/>
        </w:rPr>
        <w:t>will offer 30</w:t>
      </w:r>
      <w:r>
        <w:rPr>
          <w:color w:val="57585A"/>
          <w:spacing w:val="-16"/>
          <w:sz w:val="20"/>
          <w:szCs w:val="20"/>
        </w:rPr>
        <w:t xml:space="preserve"> </w:t>
      </w:r>
      <w:r>
        <w:rPr>
          <w:color w:val="57585A"/>
          <w:spacing w:val="-11"/>
          <w:sz w:val="20"/>
          <w:szCs w:val="20"/>
        </w:rPr>
        <w:t>years of</w:t>
      </w:r>
      <w:r>
        <w:rPr>
          <w:color w:val="57585A"/>
          <w:spacing w:val="-21"/>
          <w:sz w:val="20"/>
          <w:szCs w:val="20"/>
        </w:rPr>
        <w:t xml:space="preserve"> </w:t>
      </w:r>
      <w:r>
        <w:rPr>
          <w:color w:val="57585A"/>
          <w:spacing w:val="-11"/>
          <w:sz w:val="20"/>
          <w:szCs w:val="20"/>
        </w:rPr>
        <w:t>fiscal stability, fis</w:t>
      </w:r>
      <w:r>
        <w:rPr>
          <w:color w:val="57585A"/>
          <w:spacing w:val="-12"/>
          <w:sz w:val="20"/>
          <w:szCs w:val="20"/>
        </w:rPr>
        <w:t>cal, customs and exchange incentives</w:t>
      </w:r>
      <w:r>
        <w:rPr>
          <w:color w:val="57585A"/>
          <w:sz w:val="20"/>
          <w:szCs w:val="20"/>
        </w:rPr>
        <w:t xml:space="preserve">  </w:t>
      </w:r>
      <w:r>
        <w:rPr>
          <w:color w:val="57585A"/>
          <w:spacing w:val="-11"/>
          <w:sz w:val="20"/>
          <w:szCs w:val="20"/>
        </w:rPr>
        <w:t>for large investments of over USD200mn in several sectors, of</w:t>
      </w:r>
      <w:r>
        <w:rPr>
          <w:color w:val="57585A"/>
          <w:spacing w:val="-24"/>
          <w:sz w:val="20"/>
          <w:szCs w:val="20"/>
        </w:rPr>
        <w:t xml:space="preserve"> </w:t>
      </w:r>
      <w:r>
        <w:rPr>
          <w:color w:val="57585A"/>
          <w:spacing w:val="-11"/>
          <w:sz w:val="20"/>
          <w:szCs w:val="20"/>
        </w:rPr>
        <w:t>which oil and gas. This could si</w:t>
      </w:r>
      <w:r>
        <w:rPr>
          <w:color w:val="57585A"/>
          <w:spacing w:val="-12"/>
          <w:sz w:val="20"/>
          <w:szCs w:val="20"/>
        </w:rPr>
        <w:t>gnificantly improve the stability and</w:t>
      </w:r>
    </w:p>
    <w:p w14:paraId="5D3EC03E">
      <w:pPr>
        <w:pStyle w:val="4"/>
        <w:spacing w:before="37" w:line="231" w:lineRule="auto"/>
        <w:ind w:left="367"/>
        <w:rPr>
          <w:sz w:val="20"/>
          <w:szCs w:val="20"/>
        </w:rPr>
      </w:pPr>
      <w:r>
        <w:rPr>
          <w:color w:val="57585A"/>
          <w:spacing w:val="-11"/>
          <w:sz w:val="20"/>
          <w:szCs w:val="20"/>
        </w:rPr>
        <w:t>attractiveness of investments in the</w:t>
      </w:r>
      <w:r>
        <w:rPr>
          <w:color w:val="57585A"/>
          <w:spacing w:val="-9"/>
          <w:sz w:val="20"/>
          <w:szCs w:val="20"/>
        </w:rPr>
        <w:t xml:space="preserve"> </w:t>
      </w:r>
      <w:r>
        <w:rPr>
          <w:color w:val="57585A"/>
          <w:spacing w:val="-11"/>
          <w:sz w:val="20"/>
          <w:szCs w:val="20"/>
        </w:rPr>
        <w:t>Argentinian oil and gas sector, and creates significant long-term upside risks to oil and gas</w:t>
      </w:r>
    </w:p>
    <w:p w14:paraId="49C357B3">
      <w:pPr>
        <w:spacing w:line="231" w:lineRule="auto"/>
        <w:rPr>
          <w:sz w:val="20"/>
          <w:szCs w:val="20"/>
        </w:rPr>
        <w:sectPr>
          <w:footerReference r:id="rId18" w:type="default"/>
          <w:pgSz w:w="11906" w:h="16838"/>
          <w:pgMar w:top="400" w:right="490" w:bottom="883" w:left="490" w:header="0" w:footer="0" w:gutter="0"/>
          <w:cols w:space="720" w:num="1"/>
        </w:sectPr>
      </w:pPr>
    </w:p>
    <w:p w14:paraId="3577A3F9">
      <w:pPr>
        <w:pStyle w:val="4"/>
        <w:spacing w:before="73" w:line="241" w:lineRule="auto"/>
        <w:ind w:left="7372"/>
        <w:rPr>
          <w:sz w:val="20"/>
          <w:szCs w:val="20"/>
        </w:rPr>
      </w:pPr>
      <w:r>
        <w:drawing>
          <wp:anchor distT="0" distB="0" distL="0" distR="0" simplePos="0" relativeHeight="25171456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15584" behindDoc="0" locked="0" layoutInCell="0" allowOverlap="1">
            <wp:simplePos x="0" y="0"/>
            <wp:positionH relativeFrom="page">
              <wp:posOffset>311150</wp:posOffset>
            </wp:positionH>
            <wp:positionV relativeFrom="page">
              <wp:posOffset>0</wp:posOffset>
            </wp:positionV>
            <wp:extent cx="19050" cy="814070"/>
            <wp:effectExtent l="0" t="0" r="0" b="0"/>
            <wp:wrapNone/>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E209999">
      <w:pPr>
        <w:pStyle w:val="4"/>
        <w:spacing w:line="278" w:lineRule="auto"/>
      </w:pPr>
    </w:p>
    <w:p w14:paraId="63F47B1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6D2EFC6">
      <w:pPr>
        <w:pStyle w:val="4"/>
        <w:spacing w:line="470" w:lineRule="auto"/>
      </w:pPr>
    </w:p>
    <w:p w14:paraId="46D06E54">
      <w:pPr>
        <w:pStyle w:val="4"/>
        <w:spacing w:before="57" w:line="234" w:lineRule="auto"/>
        <w:ind w:left="373"/>
        <w:rPr>
          <w:sz w:val="20"/>
          <w:szCs w:val="20"/>
        </w:rPr>
      </w:pPr>
      <w:r>
        <w:rPr>
          <w:color w:val="57585A"/>
          <w:spacing w:val="-8"/>
          <w:sz w:val="20"/>
          <w:szCs w:val="20"/>
        </w:rPr>
        <w:t>production.</w:t>
      </w:r>
    </w:p>
    <w:p w14:paraId="57028F39">
      <w:pPr>
        <w:pStyle w:val="4"/>
        <w:spacing w:line="304" w:lineRule="auto"/>
      </w:pPr>
    </w:p>
    <w:p w14:paraId="50382DA7">
      <w:pPr>
        <w:pStyle w:val="4"/>
        <w:spacing w:line="305" w:lineRule="auto"/>
      </w:pPr>
    </w:p>
    <w:p w14:paraId="0330BC4C">
      <w:pPr>
        <w:pStyle w:val="4"/>
        <w:spacing w:before="69" w:line="234" w:lineRule="auto"/>
        <w:ind w:left="1881"/>
        <w:outlineLvl w:val="1"/>
        <w:rPr>
          <w:sz w:val="24"/>
          <w:szCs w:val="24"/>
        </w:rPr>
      </w:pPr>
      <w:r>
        <w:rPr>
          <w:color w:val="174174"/>
          <w:spacing w:val="-9"/>
          <w:sz w:val="24"/>
          <w:szCs w:val="24"/>
        </w:rPr>
        <w:t>Strong Shale Output Growth Overtaking Conventional Production In 2024</w:t>
      </w:r>
    </w:p>
    <w:p w14:paraId="474DF78B">
      <w:pPr>
        <w:pStyle w:val="4"/>
        <w:spacing w:before="33" w:line="231" w:lineRule="auto"/>
        <w:ind w:left="3180"/>
        <w:outlineLvl w:val="1"/>
        <w:rPr>
          <w:sz w:val="20"/>
          <w:szCs w:val="20"/>
        </w:rPr>
      </w:pPr>
      <w:r>
        <w:rPr>
          <w:color w:val="333333"/>
          <w:spacing w:val="-13"/>
          <w:sz w:val="20"/>
          <w:szCs w:val="20"/>
        </w:rPr>
        <w:t>Argentina - Oil Production By Type Of Reserve (2018-2024)</w:t>
      </w:r>
    </w:p>
    <w:p w14:paraId="69C72718">
      <w:pPr>
        <w:spacing w:before="96" w:line="4500" w:lineRule="exact"/>
        <w:ind w:firstLine="1862"/>
      </w:pPr>
      <w:r>
        <w:rPr>
          <w:position w:val="-89"/>
        </w:rPr>
        <w:drawing>
          <wp:inline distT="0" distB="0" distL="0" distR="0">
            <wp:extent cx="4572000" cy="285686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15"/>
                    <a:stretch>
                      <a:fillRect/>
                    </a:stretch>
                  </pic:blipFill>
                  <pic:spPr>
                    <a:xfrm>
                      <a:off x="0" y="0"/>
                      <a:ext cx="4572000" cy="2857499"/>
                    </a:xfrm>
                    <a:prstGeom prst="rect">
                      <a:avLst/>
                    </a:prstGeom>
                  </pic:spPr>
                </pic:pic>
              </a:graphicData>
            </a:graphic>
          </wp:inline>
        </w:drawing>
      </w:r>
    </w:p>
    <w:p w14:paraId="6DCA4A6A">
      <w:pPr>
        <w:pStyle w:val="4"/>
        <w:spacing w:before="149" w:line="233" w:lineRule="auto"/>
        <w:ind w:left="1871"/>
        <w:rPr>
          <w:sz w:val="15"/>
          <w:szCs w:val="15"/>
        </w:rPr>
      </w:pPr>
      <w:r>
        <w:drawing>
          <wp:anchor distT="0" distB="0" distL="0" distR="0" simplePos="0" relativeHeight="25171353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6"/>
          <w:w w:val="92"/>
          <w:sz w:val="15"/>
          <w:szCs w:val="15"/>
        </w:rPr>
        <w:t>Source: Datos</w:t>
      </w:r>
      <w:r>
        <w:rPr>
          <w:i/>
          <w:iCs/>
          <w:color w:val="333333"/>
          <w:spacing w:val="-6"/>
          <w:sz w:val="15"/>
          <w:szCs w:val="15"/>
        </w:rPr>
        <w:t xml:space="preserve"> </w:t>
      </w:r>
      <w:r>
        <w:rPr>
          <w:i/>
          <w:iCs/>
          <w:color w:val="333333"/>
          <w:spacing w:val="-6"/>
          <w:w w:val="92"/>
          <w:sz w:val="15"/>
          <w:szCs w:val="15"/>
        </w:rPr>
        <w:t>Energia, BMI</w:t>
      </w:r>
    </w:p>
    <w:p w14:paraId="7BA0877A">
      <w:pPr>
        <w:pStyle w:val="4"/>
        <w:spacing w:line="364" w:lineRule="auto"/>
      </w:pPr>
    </w:p>
    <w:p w14:paraId="31512442">
      <w:pPr>
        <w:pStyle w:val="4"/>
        <w:spacing w:before="58" w:line="241" w:lineRule="auto"/>
        <w:ind w:left="375"/>
        <w:rPr>
          <w:sz w:val="20"/>
          <w:szCs w:val="20"/>
        </w:rPr>
      </w:pPr>
      <w:r>
        <w:rPr>
          <w:b/>
          <w:bCs/>
          <w:color w:val="57585A"/>
          <w:spacing w:val="-10"/>
          <w:sz w:val="20"/>
          <w:szCs w:val="20"/>
        </w:rPr>
        <w:t>Returning</w:t>
      </w:r>
      <w:r>
        <w:rPr>
          <w:b/>
          <w:bCs/>
          <w:color w:val="57585A"/>
          <w:spacing w:val="-14"/>
          <w:sz w:val="20"/>
          <w:szCs w:val="20"/>
        </w:rPr>
        <w:t xml:space="preserve"> </w:t>
      </w:r>
      <w:r>
        <w:rPr>
          <w:b/>
          <w:bCs/>
          <w:color w:val="57585A"/>
          <w:spacing w:val="-10"/>
          <w:sz w:val="20"/>
          <w:szCs w:val="20"/>
        </w:rPr>
        <w:t>To</w:t>
      </w:r>
      <w:r>
        <w:rPr>
          <w:b/>
          <w:bCs/>
          <w:color w:val="57585A"/>
          <w:spacing w:val="-16"/>
          <w:sz w:val="20"/>
          <w:szCs w:val="20"/>
        </w:rPr>
        <w:t xml:space="preserve"> </w:t>
      </w:r>
      <w:r>
        <w:rPr>
          <w:b/>
          <w:bCs/>
          <w:color w:val="57585A"/>
          <w:spacing w:val="-10"/>
          <w:sz w:val="20"/>
          <w:szCs w:val="20"/>
        </w:rPr>
        <w:t>A Strong Upward</w:t>
      </w:r>
      <w:r>
        <w:rPr>
          <w:b/>
          <w:bCs/>
          <w:color w:val="57585A"/>
          <w:spacing w:val="-14"/>
          <w:sz w:val="20"/>
          <w:szCs w:val="20"/>
        </w:rPr>
        <w:t xml:space="preserve"> </w:t>
      </w:r>
      <w:r>
        <w:rPr>
          <w:b/>
          <w:bCs/>
          <w:color w:val="57585A"/>
          <w:spacing w:val="-10"/>
          <w:sz w:val="20"/>
          <w:szCs w:val="20"/>
        </w:rPr>
        <w:t>Trend, Shale Output</w:t>
      </w:r>
      <w:r>
        <w:rPr>
          <w:b/>
          <w:bCs/>
          <w:color w:val="57585A"/>
          <w:spacing w:val="-15"/>
          <w:sz w:val="20"/>
          <w:szCs w:val="20"/>
        </w:rPr>
        <w:t xml:space="preserve"> </w:t>
      </w:r>
      <w:r>
        <w:rPr>
          <w:b/>
          <w:bCs/>
          <w:color w:val="57585A"/>
          <w:spacing w:val="-10"/>
          <w:sz w:val="20"/>
          <w:szCs w:val="20"/>
        </w:rPr>
        <w:t xml:space="preserve">Takes Centre </w:t>
      </w:r>
      <w:r>
        <w:rPr>
          <w:b/>
          <w:bCs/>
          <w:color w:val="57585A"/>
          <w:spacing w:val="-11"/>
          <w:sz w:val="20"/>
          <w:szCs w:val="20"/>
        </w:rPr>
        <w:t>Stage</w:t>
      </w:r>
    </w:p>
    <w:p w14:paraId="1E047424">
      <w:pPr>
        <w:pStyle w:val="4"/>
        <w:spacing w:line="281" w:lineRule="auto"/>
      </w:pPr>
    </w:p>
    <w:p w14:paraId="2AE0EB78">
      <w:pPr>
        <w:pStyle w:val="4"/>
        <w:spacing w:before="58" w:line="273" w:lineRule="auto"/>
        <w:ind w:left="368" w:right="506" w:hanging="9"/>
        <w:rPr>
          <w:sz w:val="20"/>
          <w:szCs w:val="20"/>
        </w:rPr>
      </w:pPr>
      <w:r>
        <w:rPr>
          <w:color w:val="57585A"/>
          <w:spacing w:val="-10"/>
          <w:sz w:val="20"/>
          <w:szCs w:val="20"/>
        </w:rPr>
        <w:t>Argentina's crude oil production has returned to growt</w:t>
      </w:r>
      <w:r>
        <w:rPr>
          <w:color w:val="57585A"/>
          <w:spacing w:val="-11"/>
          <w:sz w:val="20"/>
          <w:szCs w:val="20"/>
        </w:rPr>
        <w:t>h in recent</w:t>
      </w:r>
      <w:r>
        <w:rPr>
          <w:color w:val="57585A"/>
          <w:spacing w:val="-15"/>
          <w:sz w:val="20"/>
          <w:szCs w:val="20"/>
        </w:rPr>
        <w:t xml:space="preserve"> </w:t>
      </w:r>
      <w:r>
        <w:rPr>
          <w:color w:val="57585A"/>
          <w:spacing w:val="-11"/>
          <w:sz w:val="20"/>
          <w:szCs w:val="20"/>
        </w:rPr>
        <w:t>years, driven by a combination of</w:t>
      </w:r>
      <w:r>
        <w:rPr>
          <w:color w:val="57585A"/>
          <w:spacing w:val="-18"/>
          <w:sz w:val="20"/>
          <w:szCs w:val="20"/>
        </w:rPr>
        <w:t xml:space="preserve"> </w:t>
      </w:r>
      <w:r>
        <w:rPr>
          <w:color w:val="57585A"/>
          <w:spacing w:val="-11"/>
          <w:sz w:val="20"/>
          <w:szCs w:val="20"/>
        </w:rPr>
        <w:t>sector-based reforms aimed at</w:t>
      </w:r>
      <w:r>
        <w:rPr>
          <w:color w:val="57585A"/>
          <w:sz w:val="20"/>
          <w:szCs w:val="20"/>
        </w:rPr>
        <w:t xml:space="preserve"> </w:t>
      </w:r>
      <w:r>
        <w:rPr>
          <w:color w:val="57585A"/>
          <w:spacing w:val="-10"/>
          <w:sz w:val="20"/>
          <w:szCs w:val="20"/>
        </w:rPr>
        <w:t>creating a more conducive investment environment for foreign oil comp</w:t>
      </w:r>
      <w:r>
        <w:rPr>
          <w:color w:val="57585A"/>
          <w:spacing w:val="-11"/>
          <w:sz w:val="20"/>
          <w:szCs w:val="20"/>
        </w:rPr>
        <w:t>anies, increasing oil transport infrastructure, as</w:t>
      </w:r>
      <w:r>
        <w:rPr>
          <w:color w:val="57585A"/>
          <w:spacing w:val="-16"/>
          <w:sz w:val="20"/>
          <w:szCs w:val="20"/>
        </w:rPr>
        <w:t xml:space="preserve"> </w:t>
      </w:r>
      <w:r>
        <w:rPr>
          <w:color w:val="57585A"/>
          <w:spacing w:val="-11"/>
          <w:sz w:val="20"/>
          <w:szCs w:val="20"/>
        </w:rPr>
        <w:t>well as</w:t>
      </w:r>
    </w:p>
    <w:p w14:paraId="75B31807">
      <w:pPr>
        <w:pStyle w:val="4"/>
        <w:spacing w:before="38" w:line="279" w:lineRule="auto"/>
        <w:ind w:left="373" w:right="785"/>
        <w:rPr>
          <w:sz w:val="20"/>
          <w:szCs w:val="20"/>
        </w:rPr>
      </w:pPr>
      <w:r>
        <w:rPr>
          <w:color w:val="57585A"/>
          <w:spacing w:val="-11"/>
          <w:sz w:val="20"/>
          <w:szCs w:val="20"/>
        </w:rPr>
        <w:t xml:space="preserve">broader macroeconomic factors such as higher oil prices and improved global </w:t>
      </w:r>
      <w:r>
        <w:rPr>
          <w:color w:val="57585A"/>
          <w:spacing w:val="-12"/>
          <w:sz w:val="20"/>
          <w:szCs w:val="20"/>
        </w:rPr>
        <w:t>demand. Crude oil and condensates production</w:t>
      </w:r>
      <w:r>
        <w:rPr>
          <w:color w:val="57585A"/>
          <w:sz w:val="20"/>
          <w:szCs w:val="20"/>
        </w:rPr>
        <w:t xml:space="preserve"> </w:t>
      </w:r>
      <w:r>
        <w:rPr>
          <w:color w:val="57585A"/>
          <w:spacing w:val="-10"/>
          <w:sz w:val="20"/>
          <w:szCs w:val="20"/>
        </w:rPr>
        <w:t>began to grow again in 2020/2021, reaching lev</w:t>
      </w:r>
      <w:r>
        <w:rPr>
          <w:color w:val="57585A"/>
          <w:spacing w:val="-11"/>
          <w:sz w:val="20"/>
          <w:szCs w:val="20"/>
        </w:rPr>
        <w:t>els of</w:t>
      </w:r>
      <w:r>
        <w:rPr>
          <w:color w:val="57585A"/>
          <w:spacing w:val="-17"/>
          <w:sz w:val="20"/>
          <w:szCs w:val="20"/>
        </w:rPr>
        <w:t xml:space="preserve"> </w:t>
      </w:r>
      <w:r>
        <w:rPr>
          <w:color w:val="57585A"/>
          <w:spacing w:val="-11"/>
          <w:sz w:val="20"/>
          <w:szCs w:val="20"/>
        </w:rPr>
        <w:t>706,000b/d in 2024, up from a low of</w:t>
      </w:r>
      <w:r>
        <w:rPr>
          <w:color w:val="57585A"/>
          <w:spacing w:val="-16"/>
          <w:sz w:val="20"/>
          <w:szCs w:val="20"/>
        </w:rPr>
        <w:t xml:space="preserve"> </w:t>
      </w:r>
      <w:r>
        <w:rPr>
          <w:color w:val="57585A"/>
          <w:spacing w:val="-11"/>
          <w:sz w:val="20"/>
          <w:szCs w:val="20"/>
        </w:rPr>
        <w:t>480,000b/d in 2020.</w:t>
      </w:r>
      <w:r>
        <w:rPr>
          <w:color w:val="57585A"/>
          <w:spacing w:val="-15"/>
          <w:sz w:val="20"/>
          <w:szCs w:val="20"/>
        </w:rPr>
        <w:t xml:space="preserve"> </w:t>
      </w:r>
      <w:r>
        <w:rPr>
          <w:color w:val="57585A"/>
          <w:spacing w:val="-11"/>
          <w:sz w:val="20"/>
          <w:szCs w:val="20"/>
        </w:rPr>
        <w:t>These levels</w:t>
      </w:r>
      <w:r>
        <w:rPr>
          <w:color w:val="57585A"/>
          <w:sz w:val="20"/>
          <w:szCs w:val="20"/>
        </w:rPr>
        <w:t xml:space="preserve"> </w:t>
      </w:r>
      <w:r>
        <w:rPr>
          <w:color w:val="57585A"/>
          <w:spacing w:val="-10"/>
          <w:sz w:val="20"/>
          <w:szCs w:val="20"/>
        </w:rPr>
        <w:t>represent the highest oil production since 2004.</w:t>
      </w:r>
    </w:p>
    <w:p w14:paraId="38BA3ED5">
      <w:pPr>
        <w:pStyle w:val="4"/>
        <w:spacing w:line="265" w:lineRule="auto"/>
      </w:pPr>
    </w:p>
    <w:p w14:paraId="5ABF697C">
      <w:pPr>
        <w:pStyle w:val="4"/>
        <w:spacing w:before="58" w:line="231" w:lineRule="auto"/>
        <w:ind w:left="360"/>
        <w:rPr>
          <w:sz w:val="20"/>
          <w:szCs w:val="20"/>
        </w:rPr>
      </w:pPr>
      <w:r>
        <w:rPr>
          <w:color w:val="57585A"/>
          <w:spacing w:val="-10"/>
          <w:sz w:val="20"/>
          <w:szCs w:val="20"/>
        </w:rPr>
        <w:t>The strong return to growth in crude oil and condensates production has be</w:t>
      </w:r>
      <w:r>
        <w:rPr>
          <w:color w:val="57585A"/>
          <w:spacing w:val="-11"/>
          <w:sz w:val="20"/>
          <w:szCs w:val="20"/>
        </w:rPr>
        <w:t>en notably led by shale and tight oil developments.</w:t>
      </w:r>
    </w:p>
    <w:p w14:paraId="66326B92">
      <w:pPr>
        <w:pStyle w:val="4"/>
        <w:spacing w:before="59" w:line="231" w:lineRule="auto"/>
        <w:ind w:left="366"/>
        <w:rPr>
          <w:sz w:val="20"/>
          <w:szCs w:val="20"/>
        </w:rPr>
      </w:pPr>
      <w:r>
        <w:rPr>
          <w:color w:val="57585A"/>
          <w:spacing w:val="-12"/>
          <w:sz w:val="20"/>
          <w:szCs w:val="20"/>
        </w:rPr>
        <w:t>State-led</w:t>
      </w:r>
      <w:r>
        <w:rPr>
          <w:color w:val="57585A"/>
          <w:spacing w:val="-2"/>
          <w:sz w:val="20"/>
          <w:szCs w:val="20"/>
        </w:rPr>
        <w:t xml:space="preserve"> </w:t>
      </w:r>
      <w:r>
        <w:rPr>
          <w:color w:val="57585A"/>
          <w:spacing w:val="-12"/>
          <w:sz w:val="20"/>
          <w:szCs w:val="20"/>
        </w:rPr>
        <w:t>YPF, the largest hydrocarbons producer in the market, is prioritising oil assets over natural gas assets in the prolific Vaca</w:t>
      </w:r>
    </w:p>
    <w:p w14:paraId="25A36949">
      <w:pPr>
        <w:pStyle w:val="4"/>
        <w:spacing w:before="58" w:line="231" w:lineRule="auto"/>
        <w:ind w:left="376"/>
        <w:rPr>
          <w:sz w:val="20"/>
          <w:szCs w:val="20"/>
        </w:rPr>
      </w:pPr>
      <w:r>
        <w:rPr>
          <w:color w:val="57585A"/>
          <w:spacing w:val="-10"/>
          <w:sz w:val="20"/>
          <w:szCs w:val="20"/>
        </w:rPr>
        <w:t>Muerta in the near term, as the more extensive an</w:t>
      </w:r>
      <w:r>
        <w:rPr>
          <w:color w:val="57585A"/>
          <w:spacing w:val="-11"/>
          <w:sz w:val="20"/>
          <w:szCs w:val="20"/>
        </w:rPr>
        <w:t>d expanding oil midstream transport infrastructure supports robust output</w:t>
      </w:r>
    </w:p>
    <w:p w14:paraId="62907C73">
      <w:pPr>
        <w:pStyle w:val="4"/>
        <w:spacing w:before="60" w:line="279" w:lineRule="auto"/>
        <w:ind w:left="363" w:right="552" w:firstLine="4"/>
        <w:rPr>
          <w:sz w:val="20"/>
          <w:szCs w:val="20"/>
        </w:rPr>
      </w:pPr>
      <w:r>
        <w:rPr>
          <w:color w:val="57585A"/>
          <w:spacing w:val="-11"/>
          <w:sz w:val="20"/>
          <w:szCs w:val="20"/>
        </w:rPr>
        <w:t>growth. Notably, unconventional output is being pushed by production at the Loma Campana,</w:t>
      </w:r>
      <w:r>
        <w:rPr>
          <w:color w:val="57585A"/>
          <w:spacing w:val="-16"/>
          <w:sz w:val="20"/>
          <w:szCs w:val="20"/>
        </w:rPr>
        <w:t xml:space="preserve"> </w:t>
      </w:r>
      <w:r>
        <w:rPr>
          <w:color w:val="57585A"/>
          <w:spacing w:val="-11"/>
          <w:sz w:val="20"/>
          <w:szCs w:val="20"/>
        </w:rPr>
        <w:t>which is b</w:t>
      </w:r>
      <w:r>
        <w:rPr>
          <w:color w:val="57585A"/>
          <w:spacing w:val="-12"/>
          <w:sz w:val="20"/>
          <w:szCs w:val="20"/>
        </w:rPr>
        <w:t>eing</w:t>
      </w:r>
      <w:r>
        <w:rPr>
          <w:color w:val="57585A"/>
          <w:spacing w:val="-6"/>
          <w:sz w:val="20"/>
          <w:szCs w:val="20"/>
        </w:rPr>
        <w:t xml:space="preserve"> </w:t>
      </w:r>
      <w:r>
        <w:rPr>
          <w:color w:val="57585A"/>
          <w:spacing w:val="-12"/>
          <w:sz w:val="20"/>
          <w:szCs w:val="20"/>
        </w:rPr>
        <w:t>developed as a</w:t>
      </w:r>
      <w:r>
        <w:rPr>
          <w:color w:val="57585A"/>
          <w:spacing w:val="-18"/>
          <w:sz w:val="20"/>
          <w:szCs w:val="20"/>
        </w:rPr>
        <w:t xml:space="preserve"> </w:t>
      </w:r>
      <w:r>
        <w:rPr>
          <w:color w:val="57585A"/>
          <w:spacing w:val="-12"/>
          <w:sz w:val="20"/>
          <w:szCs w:val="20"/>
        </w:rPr>
        <w:t>joint</w:t>
      </w:r>
      <w:r>
        <w:rPr>
          <w:color w:val="57585A"/>
          <w:sz w:val="20"/>
          <w:szCs w:val="20"/>
        </w:rPr>
        <w:t xml:space="preserve"> </w:t>
      </w:r>
      <w:r>
        <w:rPr>
          <w:color w:val="57585A"/>
          <w:spacing w:val="-12"/>
          <w:sz w:val="20"/>
          <w:szCs w:val="20"/>
        </w:rPr>
        <w:t>project between the state-owned YPF and Chevron.</w:t>
      </w:r>
      <w:r>
        <w:rPr>
          <w:color w:val="57585A"/>
          <w:spacing w:val="-15"/>
          <w:sz w:val="20"/>
          <w:szCs w:val="20"/>
        </w:rPr>
        <w:t xml:space="preserve"> </w:t>
      </w:r>
      <w:r>
        <w:rPr>
          <w:color w:val="57585A"/>
          <w:spacing w:val="-12"/>
          <w:sz w:val="20"/>
          <w:szCs w:val="20"/>
        </w:rPr>
        <w:t>YPF is also par</w:t>
      </w:r>
      <w:r>
        <w:rPr>
          <w:color w:val="57585A"/>
          <w:spacing w:val="-13"/>
          <w:sz w:val="20"/>
          <w:szCs w:val="20"/>
        </w:rPr>
        <w:t>tnered with Shell and Equinor to develop the Bandurria del Sur</w:t>
      </w:r>
      <w:r>
        <w:rPr>
          <w:color w:val="57585A"/>
          <w:sz w:val="20"/>
          <w:szCs w:val="20"/>
        </w:rPr>
        <w:t xml:space="preserve"> </w:t>
      </w:r>
      <w:r>
        <w:rPr>
          <w:color w:val="57585A"/>
          <w:spacing w:val="-12"/>
          <w:sz w:val="20"/>
          <w:szCs w:val="20"/>
        </w:rPr>
        <w:t>field, and with</w:t>
      </w:r>
      <w:r>
        <w:rPr>
          <w:color w:val="57585A"/>
          <w:spacing w:val="-8"/>
          <w:sz w:val="20"/>
          <w:szCs w:val="20"/>
        </w:rPr>
        <w:t xml:space="preserve"> </w:t>
      </w:r>
      <w:r>
        <w:rPr>
          <w:color w:val="57585A"/>
          <w:spacing w:val="-12"/>
          <w:sz w:val="20"/>
          <w:szCs w:val="20"/>
        </w:rPr>
        <w:t>Vista Energy (Vista Energy acquired the 50% stake previously held by Petronas in</w:t>
      </w:r>
      <w:r>
        <w:rPr>
          <w:color w:val="57585A"/>
          <w:spacing w:val="-16"/>
          <w:sz w:val="20"/>
          <w:szCs w:val="20"/>
        </w:rPr>
        <w:t xml:space="preserve"> </w:t>
      </w:r>
      <w:r>
        <w:rPr>
          <w:color w:val="57585A"/>
          <w:spacing w:val="-12"/>
          <w:sz w:val="20"/>
          <w:szCs w:val="20"/>
        </w:rPr>
        <w:t>April 2025) to develop the La</w:t>
      </w:r>
    </w:p>
    <w:p w14:paraId="273950B6">
      <w:pPr>
        <w:pStyle w:val="4"/>
        <w:spacing w:before="35" w:line="283" w:lineRule="auto"/>
        <w:ind w:left="368" w:right="425" w:hanging="9"/>
        <w:rPr>
          <w:sz w:val="20"/>
          <w:szCs w:val="20"/>
        </w:rPr>
      </w:pPr>
      <w:r>
        <w:rPr>
          <w:color w:val="57585A"/>
          <w:spacing w:val="-12"/>
          <w:sz w:val="20"/>
          <w:szCs w:val="20"/>
        </w:rPr>
        <w:t>Amarga Chica field. Smaller players have also been actively boosting production since 2023, although</w:t>
      </w:r>
      <w:r>
        <w:rPr>
          <w:color w:val="57585A"/>
          <w:spacing w:val="-16"/>
          <w:sz w:val="20"/>
          <w:szCs w:val="20"/>
        </w:rPr>
        <w:t xml:space="preserve"> </w:t>
      </w:r>
      <w:r>
        <w:rPr>
          <w:color w:val="57585A"/>
          <w:spacing w:val="-12"/>
          <w:sz w:val="20"/>
          <w:szCs w:val="20"/>
        </w:rPr>
        <w:t>YPF remains the key driv</w:t>
      </w:r>
      <w:r>
        <w:rPr>
          <w:color w:val="57585A"/>
          <w:spacing w:val="-13"/>
          <w:sz w:val="20"/>
          <w:szCs w:val="20"/>
        </w:rPr>
        <w:t>er of</w:t>
      </w:r>
      <w:r>
        <w:rPr>
          <w:color w:val="57585A"/>
          <w:sz w:val="20"/>
          <w:szCs w:val="20"/>
        </w:rPr>
        <w:t xml:space="preserve"> </w:t>
      </w:r>
      <w:r>
        <w:rPr>
          <w:color w:val="57585A"/>
          <w:spacing w:val="-11"/>
          <w:sz w:val="20"/>
          <w:szCs w:val="20"/>
        </w:rPr>
        <w:t>oil production growth. In 2024,</w:t>
      </w:r>
      <w:r>
        <w:rPr>
          <w:color w:val="57585A"/>
          <w:spacing w:val="-15"/>
          <w:sz w:val="20"/>
          <w:szCs w:val="20"/>
        </w:rPr>
        <w:t xml:space="preserve"> </w:t>
      </w:r>
      <w:r>
        <w:rPr>
          <w:color w:val="57585A"/>
          <w:spacing w:val="-11"/>
          <w:sz w:val="20"/>
          <w:szCs w:val="20"/>
        </w:rPr>
        <w:t>YPF</w:t>
      </w:r>
      <w:r>
        <w:rPr>
          <w:color w:val="57585A"/>
          <w:spacing w:val="-16"/>
          <w:sz w:val="20"/>
          <w:szCs w:val="20"/>
        </w:rPr>
        <w:t xml:space="preserve"> </w:t>
      </w:r>
      <w:r>
        <w:rPr>
          <w:color w:val="57585A"/>
          <w:spacing w:val="-11"/>
          <w:sz w:val="20"/>
          <w:szCs w:val="20"/>
        </w:rPr>
        <w:t>was responsible for 49% of</w:t>
      </w:r>
      <w:r>
        <w:rPr>
          <w:color w:val="57585A"/>
          <w:spacing w:val="-21"/>
          <w:sz w:val="20"/>
          <w:szCs w:val="20"/>
        </w:rPr>
        <w:t xml:space="preserve"> </w:t>
      </w:r>
      <w:r>
        <w:rPr>
          <w:color w:val="57585A"/>
          <w:spacing w:val="-11"/>
          <w:sz w:val="20"/>
          <w:szCs w:val="20"/>
        </w:rPr>
        <w:t>total oil output in</w:t>
      </w:r>
      <w:r>
        <w:rPr>
          <w:color w:val="57585A"/>
          <w:spacing w:val="-16"/>
          <w:sz w:val="20"/>
          <w:szCs w:val="20"/>
        </w:rPr>
        <w:t xml:space="preserve"> </w:t>
      </w:r>
      <w:r>
        <w:rPr>
          <w:color w:val="57585A"/>
          <w:spacing w:val="-11"/>
          <w:sz w:val="20"/>
          <w:szCs w:val="20"/>
        </w:rPr>
        <w:t>Argentina, fo</w:t>
      </w:r>
      <w:r>
        <w:rPr>
          <w:color w:val="57585A"/>
          <w:spacing w:val="-12"/>
          <w:sz w:val="20"/>
          <w:szCs w:val="20"/>
        </w:rPr>
        <w:t>llowed by Pan</w:t>
      </w:r>
      <w:r>
        <w:rPr>
          <w:color w:val="57585A"/>
          <w:spacing w:val="-15"/>
          <w:sz w:val="20"/>
          <w:szCs w:val="20"/>
        </w:rPr>
        <w:t xml:space="preserve"> </w:t>
      </w:r>
      <w:r>
        <w:rPr>
          <w:color w:val="57585A"/>
          <w:spacing w:val="-12"/>
          <w:sz w:val="20"/>
          <w:szCs w:val="20"/>
        </w:rPr>
        <w:t>American Energy</w:t>
      </w:r>
      <w:r>
        <w:rPr>
          <w:color w:val="57585A"/>
          <w:spacing w:val="-16"/>
          <w:sz w:val="20"/>
          <w:szCs w:val="20"/>
        </w:rPr>
        <w:t xml:space="preserve"> </w:t>
      </w:r>
      <w:r>
        <w:rPr>
          <w:color w:val="57585A"/>
          <w:spacing w:val="-12"/>
          <w:sz w:val="20"/>
          <w:szCs w:val="20"/>
        </w:rPr>
        <w:t>with</w:t>
      </w:r>
      <w:r>
        <w:rPr>
          <w:color w:val="57585A"/>
          <w:sz w:val="20"/>
          <w:szCs w:val="20"/>
        </w:rPr>
        <w:t xml:space="preserve"> </w:t>
      </w:r>
      <w:r>
        <w:rPr>
          <w:color w:val="57585A"/>
          <w:spacing w:val="-12"/>
          <w:sz w:val="20"/>
          <w:szCs w:val="20"/>
        </w:rPr>
        <w:t>15%, Vista Energy</w:t>
      </w:r>
      <w:r>
        <w:rPr>
          <w:color w:val="57585A"/>
          <w:spacing w:val="-16"/>
          <w:sz w:val="20"/>
          <w:szCs w:val="20"/>
        </w:rPr>
        <w:t xml:space="preserve"> </w:t>
      </w:r>
      <w:r>
        <w:rPr>
          <w:color w:val="57585A"/>
          <w:spacing w:val="-12"/>
          <w:sz w:val="20"/>
          <w:szCs w:val="20"/>
        </w:rPr>
        <w:t>Argentina at 9%, Pluspetrol</w:t>
      </w:r>
      <w:r>
        <w:rPr>
          <w:color w:val="57585A"/>
          <w:spacing w:val="-15"/>
          <w:sz w:val="20"/>
          <w:szCs w:val="20"/>
        </w:rPr>
        <w:t xml:space="preserve"> </w:t>
      </w:r>
      <w:r>
        <w:rPr>
          <w:color w:val="57585A"/>
          <w:spacing w:val="-12"/>
          <w:sz w:val="20"/>
          <w:szCs w:val="20"/>
        </w:rPr>
        <w:t>with 5%, and Shell</w:t>
      </w:r>
      <w:r>
        <w:rPr>
          <w:color w:val="57585A"/>
          <w:spacing w:val="-16"/>
          <w:sz w:val="20"/>
          <w:szCs w:val="20"/>
        </w:rPr>
        <w:t xml:space="preserve"> </w:t>
      </w:r>
      <w:r>
        <w:rPr>
          <w:color w:val="57585A"/>
          <w:spacing w:val="-12"/>
          <w:sz w:val="20"/>
          <w:szCs w:val="20"/>
        </w:rPr>
        <w:t>Argentina at 4%,</w:t>
      </w:r>
      <w:r>
        <w:rPr>
          <w:color w:val="57585A"/>
          <w:spacing w:val="-15"/>
          <w:sz w:val="20"/>
          <w:szCs w:val="20"/>
        </w:rPr>
        <w:t xml:space="preserve"> </w:t>
      </w:r>
      <w:r>
        <w:rPr>
          <w:color w:val="57585A"/>
          <w:spacing w:val="-12"/>
          <w:sz w:val="20"/>
          <w:szCs w:val="20"/>
        </w:rPr>
        <w:t>with the remainder of output produced by over</w:t>
      </w:r>
      <w:r>
        <w:rPr>
          <w:color w:val="57585A"/>
          <w:sz w:val="20"/>
          <w:szCs w:val="20"/>
        </w:rPr>
        <w:t xml:space="preserve">  </w:t>
      </w:r>
      <w:r>
        <w:rPr>
          <w:color w:val="57585A"/>
          <w:spacing w:val="-10"/>
          <w:sz w:val="20"/>
          <w:szCs w:val="20"/>
        </w:rPr>
        <w:t>50 companies producing sm</w:t>
      </w:r>
      <w:r>
        <w:rPr>
          <w:color w:val="57585A"/>
          <w:spacing w:val="-11"/>
          <w:sz w:val="20"/>
          <w:szCs w:val="20"/>
        </w:rPr>
        <w:t>aller amounts of</w:t>
      </w:r>
      <w:r>
        <w:rPr>
          <w:color w:val="57585A"/>
          <w:spacing w:val="-15"/>
          <w:sz w:val="20"/>
          <w:szCs w:val="20"/>
        </w:rPr>
        <w:t xml:space="preserve"> </w:t>
      </w:r>
      <w:r>
        <w:rPr>
          <w:color w:val="57585A"/>
          <w:spacing w:val="-11"/>
          <w:sz w:val="20"/>
          <w:szCs w:val="20"/>
        </w:rPr>
        <w:t>oil.</w:t>
      </w:r>
    </w:p>
    <w:p w14:paraId="4C99FAFF">
      <w:pPr>
        <w:pStyle w:val="4"/>
        <w:spacing w:line="265" w:lineRule="auto"/>
      </w:pPr>
    </w:p>
    <w:p w14:paraId="3E1CBE37">
      <w:pPr>
        <w:pStyle w:val="4"/>
        <w:spacing w:before="58" w:line="273" w:lineRule="auto"/>
        <w:ind w:left="367" w:right="430" w:firstLine="8"/>
        <w:rPr>
          <w:sz w:val="20"/>
          <w:szCs w:val="20"/>
        </w:rPr>
      </w:pPr>
      <w:r>
        <w:rPr>
          <w:color w:val="57585A"/>
          <w:spacing w:val="-9"/>
          <w:sz w:val="20"/>
          <w:szCs w:val="20"/>
        </w:rPr>
        <w:t xml:space="preserve">In 2024, unconventional oil output surpassed conventional oil </w:t>
      </w:r>
      <w:r>
        <w:rPr>
          <w:color w:val="57585A"/>
          <w:spacing w:val="-10"/>
          <w:sz w:val="20"/>
          <w:szCs w:val="20"/>
        </w:rPr>
        <w:t>production,</w:t>
      </w:r>
      <w:r>
        <w:rPr>
          <w:color w:val="57585A"/>
          <w:spacing w:val="-15"/>
          <w:sz w:val="20"/>
          <w:szCs w:val="20"/>
        </w:rPr>
        <w:t xml:space="preserve"> </w:t>
      </w:r>
      <w:r>
        <w:rPr>
          <w:color w:val="57585A"/>
          <w:spacing w:val="-10"/>
          <w:sz w:val="20"/>
          <w:szCs w:val="20"/>
        </w:rPr>
        <w:t>with government data indicating unconventional output</w:t>
      </w:r>
      <w:r>
        <w:rPr>
          <w:color w:val="57585A"/>
          <w:sz w:val="20"/>
          <w:szCs w:val="20"/>
        </w:rPr>
        <w:t xml:space="preserve"> </w:t>
      </w:r>
      <w:r>
        <w:rPr>
          <w:color w:val="57585A"/>
          <w:spacing w:val="-9"/>
          <w:sz w:val="20"/>
          <w:szCs w:val="20"/>
        </w:rPr>
        <w:t>averaged 392,000b/d, compared to conventional pro</w:t>
      </w:r>
      <w:r>
        <w:rPr>
          <w:color w:val="57585A"/>
          <w:spacing w:val="-10"/>
          <w:sz w:val="20"/>
          <w:szCs w:val="20"/>
        </w:rPr>
        <w:t>duction of</w:t>
      </w:r>
      <w:r>
        <w:rPr>
          <w:color w:val="57585A"/>
          <w:spacing w:val="-16"/>
          <w:sz w:val="20"/>
          <w:szCs w:val="20"/>
        </w:rPr>
        <w:t xml:space="preserve"> </w:t>
      </w:r>
      <w:r>
        <w:rPr>
          <w:color w:val="57585A"/>
          <w:spacing w:val="-10"/>
          <w:sz w:val="20"/>
          <w:szCs w:val="20"/>
        </w:rPr>
        <w:t>314,000b/d. In 2023, production</w:t>
      </w:r>
      <w:r>
        <w:rPr>
          <w:color w:val="57585A"/>
          <w:spacing w:val="-15"/>
          <w:sz w:val="20"/>
          <w:szCs w:val="20"/>
        </w:rPr>
        <w:t xml:space="preserve"> </w:t>
      </w:r>
      <w:r>
        <w:rPr>
          <w:color w:val="57585A"/>
          <w:spacing w:val="-10"/>
          <w:sz w:val="20"/>
          <w:szCs w:val="20"/>
        </w:rPr>
        <w:t>was still dominated by</w:t>
      </w:r>
    </w:p>
    <w:p w14:paraId="0616ECB7">
      <w:pPr>
        <w:pStyle w:val="4"/>
        <w:spacing w:before="37" w:line="231" w:lineRule="auto"/>
        <w:ind w:left="369"/>
        <w:rPr>
          <w:sz w:val="20"/>
          <w:szCs w:val="20"/>
        </w:rPr>
      </w:pPr>
      <w:r>
        <w:rPr>
          <w:color w:val="57585A"/>
          <w:spacing w:val="-10"/>
          <w:sz w:val="20"/>
          <w:szCs w:val="20"/>
        </w:rPr>
        <w:t>conventional output averaging 324,000 b/d,</w:t>
      </w:r>
      <w:r>
        <w:rPr>
          <w:color w:val="57585A"/>
          <w:spacing w:val="-1"/>
          <w:sz w:val="20"/>
          <w:szCs w:val="20"/>
        </w:rPr>
        <w:t xml:space="preserve"> </w:t>
      </w:r>
      <w:r>
        <w:rPr>
          <w:color w:val="57585A"/>
          <w:spacing w:val="-10"/>
          <w:sz w:val="20"/>
          <w:szCs w:val="20"/>
        </w:rPr>
        <w:t>while unconventional production</w:t>
      </w:r>
      <w:r>
        <w:rPr>
          <w:color w:val="57585A"/>
          <w:spacing w:val="-16"/>
          <w:sz w:val="20"/>
          <w:szCs w:val="20"/>
        </w:rPr>
        <w:t xml:space="preserve"> </w:t>
      </w:r>
      <w:r>
        <w:rPr>
          <w:color w:val="57585A"/>
          <w:spacing w:val="-10"/>
          <w:sz w:val="20"/>
          <w:szCs w:val="20"/>
        </w:rPr>
        <w:t>was at 311,000b/d.</w:t>
      </w:r>
      <w:r>
        <w:rPr>
          <w:color w:val="57585A"/>
          <w:spacing w:val="-15"/>
          <w:sz w:val="20"/>
          <w:szCs w:val="20"/>
        </w:rPr>
        <w:t xml:space="preserve"> </w:t>
      </w:r>
      <w:r>
        <w:rPr>
          <w:color w:val="57585A"/>
          <w:spacing w:val="-10"/>
          <w:sz w:val="20"/>
          <w:szCs w:val="20"/>
        </w:rPr>
        <w:t>As of</w:t>
      </w:r>
      <w:r>
        <w:rPr>
          <w:color w:val="57585A"/>
          <w:spacing w:val="-16"/>
          <w:sz w:val="20"/>
          <w:szCs w:val="20"/>
        </w:rPr>
        <w:t xml:space="preserve"> </w:t>
      </w:r>
      <w:r>
        <w:rPr>
          <w:color w:val="57585A"/>
          <w:spacing w:val="-10"/>
          <w:sz w:val="20"/>
          <w:szCs w:val="20"/>
        </w:rPr>
        <w:t>early 2025 data,</w:t>
      </w:r>
    </w:p>
    <w:p w14:paraId="27981FA8">
      <w:pPr>
        <w:pStyle w:val="4"/>
        <w:spacing w:before="59" w:line="273" w:lineRule="auto"/>
        <w:ind w:left="375" w:right="469" w:hanging="3"/>
        <w:rPr>
          <w:sz w:val="20"/>
          <w:szCs w:val="20"/>
        </w:rPr>
      </w:pPr>
      <w:r>
        <w:rPr>
          <w:color w:val="57585A"/>
          <w:spacing w:val="-10"/>
          <w:sz w:val="20"/>
          <w:szCs w:val="20"/>
        </w:rPr>
        <w:t>unconventional oil production represented close to 60% of</w:t>
      </w:r>
      <w:r>
        <w:rPr>
          <w:color w:val="57585A"/>
          <w:spacing w:val="-21"/>
          <w:sz w:val="20"/>
          <w:szCs w:val="20"/>
        </w:rPr>
        <w:t xml:space="preserve"> </w:t>
      </w:r>
      <w:r>
        <w:rPr>
          <w:color w:val="57585A"/>
          <w:spacing w:val="-10"/>
          <w:sz w:val="20"/>
          <w:szCs w:val="20"/>
        </w:rPr>
        <w:t xml:space="preserve">total crude and </w:t>
      </w:r>
      <w:r>
        <w:rPr>
          <w:color w:val="57585A"/>
          <w:spacing w:val="-11"/>
          <w:sz w:val="20"/>
          <w:szCs w:val="20"/>
        </w:rPr>
        <w:t>condensates output, up from levels of</w:t>
      </w:r>
      <w:r>
        <w:rPr>
          <w:color w:val="57585A"/>
          <w:spacing w:val="-15"/>
          <w:sz w:val="20"/>
          <w:szCs w:val="20"/>
        </w:rPr>
        <w:t xml:space="preserve"> </w:t>
      </w:r>
      <w:r>
        <w:rPr>
          <w:color w:val="57585A"/>
          <w:spacing w:val="-11"/>
          <w:sz w:val="20"/>
          <w:szCs w:val="20"/>
        </w:rPr>
        <w:t>only 4% in 2015.</w:t>
      </w:r>
      <w:r>
        <w:rPr>
          <w:color w:val="57585A"/>
          <w:sz w:val="20"/>
          <w:szCs w:val="20"/>
        </w:rPr>
        <w:t xml:space="preserve"> </w:t>
      </w:r>
      <w:r>
        <w:rPr>
          <w:color w:val="57585A"/>
          <w:spacing w:val="-10"/>
          <w:sz w:val="20"/>
          <w:szCs w:val="20"/>
        </w:rPr>
        <w:t>Meanwhile, conventiona</w:t>
      </w:r>
      <w:r>
        <w:rPr>
          <w:color w:val="57585A"/>
          <w:spacing w:val="-11"/>
          <w:sz w:val="20"/>
          <w:szCs w:val="20"/>
        </w:rPr>
        <w:t>l oil output continues to decline given maturing asset base and underinvestment as key upstream</w:t>
      </w:r>
    </w:p>
    <w:p w14:paraId="3A15EFF8">
      <w:pPr>
        <w:pStyle w:val="4"/>
        <w:spacing w:before="37" w:line="231" w:lineRule="auto"/>
        <w:ind w:left="373"/>
        <w:rPr>
          <w:sz w:val="20"/>
          <w:szCs w:val="20"/>
        </w:rPr>
      </w:pPr>
      <w:r>
        <w:rPr>
          <w:color w:val="57585A"/>
          <w:spacing w:val="-10"/>
          <w:sz w:val="20"/>
          <w:szCs w:val="20"/>
        </w:rPr>
        <w:t>producers raise spending a</w:t>
      </w:r>
      <w:r>
        <w:rPr>
          <w:color w:val="57585A"/>
          <w:spacing w:val="-11"/>
          <w:sz w:val="20"/>
          <w:szCs w:val="20"/>
        </w:rPr>
        <w:t>llocation on their unconventional oil asset.</w:t>
      </w:r>
    </w:p>
    <w:p w14:paraId="14E8742F">
      <w:pPr>
        <w:spacing w:line="231" w:lineRule="auto"/>
        <w:rPr>
          <w:sz w:val="20"/>
          <w:szCs w:val="20"/>
        </w:rPr>
        <w:sectPr>
          <w:footerReference r:id="rId19" w:type="default"/>
          <w:pgSz w:w="11906" w:h="16838"/>
          <w:pgMar w:top="400" w:right="490" w:bottom="883" w:left="490" w:header="0" w:footer="0" w:gutter="0"/>
          <w:cols w:space="720" w:num="1"/>
        </w:sectPr>
      </w:pPr>
    </w:p>
    <w:p w14:paraId="642376EF">
      <w:pPr>
        <w:pStyle w:val="4"/>
        <w:spacing w:before="73" w:line="241" w:lineRule="auto"/>
        <w:ind w:left="7372"/>
        <w:rPr>
          <w:sz w:val="20"/>
          <w:szCs w:val="20"/>
        </w:rPr>
      </w:pPr>
      <w:r>
        <w:drawing>
          <wp:anchor distT="0" distB="0" distL="0" distR="0" simplePos="0" relativeHeight="25171865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19680" behindDoc="0" locked="0" layoutInCell="0" allowOverlap="1">
            <wp:simplePos x="0" y="0"/>
            <wp:positionH relativeFrom="page">
              <wp:posOffset>311150</wp:posOffset>
            </wp:positionH>
            <wp:positionV relativeFrom="page">
              <wp:posOffset>0</wp:posOffset>
            </wp:positionV>
            <wp:extent cx="19050" cy="814070"/>
            <wp:effectExtent l="0" t="0" r="0" b="0"/>
            <wp:wrapNone/>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09F8BA9">
      <w:pPr>
        <w:pStyle w:val="4"/>
        <w:spacing w:line="278" w:lineRule="auto"/>
      </w:pPr>
    </w:p>
    <w:p w14:paraId="00C5EB31">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9CA89A8">
      <w:pPr>
        <w:pStyle w:val="4"/>
        <w:spacing w:line="251" w:lineRule="auto"/>
      </w:pPr>
    </w:p>
    <w:p w14:paraId="52AD27E7">
      <w:pPr>
        <w:pStyle w:val="4"/>
        <w:spacing w:line="251" w:lineRule="auto"/>
      </w:pPr>
    </w:p>
    <w:p w14:paraId="14614AEC">
      <w:pPr>
        <w:pStyle w:val="4"/>
        <w:spacing w:line="251" w:lineRule="auto"/>
      </w:pPr>
    </w:p>
    <w:p w14:paraId="2FFB1F8B">
      <w:pPr>
        <w:pStyle w:val="4"/>
        <w:spacing w:before="58" w:line="241" w:lineRule="auto"/>
        <w:ind w:left="375"/>
        <w:rPr>
          <w:sz w:val="20"/>
          <w:szCs w:val="20"/>
        </w:rPr>
      </w:pPr>
      <w:r>
        <w:rPr>
          <w:b/>
          <w:bCs/>
          <w:color w:val="57585A"/>
          <w:spacing w:val="-8"/>
          <w:sz w:val="20"/>
          <w:szCs w:val="20"/>
        </w:rPr>
        <w:t>Infrastructure Coming</w:t>
      </w:r>
      <w:r>
        <w:rPr>
          <w:b/>
          <w:bCs/>
          <w:color w:val="57585A"/>
          <w:spacing w:val="-14"/>
          <w:sz w:val="20"/>
          <w:szCs w:val="20"/>
        </w:rPr>
        <w:t xml:space="preserve"> </w:t>
      </w:r>
      <w:r>
        <w:rPr>
          <w:b/>
          <w:bCs/>
          <w:color w:val="57585A"/>
          <w:spacing w:val="-8"/>
          <w:sz w:val="20"/>
          <w:szCs w:val="20"/>
        </w:rPr>
        <w:t>T</w:t>
      </w:r>
      <w:r>
        <w:rPr>
          <w:b/>
          <w:bCs/>
          <w:color w:val="57585A"/>
          <w:spacing w:val="-9"/>
          <w:sz w:val="20"/>
          <w:szCs w:val="20"/>
        </w:rPr>
        <w:t>ogether and Key for Future Oil Growth</w:t>
      </w:r>
    </w:p>
    <w:p w14:paraId="1A38C19B">
      <w:pPr>
        <w:pStyle w:val="4"/>
        <w:spacing w:line="281" w:lineRule="auto"/>
      </w:pPr>
    </w:p>
    <w:p w14:paraId="50C933F5">
      <w:pPr>
        <w:pStyle w:val="4"/>
        <w:spacing w:before="57" w:line="273" w:lineRule="auto"/>
        <w:ind w:left="373" w:right="391" w:firstLine="2"/>
        <w:rPr>
          <w:sz w:val="20"/>
          <w:szCs w:val="20"/>
        </w:rPr>
      </w:pPr>
      <w:r>
        <w:rPr>
          <w:color w:val="57585A"/>
          <w:spacing w:val="-10"/>
          <w:sz w:val="20"/>
          <w:szCs w:val="20"/>
        </w:rPr>
        <w:t>Recent quarters have seen significant improvements in oil transport infrastructure,</w:t>
      </w:r>
      <w:r>
        <w:rPr>
          <w:color w:val="57585A"/>
          <w:spacing w:val="-16"/>
          <w:sz w:val="20"/>
          <w:szCs w:val="20"/>
        </w:rPr>
        <w:t xml:space="preserve"> </w:t>
      </w:r>
      <w:r>
        <w:rPr>
          <w:color w:val="57585A"/>
          <w:spacing w:val="-10"/>
          <w:sz w:val="20"/>
          <w:szCs w:val="20"/>
        </w:rPr>
        <w:t>which is con</w:t>
      </w:r>
      <w:r>
        <w:rPr>
          <w:color w:val="57585A"/>
          <w:spacing w:val="-11"/>
          <w:sz w:val="20"/>
          <w:szCs w:val="20"/>
        </w:rPr>
        <w:t>tributing to the strong increase in oil</w:t>
      </w:r>
      <w:r>
        <w:rPr>
          <w:color w:val="57585A"/>
          <w:sz w:val="20"/>
          <w:szCs w:val="20"/>
        </w:rPr>
        <w:t xml:space="preserve"> </w:t>
      </w:r>
      <w:r>
        <w:rPr>
          <w:color w:val="57585A"/>
          <w:spacing w:val="-10"/>
          <w:sz w:val="20"/>
          <w:szCs w:val="20"/>
        </w:rPr>
        <w:t>production over 2023 and 2024.</w:t>
      </w:r>
      <w:r>
        <w:rPr>
          <w:color w:val="57585A"/>
          <w:spacing w:val="-15"/>
          <w:sz w:val="20"/>
          <w:szCs w:val="20"/>
        </w:rPr>
        <w:t xml:space="preserve"> </w:t>
      </w:r>
      <w:r>
        <w:rPr>
          <w:color w:val="57585A"/>
          <w:spacing w:val="-10"/>
          <w:sz w:val="20"/>
          <w:szCs w:val="20"/>
        </w:rPr>
        <w:t>These de</w:t>
      </w:r>
      <w:r>
        <w:rPr>
          <w:color w:val="57585A"/>
          <w:spacing w:val="-11"/>
          <w:sz w:val="20"/>
          <w:szCs w:val="20"/>
        </w:rPr>
        <w:t>velopments</w:t>
      </w:r>
      <w:r>
        <w:rPr>
          <w:color w:val="57585A"/>
          <w:spacing w:val="-16"/>
          <w:sz w:val="20"/>
          <w:szCs w:val="20"/>
        </w:rPr>
        <w:t xml:space="preserve"> </w:t>
      </w:r>
      <w:r>
        <w:rPr>
          <w:color w:val="57585A"/>
          <w:spacing w:val="-11"/>
          <w:sz w:val="20"/>
          <w:szCs w:val="20"/>
        </w:rPr>
        <w:t>will also enable further production gains in the coming</w:t>
      </w:r>
      <w:r>
        <w:rPr>
          <w:color w:val="57585A"/>
          <w:spacing w:val="-15"/>
          <w:sz w:val="20"/>
          <w:szCs w:val="20"/>
        </w:rPr>
        <w:t xml:space="preserve"> </w:t>
      </w:r>
      <w:r>
        <w:rPr>
          <w:color w:val="57585A"/>
          <w:spacing w:val="-11"/>
          <w:sz w:val="20"/>
          <w:szCs w:val="20"/>
        </w:rPr>
        <w:t>years.</w:t>
      </w:r>
    </w:p>
    <w:p w14:paraId="4E0A2278">
      <w:pPr>
        <w:pStyle w:val="4"/>
        <w:spacing w:line="311" w:lineRule="auto"/>
      </w:pPr>
    </w:p>
    <w:p w14:paraId="0452A72D">
      <w:pPr>
        <w:pStyle w:val="4"/>
        <w:spacing w:before="58" w:line="181" w:lineRule="auto"/>
        <w:ind w:left="376"/>
        <w:rPr>
          <w:sz w:val="20"/>
          <w:szCs w:val="20"/>
        </w:rPr>
      </w:pPr>
      <w:r>
        <w:rPr>
          <w:color w:val="57585A"/>
          <w:spacing w:val="-13"/>
          <w:sz w:val="20"/>
          <w:szCs w:val="20"/>
        </w:rPr>
        <w:t>Notably:</w:t>
      </w:r>
    </w:p>
    <w:p w14:paraId="47394F4F">
      <w:pPr>
        <w:pStyle w:val="4"/>
        <w:spacing w:line="286" w:lineRule="auto"/>
      </w:pPr>
    </w:p>
    <w:p w14:paraId="3BC51D3C">
      <w:pPr>
        <w:pStyle w:val="4"/>
        <w:spacing w:before="57" w:line="263" w:lineRule="auto"/>
        <w:ind w:left="604" w:right="431" w:hanging="247"/>
        <w:rPr>
          <w:sz w:val="20"/>
          <w:szCs w:val="20"/>
        </w:rPr>
      </w:pPr>
      <w:r>
        <w:rPr>
          <w:color w:val="33CCFF"/>
          <w:spacing w:val="-11"/>
          <w:sz w:val="20"/>
          <w:szCs w:val="20"/>
        </w:rPr>
        <w:t xml:space="preserve">•   </w:t>
      </w:r>
      <w:r>
        <w:rPr>
          <w:b/>
          <w:bCs/>
          <w:color w:val="57585A"/>
          <w:spacing w:val="-11"/>
          <w:sz w:val="20"/>
          <w:szCs w:val="20"/>
        </w:rPr>
        <w:t xml:space="preserve">Trasandino Pipeline: </w:t>
      </w:r>
      <w:r>
        <w:rPr>
          <w:color w:val="57585A"/>
          <w:spacing w:val="-11"/>
          <w:sz w:val="20"/>
          <w:szCs w:val="20"/>
        </w:rPr>
        <w:t>In 2023, the Trasandino oil pipeline</w:t>
      </w:r>
      <w:r>
        <w:rPr>
          <w:color w:val="57585A"/>
          <w:spacing w:val="-14"/>
          <w:sz w:val="20"/>
          <w:szCs w:val="20"/>
        </w:rPr>
        <w:t xml:space="preserve"> </w:t>
      </w:r>
      <w:r>
        <w:rPr>
          <w:color w:val="57585A"/>
          <w:spacing w:val="-11"/>
          <w:sz w:val="20"/>
          <w:szCs w:val="20"/>
        </w:rPr>
        <w:t>was reopened after</w:t>
      </w:r>
      <w:r>
        <w:rPr>
          <w:color w:val="57585A"/>
          <w:spacing w:val="-16"/>
          <w:sz w:val="20"/>
          <w:szCs w:val="20"/>
        </w:rPr>
        <w:t xml:space="preserve"> </w:t>
      </w:r>
      <w:r>
        <w:rPr>
          <w:color w:val="57585A"/>
          <w:spacing w:val="-11"/>
          <w:sz w:val="20"/>
          <w:szCs w:val="20"/>
        </w:rPr>
        <w:t>years of</w:t>
      </w:r>
      <w:r>
        <w:rPr>
          <w:color w:val="57585A"/>
          <w:spacing w:val="-15"/>
          <w:sz w:val="20"/>
          <w:szCs w:val="20"/>
        </w:rPr>
        <w:t xml:space="preserve"> </w:t>
      </w:r>
      <w:r>
        <w:rPr>
          <w:color w:val="57585A"/>
          <w:spacing w:val="-11"/>
          <w:sz w:val="20"/>
          <w:szCs w:val="20"/>
        </w:rPr>
        <w:t>closure. This pipeline connects Neuquen</w:t>
      </w:r>
      <w:r>
        <w:rPr>
          <w:color w:val="57585A"/>
          <w:sz w:val="20"/>
          <w:szCs w:val="20"/>
        </w:rPr>
        <w:t xml:space="preserve"> </w:t>
      </w:r>
      <w:r>
        <w:rPr>
          <w:color w:val="57585A"/>
          <w:spacing w:val="-10"/>
          <w:sz w:val="20"/>
          <w:szCs w:val="20"/>
        </w:rPr>
        <w:t xml:space="preserve">with Chile and has a capacity to export 110,000b/d, </w:t>
      </w:r>
      <w:r>
        <w:rPr>
          <w:color w:val="57585A"/>
          <w:spacing w:val="-11"/>
          <w:sz w:val="20"/>
          <w:szCs w:val="20"/>
        </w:rPr>
        <w:t>facilitating oil exports to Chile.</w:t>
      </w:r>
    </w:p>
    <w:p w14:paraId="4DF7B235">
      <w:pPr>
        <w:pStyle w:val="4"/>
        <w:spacing w:before="56" w:line="263" w:lineRule="auto"/>
        <w:ind w:left="613" w:right="1231" w:hanging="256"/>
        <w:rPr>
          <w:sz w:val="20"/>
          <w:szCs w:val="20"/>
        </w:rPr>
      </w:pPr>
      <w:r>
        <w:rPr>
          <w:color w:val="33CCFF"/>
          <w:spacing w:val="-9"/>
          <w:sz w:val="20"/>
          <w:szCs w:val="20"/>
        </w:rPr>
        <w:t xml:space="preserve">•   </w:t>
      </w:r>
      <w:r>
        <w:rPr>
          <w:b/>
          <w:bCs/>
          <w:color w:val="57585A"/>
          <w:spacing w:val="-9"/>
          <w:sz w:val="20"/>
          <w:szCs w:val="20"/>
        </w:rPr>
        <w:t>Vaca Muerta North Pi</w:t>
      </w:r>
      <w:r>
        <w:rPr>
          <w:b/>
          <w:bCs/>
          <w:color w:val="57585A"/>
          <w:spacing w:val="-10"/>
          <w:sz w:val="20"/>
          <w:szCs w:val="20"/>
        </w:rPr>
        <w:t xml:space="preserve">peline: </w:t>
      </w:r>
      <w:r>
        <w:rPr>
          <w:color w:val="57585A"/>
          <w:spacing w:val="-10"/>
          <w:sz w:val="20"/>
          <w:szCs w:val="20"/>
        </w:rPr>
        <w:t>In October 2024, the construction of</w:t>
      </w:r>
      <w:r>
        <w:rPr>
          <w:color w:val="57585A"/>
          <w:spacing w:val="-21"/>
          <w:sz w:val="20"/>
          <w:szCs w:val="20"/>
        </w:rPr>
        <w:t xml:space="preserve"> </w:t>
      </w:r>
      <w:r>
        <w:rPr>
          <w:color w:val="57585A"/>
          <w:spacing w:val="-10"/>
          <w:sz w:val="20"/>
          <w:szCs w:val="20"/>
        </w:rPr>
        <w:t>the USD250mn</w:t>
      </w:r>
      <w:r>
        <w:rPr>
          <w:color w:val="57585A"/>
          <w:spacing w:val="-15"/>
          <w:sz w:val="20"/>
          <w:szCs w:val="20"/>
        </w:rPr>
        <w:t xml:space="preserve"> </w:t>
      </w:r>
      <w:r>
        <w:rPr>
          <w:color w:val="57585A"/>
          <w:spacing w:val="-10"/>
          <w:sz w:val="20"/>
          <w:szCs w:val="20"/>
        </w:rPr>
        <w:t>Vaca Muerta</w:t>
      </w:r>
      <w:r>
        <w:rPr>
          <w:color w:val="57585A"/>
          <w:spacing w:val="1"/>
          <w:sz w:val="20"/>
          <w:szCs w:val="20"/>
        </w:rPr>
        <w:t xml:space="preserve"> </w:t>
      </w:r>
      <w:r>
        <w:rPr>
          <w:color w:val="57585A"/>
          <w:spacing w:val="-10"/>
          <w:sz w:val="20"/>
          <w:szCs w:val="20"/>
        </w:rPr>
        <w:t>North pipeline</w:t>
      </w:r>
      <w:r>
        <w:rPr>
          <w:color w:val="57585A"/>
          <w:spacing w:val="-16"/>
          <w:sz w:val="20"/>
          <w:szCs w:val="20"/>
        </w:rPr>
        <w:t xml:space="preserve"> </w:t>
      </w:r>
      <w:r>
        <w:rPr>
          <w:color w:val="57585A"/>
          <w:spacing w:val="-10"/>
          <w:sz w:val="20"/>
          <w:szCs w:val="20"/>
        </w:rPr>
        <w:t>was</w:t>
      </w:r>
      <w:r>
        <w:rPr>
          <w:color w:val="57585A"/>
          <w:sz w:val="20"/>
          <w:szCs w:val="20"/>
        </w:rPr>
        <w:t xml:space="preserve"> </w:t>
      </w:r>
      <w:r>
        <w:rPr>
          <w:color w:val="57585A"/>
          <w:spacing w:val="-10"/>
          <w:sz w:val="20"/>
          <w:szCs w:val="20"/>
        </w:rPr>
        <w:t>completed,</w:t>
      </w:r>
      <w:r>
        <w:rPr>
          <w:color w:val="57585A"/>
          <w:spacing w:val="-5"/>
          <w:sz w:val="20"/>
          <w:szCs w:val="20"/>
        </w:rPr>
        <w:t xml:space="preserve"> </w:t>
      </w:r>
      <w:r>
        <w:rPr>
          <w:color w:val="57585A"/>
          <w:spacing w:val="-10"/>
          <w:sz w:val="20"/>
          <w:szCs w:val="20"/>
        </w:rPr>
        <w:t>with a capacity of 160,000b/d, thereby increasing the export utilisation rates ofthe</w:t>
      </w:r>
      <w:r>
        <w:rPr>
          <w:color w:val="57585A"/>
          <w:spacing w:val="-15"/>
          <w:sz w:val="20"/>
          <w:szCs w:val="20"/>
        </w:rPr>
        <w:t xml:space="preserve"> </w:t>
      </w:r>
      <w:r>
        <w:rPr>
          <w:color w:val="57585A"/>
          <w:spacing w:val="-10"/>
          <w:sz w:val="20"/>
          <w:szCs w:val="20"/>
        </w:rPr>
        <w:t>Trasandino pipeline.</w:t>
      </w:r>
    </w:p>
    <w:p w14:paraId="0D909822">
      <w:pPr>
        <w:pStyle w:val="4"/>
        <w:spacing w:before="56" w:line="241" w:lineRule="auto"/>
        <w:ind w:left="357"/>
        <w:rPr>
          <w:sz w:val="20"/>
          <w:szCs w:val="20"/>
        </w:rPr>
      </w:pPr>
      <w:r>
        <w:rPr>
          <w:color w:val="33CCFF"/>
          <w:spacing w:val="-11"/>
          <w:sz w:val="20"/>
          <w:szCs w:val="20"/>
        </w:rPr>
        <w:t xml:space="preserve">•   </w:t>
      </w:r>
      <w:r>
        <w:rPr>
          <w:b/>
          <w:bCs/>
          <w:color w:val="57585A"/>
          <w:spacing w:val="-11"/>
          <w:sz w:val="20"/>
          <w:szCs w:val="20"/>
        </w:rPr>
        <w:t xml:space="preserve">Oldelval Pipeline: </w:t>
      </w:r>
      <w:r>
        <w:rPr>
          <w:color w:val="57585A"/>
          <w:spacing w:val="-11"/>
          <w:sz w:val="20"/>
          <w:szCs w:val="20"/>
        </w:rPr>
        <w:t>The Oldelval pipeline system (Oleoductos del Valle) has recently been expanded to 225,000b/d and</w:t>
      </w:r>
    </w:p>
    <w:p w14:paraId="292F64B6">
      <w:pPr>
        <w:pStyle w:val="4"/>
        <w:spacing w:before="52" w:line="231" w:lineRule="auto"/>
        <w:ind w:left="613"/>
        <w:rPr>
          <w:sz w:val="20"/>
          <w:szCs w:val="20"/>
        </w:rPr>
      </w:pPr>
      <w:r>
        <w:rPr>
          <w:color w:val="57585A"/>
          <w:spacing w:val="-10"/>
          <w:sz w:val="20"/>
          <w:szCs w:val="20"/>
        </w:rPr>
        <w:t>300,000b/d in 2023, to 377,000b/d end-2024, and total capacity of 540,000b/d in 2025 (the final expansion reportedly came</w:t>
      </w:r>
    </w:p>
    <w:p w14:paraId="4B74E6A4">
      <w:pPr>
        <w:pStyle w:val="4"/>
        <w:spacing w:before="58" w:line="262" w:lineRule="auto"/>
        <w:ind w:left="616" w:right="395" w:hanging="2"/>
        <w:rPr>
          <w:sz w:val="20"/>
          <w:szCs w:val="20"/>
        </w:rPr>
      </w:pPr>
      <w:r>
        <w:rPr>
          <w:color w:val="57585A"/>
          <w:spacing w:val="-10"/>
          <w:sz w:val="20"/>
          <w:szCs w:val="20"/>
        </w:rPr>
        <w:t>online in</w:t>
      </w:r>
      <w:r>
        <w:rPr>
          <w:color w:val="57585A"/>
          <w:spacing w:val="-16"/>
          <w:sz w:val="20"/>
          <w:szCs w:val="20"/>
        </w:rPr>
        <w:t xml:space="preserve"> </w:t>
      </w:r>
      <w:r>
        <w:rPr>
          <w:color w:val="57585A"/>
          <w:spacing w:val="-10"/>
          <w:sz w:val="20"/>
          <w:szCs w:val="20"/>
        </w:rPr>
        <w:t>April 2025 boosting total capacity to</w:t>
      </w:r>
      <w:r>
        <w:rPr>
          <w:color w:val="57585A"/>
          <w:spacing w:val="-11"/>
          <w:sz w:val="20"/>
          <w:szCs w:val="20"/>
        </w:rPr>
        <w:t xml:space="preserve"> 540,000b/d). This pipeline connects Vaca Muerta</w:t>
      </w:r>
      <w:r>
        <w:rPr>
          <w:color w:val="57585A"/>
          <w:spacing w:val="-15"/>
          <w:sz w:val="20"/>
          <w:szCs w:val="20"/>
        </w:rPr>
        <w:t xml:space="preserve"> </w:t>
      </w:r>
      <w:r>
        <w:rPr>
          <w:color w:val="57585A"/>
          <w:spacing w:val="-11"/>
          <w:sz w:val="20"/>
          <w:szCs w:val="20"/>
        </w:rPr>
        <w:t>with the Port of Rosales terminal</w:t>
      </w:r>
      <w:r>
        <w:rPr>
          <w:color w:val="57585A"/>
          <w:sz w:val="20"/>
          <w:szCs w:val="20"/>
        </w:rPr>
        <w:t xml:space="preserve"> </w:t>
      </w:r>
      <w:r>
        <w:rPr>
          <w:color w:val="57585A"/>
          <w:spacing w:val="-12"/>
          <w:sz w:val="20"/>
          <w:szCs w:val="20"/>
        </w:rPr>
        <w:t>in Bahia Blanca in the Buenos Aires province. The expansion will allow significant increases in deliveries to the export terminal</w:t>
      </w:r>
    </w:p>
    <w:p w14:paraId="3460F280">
      <w:pPr>
        <w:pStyle w:val="4"/>
        <w:spacing w:before="59" w:line="231" w:lineRule="auto"/>
        <w:ind w:left="608"/>
        <w:rPr>
          <w:sz w:val="20"/>
          <w:szCs w:val="20"/>
        </w:rPr>
      </w:pPr>
      <w:r>
        <w:rPr>
          <w:color w:val="57585A"/>
          <w:spacing w:val="-10"/>
          <w:sz w:val="20"/>
          <w:szCs w:val="20"/>
        </w:rPr>
        <w:t xml:space="preserve">from 2025 to 2027 and is expected to result in substantial increases in oil output in the </w:t>
      </w:r>
      <w:r>
        <w:rPr>
          <w:color w:val="57585A"/>
          <w:spacing w:val="-11"/>
          <w:sz w:val="20"/>
          <w:szCs w:val="20"/>
        </w:rPr>
        <w:t>coming quarters.</w:t>
      </w:r>
    </w:p>
    <w:p w14:paraId="0E620300">
      <w:pPr>
        <w:pStyle w:val="4"/>
        <w:spacing w:before="55" w:line="241" w:lineRule="auto"/>
        <w:ind w:left="357"/>
        <w:rPr>
          <w:sz w:val="20"/>
          <w:szCs w:val="20"/>
        </w:rPr>
      </w:pPr>
      <w:r>
        <w:rPr>
          <w:color w:val="33CCFF"/>
          <w:spacing w:val="-10"/>
          <w:sz w:val="20"/>
          <w:szCs w:val="20"/>
        </w:rPr>
        <w:t xml:space="preserve">•   </w:t>
      </w:r>
      <w:r>
        <w:rPr>
          <w:b/>
          <w:bCs/>
          <w:color w:val="57585A"/>
          <w:spacing w:val="-10"/>
          <w:sz w:val="20"/>
          <w:szCs w:val="20"/>
        </w:rPr>
        <w:t>Vaca Muerta South Pipeline:</w:t>
      </w:r>
      <w:r>
        <w:rPr>
          <w:b/>
          <w:bCs/>
          <w:color w:val="57585A"/>
          <w:spacing w:val="-15"/>
          <w:sz w:val="20"/>
          <w:szCs w:val="20"/>
        </w:rPr>
        <w:t xml:space="preserve"> </w:t>
      </w:r>
      <w:r>
        <w:rPr>
          <w:color w:val="57585A"/>
          <w:spacing w:val="-10"/>
          <w:sz w:val="20"/>
          <w:szCs w:val="20"/>
        </w:rPr>
        <w:t>A USD2.5bn project connecting Vaca Muerta to a new oil ex</w:t>
      </w:r>
      <w:r>
        <w:rPr>
          <w:color w:val="57585A"/>
          <w:spacing w:val="-11"/>
          <w:sz w:val="20"/>
          <w:szCs w:val="20"/>
        </w:rPr>
        <w:t>port terminal in the Gulf</w:t>
      </w:r>
      <w:r>
        <w:rPr>
          <w:color w:val="57585A"/>
          <w:spacing w:val="-15"/>
          <w:sz w:val="20"/>
          <w:szCs w:val="20"/>
        </w:rPr>
        <w:t xml:space="preserve"> </w:t>
      </w:r>
      <w:r>
        <w:rPr>
          <w:color w:val="57585A"/>
          <w:spacing w:val="-11"/>
          <w:sz w:val="20"/>
          <w:szCs w:val="20"/>
        </w:rPr>
        <w:t>of</w:t>
      </w:r>
      <w:r>
        <w:rPr>
          <w:color w:val="57585A"/>
          <w:spacing w:val="-19"/>
          <w:sz w:val="20"/>
          <w:szCs w:val="20"/>
        </w:rPr>
        <w:t xml:space="preserve"> </w:t>
      </w:r>
      <w:r>
        <w:rPr>
          <w:color w:val="57585A"/>
          <w:spacing w:val="-11"/>
          <w:sz w:val="20"/>
          <w:szCs w:val="20"/>
        </w:rPr>
        <w:t>San</w:t>
      </w:r>
    </w:p>
    <w:p w14:paraId="3E32E043">
      <w:pPr>
        <w:pStyle w:val="4"/>
        <w:spacing w:before="52" w:line="231" w:lineRule="auto"/>
        <w:ind w:left="621"/>
        <w:rPr>
          <w:sz w:val="20"/>
          <w:szCs w:val="20"/>
        </w:rPr>
      </w:pPr>
      <w:r>
        <w:rPr>
          <w:color w:val="57585A"/>
          <w:spacing w:val="-12"/>
          <w:sz w:val="20"/>
          <w:szCs w:val="20"/>
        </w:rPr>
        <w:t>Matias in the Rio Negro Province, reportedly planned for construction (the Punta Colorada Terminal), is expected to have a</w:t>
      </w:r>
    </w:p>
    <w:p w14:paraId="4364CE4F">
      <w:pPr>
        <w:pStyle w:val="4"/>
        <w:spacing w:before="58" w:line="262" w:lineRule="auto"/>
        <w:ind w:left="614" w:right="626"/>
        <w:rPr>
          <w:sz w:val="20"/>
          <w:szCs w:val="20"/>
        </w:rPr>
      </w:pPr>
      <w:r>
        <w:rPr>
          <w:color w:val="57585A"/>
          <w:spacing w:val="-9"/>
          <w:sz w:val="20"/>
          <w:szCs w:val="20"/>
        </w:rPr>
        <w:t>capacity of</w:t>
      </w:r>
      <w:r>
        <w:rPr>
          <w:color w:val="57585A"/>
          <w:spacing w:val="-16"/>
          <w:sz w:val="20"/>
          <w:szCs w:val="20"/>
        </w:rPr>
        <w:t xml:space="preserve"> </w:t>
      </w:r>
      <w:r>
        <w:rPr>
          <w:color w:val="57585A"/>
          <w:spacing w:val="-9"/>
          <w:sz w:val="20"/>
          <w:szCs w:val="20"/>
        </w:rPr>
        <w:t>about 550,000b/d by 2028.</w:t>
      </w:r>
      <w:r>
        <w:rPr>
          <w:color w:val="57585A"/>
          <w:spacing w:val="-15"/>
          <w:sz w:val="20"/>
          <w:szCs w:val="20"/>
        </w:rPr>
        <w:t xml:space="preserve"> </w:t>
      </w:r>
      <w:r>
        <w:rPr>
          <w:color w:val="57585A"/>
          <w:spacing w:val="-9"/>
          <w:sz w:val="20"/>
          <w:szCs w:val="20"/>
        </w:rPr>
        <w:t>This project should contribute to the country’s l</w:t>
      </w:r>
      <w:r>
        <w:rPr>
          <w:color w:val="57585A"/>
          <w:spacing w:val="-10"/>
          <w:sz w:val="20"/>
          <w:szCs w:val="20"/>
        </w:rPr>
        <w:t>ong-term plans to boost oil output to</w:t>
      </w:r>
      <w:r>
        <w:rPr>
          <w:color w:val="57585A"/>
          <w:sz w:val="20"/>
          <w:szCs w:val="20"/>
        </w:rPr>
        <w:t xml:space="preserve"> </w:t>
      </w:r>
      <w:r>
        <w:rPr>
          <w:color w:val="57585A"/>
          <w:spacing w:val="-11"/>
          <w:sz w:val="20"/>
          <w:szCs w:val="20"/>
        </w:rPr>
        <w:t>over 1.0mn b/d by 2030, given that the the Oldelval pipeline capacity (even after expansion)</w:t>
      </w:r>
      <w:r>
        <w:rPr>
          <w:color w:val="57585A"/>
          <w:spacing w:val="-15"/>
          <w:sz w:val="20"/>
          <w:szCs w:val="20"/>
        </w:rPr>
        <w:t xml:space="preserve"> </w:t>
      </w:r>
      <w:r>
        <w:rPr>
          <w:color w:val="57585A"/>
          <w:spacing w:val="-11"/>
          <w:sz w:val="20"/>
          <w:szCs w:val="20"/>
        </w:rPr>
        <w:t xml:space="preserve">will likely be close to </w:t>
      </w:r>
      <w:r>
        <w:rPr>
          <w:color w:val="57585A"/>
          <w:spacing w:val="-12"/>
          <w:sz w:val="20"/>
          <w:szCs w:val="20"/>
        </w:rPr>
        <w:t>saturated by</w:t>
      </w:r>
    </w:p>
    <w:p w14:paraId="40D126FC">
      <w:pPr>
        <w:pStyle w:val="4"/>
        <w:spacing w:before="59" w:line="231" w:lineRule="auto"/>
        <w:ind w:left="616"/>
        <w:rPr>
          <w:sz w:val="20"/>
          <w:szCs w:val="20"/>
        </w:rPr>
      </w:pPr>
      <w:r>
        <w:rPr>
          <w:color w:val="57585A"/>
          <w:spacing w:val="-9"/>
          <w:sz w:val="20"/>
          <w:szCs w:val="20"/>
        </w:rPr>
        <w:t>2027 or 2028 at current production grow</w:t>
      </w:r>
      <w:r>
        <w:rPr>
          <w:color w:val="57585A"/>
          <w:spacing w:val="-10"/>
          <w:sz w:val="20"/>
          <w:szCs w:val="20"/>
        </w:rPr>
        <w:t>th rates.</w:t>
      </w:r>
    </w:p>
    <w:p w14:paraId="3B07FD03">
      <w:pPr>
        <w:pStyle w:val="4"/>
        <w:spacing w:before="59" w:line="279" w:lineRule="auto"/>
        <w:ind w:left="620" w:right="510" w:hanging="263"/>
        <w:rPr>
          <w:sz w:val="20"/>
          <w:szCs w:val="20"/>
        </w:rPr>
      </w:pPr>
      <w:r>
        <w:rPr>
          <w:color w:val="33CCFF"/>
          <w:spacing w:val="-12"/>
          <w:sz w:val="20"/>
          <w:szCs w:val="20"/>
        </w:rPr>
        <w:t xml:space="preserve">•   </w:t>
      </w:r>
      <w:r>
        <w:rPr>
          <w:b/>
          <w:bCs/>
          <w:color w:val="57585A"/>
          <w:spacing w:val="-12"/>
          <w:sz w:val="20"/>
          <w:szCs w:val="20"/>
        </w:rPr>
        <w:t>Two</w:t>
      </w:r>
      <w:r>
        <w:rPr>
          <w:b/>
          <w:bCs/>
          <w:color w:val="57585A"/>
          <w:spacing w:val="-15"/>
          <w:sz w:val="20"/>
          <w:szCs w:val="20"/>
        </w:rPr>
        <w:t xml:space="preserve"> </w:t>
      </w:r>
      <w:r>
        <w:rPr>
          <w:b/>
          <w:bCs/>
          <w:color w:val="57585A"/>
          <w:spacing w:val="-12"/>
          <w:sz w:val="20"/>
          <w:szCs w:val="20"/>
        </w:rPr>
        <w:t xml:space="preserve">YPF Oil Pipelines: </w:t>
      </w:r>
      <w:r>
        <w:rPr>
          <w:color w:val="57585A"/>
          <w:spacing w:val="-12"/>
          <w:sz w:val="20"/>
          <w:szCs w:val="20"/>
        </w:rPr>
        <w:t>These two existing pipelines are owned by</w:t>
      </w:r>
      <w:r>
        <w:rPr>
          <w:color w:val="57585A"/>
          <w:spacing w:val="-16"/>
          <w:sz w:val="20"/>
          <w:szCs w:val="20"/>
        </w:rPr>
        <w:t xml:space="preserve"> </w:t>
      </w:r>
      <w:r>
        <w:rPr>
          <w:color w:val="57585A"/>
          <w:spacing w:val="-12"/>
          <w:sz w:val="20"/>
          <w:szCs w:val="20"/>
        </w:rPr>
        <w:t>YPF and supply oil to refineries. One</w:t>
      </w:r>
      <w:r>
        <w:rPr>
          <w:color w:val="57585A"/>
          <w:spacing w:val="-15"/>
          <w:sz w:val="20"/>
          <w:szCs w:val="20"/>
        </w:rPr>
        <w:t xml:space="preserve"> </w:t>
      </w:r>
      <w:r>
        <w:rPr>
          <w:color w:val="57585A"/>
          <w:spacing w:val="-12"/>
          <w:sz w:val="20"/>
          <w:szCs w:val="20"/>
        </w:rPr>
        <w:t>YPF pipeline run</w:t>
      </w:r>
      <w:r>
        <w:rPr>
          <w:color w:val="57585A"/>
          <w:spacing w:val="-13"/>
          <w:sz w:val="20"/>
          <w:szCs w:val="20"/>
        </w:rPr>
        <w:t>s from</w:t>
      </w:r>
      <w:r>
        <w:rPr>
          <w:color w:val="57585A"/>
          <w:sz w:val="20"/>
          <w:szCs w:val="20"/>
        </w:rPr>
        <w:t xml:space="preserve"> </w:t>
      </w:r>
      <w:r>
        <w:rPr>
          <w:color w:val="57585A"/>
          <w:spacing w:val="-12"/>
          <w:sz w:val="20"/>
          <w:szCs w:val="20"/>
        </w:rPr>
        <w:t>Puerto Rosales to the La Plata refinery near Buen</w:t>
      </w:r>
      <w:r>
        <w:rPr>
          <w:color w:val="57585A"/>
          <w:spacing w:val="-13"/>
          <w:sz w:val="20"/>
          <w:szCs w:val="20"/>
        </w:rPr>
        <w:t>os Aires, and another from Puerto Hernandez near Vaca</w:t>
      </w:r>
      <w:r>
        <w:rPr>
          <w:color w:val="57585A"/>
          <w:sz w:val="20"/>
          <w:szCs w:val="20"/>
        </w:rPr>
        <w:t xml:space="preserve"> </w:t>
      </w:r>
      <w:r>
        <w:rPr>
          <w:color w:val="57585A"/>
          <w:spacing w:val="-13"/>
          <w:sz w:val="20"/>
          <w:szCs w:val="20"/>
        </w:rPr>
        <w:t>Muerta</w:t>
      </w:r>
      <w:r>
        <w:rPr>
          <w:color w:val="57585A"/>
          <w:spacing w:val="1"/>
          <w:sz w:val="20"/>
          <w:szCs w:val="20"/>
        </w:rPr>
        <w:t xml:space="preserve"> </w:t>
      </w:r>
      <w:r>
        <w:rPr>
          <w:color w:val="57585A"/>
          <w:spacing w:val="-13"/>
          <w:sz w:val="20"/>
          <w:szCs w:val="20"/>
        </w:rPr>
        <w:t>North to the</w:t>
      </w:r>
      <w:r>
        <w:rPr>
          <w:color w:val="57585A"/>
          <w:sz w:val="20"/>
          <w:szCs w:val="20"/>
        </w:rPr>
        <w:t xml:space="preserve"> </w:t>
      </w:r>
      <w:r>
        <w:rPr>
          <w:color w:val="57585A"/>
          <w:spacing w:val="-12"/>
          <w:sz w:val="20"/>
          <w:szCs w:val="20"/>
        </w:rPr>
        <w:t>Lujan de Cuyo refinery in the Mendoza region.</w:t>
      </w:r>
    </w:p>
    <w:p w14:paraId="00F34B92">
      <w:pPr>
        <w:pStyle w:val="4"/>
        <w:spacing w:line="263" w:lineRule="auto"/>
      </w:pPr>
    </w:p>
    <w:p w14:paraId="77D447BB">
      <w:pPr>
        <w:pStyle w:val="4"/>
        <w:spacing w:before="57" w:line="241" w:lineRule="auto"/>
        <w:ind w:left="375"/>
        <w:rPr>
          <w:sz w:val="20"/>
          <w:szCs w:val="20"/>
        </w:rPr>
      </w:pPr>
      <w:r>
        <w:rPr>
          <w:b/>
          <w:bCs/>
          <w:color w:val="57585A"/>
          <w:spacing w:val="-10"/>
          <w:sz w:val="20"/>
          <w:szCs w:val="20"/>
        </w:rPr>
        <w:t>Bullish Outlook Going</w:t>
      </w:r>
      <w:r>
        <w:rPr>
          <w:b/>
          <w:bCs/>
          <w:color w:val="57585A"/>
          <w:spacing w:val="-11"/>
          <w:sz w:val="20"/>
          <w:szCs w:val="20"/>
        </w:rPr>
        <w:t xml:space="preserve"> Forward</w:t>
      </w:r>
    </w:p>
    <w:p w14:paraId="4B4621DE">
      <w:pPr>
        <w:pStyle w:val="4"/>
        <w:spacing w:line="281" w:lineRule="auto"/>
      </w:pPr>
    </w:p>
    <w:p w14:paraId="3C7C9935">
      <w:pPr>
        <w:pStyle w:val="4"/>
        <w:spacing w:before="58" w:line="273" w:lineRule="auto"/>
        <w:ind w:left="369" w:right="428"/>
        <w:rPr>
          <w:sz w:val="20"/>
          <w:szCs w:val="20"/>
        </w:rPr>
      </w:pPr>
      <w:r>
        <w:rPr>
          <w:color w:val="57585A"/>
          <w:spacing w:val="-10"/>
          <w:sz w:val="20"/>
          <w:szCs w:val="20"/>
        </w:rPr>
        <w:t>Our medium-term outlook to 2029 is bullish,</w:t>
      </w:r>
      <w:r>
        <w:rPr>
          <w:color w:val="57585A"/>
          <w:spacing w:val="-16"/>
          <w:sz w:val="20"/>
          <w:szCs w:val="20"/>
        </w:rPr>
        <w:t xml:space="preserve"> </w:t>
      </w:r>
      <w:r>
        <w:rPr>
          <w:color w:val="57585A"/>
          <w:spacing w:val="-10"/>
          <w:sz w:val="20"/>
          <w:szCs w:val="20"/>
        </w:rPr>
        <w:t>with our forecasts indicating an average</w:t>
      </w:r>
      <w:r>
        <w:rPr>
          <w:color w:val="57585A"/>
          <w:spacing w:val="-15"/>
          <w:sz w:val="20"/>
          <w:szCs w:val="20"/>
        </w:rPr>
        <w:t xml:space="preserve"> </w:t>
      </w:r>
      <w:r>
        <w:rPr>
          <w:color w:val="57585A"/>
          <w:spacing w:val="-10"/>
          <w:sz w:val="20"/>
          <w:szCs w:val="20"/>
        </w:rPr>
        <w:t>y-o-y growth in oil output of</w:t>
      </w:r>
      <w:r>
        <w:rPr>
          <w:color w:val="57585A"/>
          <w:spacing w:val="-17"/>
          <w:sz w:val="20"/>
          <w:szCs w:val="20"/>
        </w:rPr>
        <w:t xml:space="preserve"> </w:t>
      </w:r>
      <w:r>
        <w:rPr>
          <w:color w:val="57585A"/>
          <w:spacing w:val="-10"/>
          <w:sz w:val="20"/>
          <w:szCs w:val="20"/>
        </w:rPr>
        <w:t>a</w:t>
      </w:r>
      <w:r>
        <w:rPr>
          <w:color w:val="57585A"/>
          <w:spacing w:val="-11"/>
          <w:sz w:val="20"/>
          <w:szCs w:val="20"/>
        </w:rPr>
        <w:t>bout 5.0%</w:t>
      </w:r>
      <w:r>
        <w:rPr>
          <w:color w:val="57585A"/>
          <w:spacing w:val="-15"/>
          <w:sz w:val="20"/>
          <w:szCs w:val="20"/>
        </w:rPr>
        <w:t xml:space="preserve"> </w:t>
      </w:r>
      <w:r>
        <w:rPr>
          <w:color w:val="57585A"/>
          <w:spacing w:val="-11"/>
          <w:sz w:val="20"/>
          <w:szCs w:val="20"/>
        </w:rPr>
        <w:t>y-o-y</w:t>
      </w:r>
      <w:r>
        <w:rPr>
          <w:color w:val="57585A"/>
          <w:sz w:val="20"/>
          <w:szCs w:val="20"/>
        </w:rPr>
        <w:t xml:space="preserve"> </w:t>
      </w:r>
      <w:r>
        <w:rPr>
          <w:color w:val="57585A"/>
          <w:spacing w:val="-10"/>
          <w:sz w:val="20"/>
          <w:szCs w:val="20"/>
        </w:rPr>
        <w:t>over the 2025-2029 period, boosting oil production from 706,000b/d in 2024 to a forecasted 896,000b/d in 2029.</w:t>
      </w:r>
      <w:r>
        <w:rPr>
          <w:color w:val="57585A"/>
          <w:spacing w:val="2"/>
          <w:sz w:val="20"/>
          <w:szCs w:val="20"/>
        </w:rPr>
        <w:t xml:space="preserve"> </w:t>
      </w:r>
      <w:r>
        <w:rPr>
          <w:color w:val="57585A"/>
          <w:spacing w:val="-10"/>
          <w:sz w:val="20"/>
          <w:szCs w:val="20"/>
        </w:rPr>
        <w:t>This is an</w:t>
      </w:r>
    </w:p>
    <w:p w14:paraId="43EAF372">
      <w:pPr>
        <w:pStyle w:val="4"/>
        <w:spacing w:before="37" w:line="231" w:lineRule="auto"/>
        <w:ind w:left="371"/>
        <w:rPr>
          <w:sz w:val="20"/>
          <w:szCs w:val="20"/>
        </w:rPr>
      </w:pPr>
      <w:r>
        <w:rPr>
          <w:color w:val="57585A"/>
          <w:spacing w:val="-10"/>
          <w:sz w:val="20"/>
          <w:szCs w:val="20"/>
        </w:rPr>
        <w:t>increase this quarter on our previous forecasts on the back of</w:t>
      </w:r>
      <w:r>
        <w:rPr>
          <w:color w:val="57585A"/>
          <w:spacing w:val="-18"/>
          <w:sz w:val="20"/>
          <w:szCs w:val="20"/>
        </w:rPr>
        <w:t xml:space="preserve"> </w:t>
      </w:r>
      <w:r>
        <w:rPr>
          <w:color w:val="57585A"/>
          <w:spacing w:val="-10"/>
          <w:sz w:val="20"/>
          <w:szCs w:val="20"/>
        </w:rPr>
        <w:t>successful oil pipe</w:t>
      </w:r>
      <w:r>
        <w:rPr>
          <w:color w:val="57585A"/>
          <w:spacing w:val="-11"/>
          <w:sz w:val="20"/>
          <w:szCs w:val="20"/>
        </w:rPr>
        <w:t>line transport infrastructure growth. The output</w:t>
      </w:r>
    </w:p>
    <w:p w14:paraId="54CAB174">
      <w:pPr>
        <w:pStyle w:val="4"/>
        <w:spacing w:before="58" w:line="231" w:lineRule="auto"/>
        <w:ind w:left="367"/>
        <w:rPr>
          <w:sz w:val="20"/>
          <w:szCs w:val="20"/>
        </w:rPr>
      </w:pPr>
      <w:r>
        <w:rPr>
          <w:color w:val="57585A"/>
          <w:spacing w:val="-10"/>
          <w:sz w:val="20"/>
          <w:szCs w:val="20"/>
        </w:rPr>
        <w:t>growth</w:t>
      </w:r>
      <w:r>
        <w:rPr>
          <w:color w:val="57585A"/>
          <w:spacing w:val="-16"/>
          <w:sz w:val="20"/>
          <w:szCs w:val="20"/>
        </w:rPr>
        <w:t xml:space="preserve"> </w:t>
      </w:r>
      <w:r>
        <w:rPr>
          <w:color w:val="57585A"/>
          <w:spacing w:val="-10"/>
          <w:sz w:val="20"/>
          <w:szCs w:val="20"/>
        </w:rPr>
        <w:t>will be driven by shale oil projects,</w:t>
      </w:r>
      <w:r>
        <w:rPr>
          <w:color w:val="57585A"/>
          <w:spacing w:val="-15"/>
          <w:sz w:val="20"/>
          <w:szCs w:val="20"/>
        </w:rPr>
        <w:t xml:space="preserve"> </w:t>
      </w:r>
      <w:r>
        <w:rPr>
          <w:color w:val="57585A"/>
          <w:spacing w:val="-10"/>
          <w:sz w:val="20"/>
          <w:szCs w:val="20"/>
        </w:rPr>
        <w:t>which</w:t>
      </w:r>
      <w:r>
        <w:rPr>
          <w:color w:val="57585A"/>
          <w:spacing w:val="-16"/>
          <w:sz w:val="20"/>
          <w:szCs w:val="20"/>
        </w:rPr>
        <w:t xml:space="preserve"> </w:t>
      </w:r>
      <w:r>
        <w:rPr>
          <w:color w:val="57585A"/>
          <w:spacing w:val="-10"/>
          <w:sz w:val="20"/>
          <w:szCs w:val="20"/>
        </w:rPr>
        <w:t>will benefit from further infrastruc</w:t>
      </w:r>
      <w:r>
        <w:rPr>
          <w:color w:val="57585A"/>
          <w:spacing w:val="-11"/>
          <w:sz w:val="20"/>
          <w:szCs w:val="20"/>
        </w:rPr>
        <w:t>ture expansions. Our forecast anticipates</w:t>
      </w:r>
    </w:p>
    <w:p w14:paraId="27F98DA4">
      <w:pPr>
        <w:pStyle w:val="4"/>
        <w:spacing w:before="59" w:line="231" w:lineRule="auto"/>
        <w:ind w:left="367"/>
        <w:rPr>
          <w:sz w:val="20"/>
          <w:szCs w:val="20"/>
        </w:rPr>
      </w:pPr>
      <w:r>
        <w:rPr>
          <w:color w:val="57585A"/>
          <w:spacing w:val="-11"/>
          <w:sz w:val="20"/>
          <w:szCs w:val="20"/>
        </w:rPr>
        <w:t>additional expansion of</w:t>
      </w:r>
      <w:r>
        <w:rPr>
          <w:color w:val="57585A"/>
          <w:spacing w:val="-21"/>
          <w:sz w:val="20"/>
          <w:szCs w:val="20"/>
        </w:rPr>
        <w:t xml:space="preserve"> </w:t>
      </w:r>
      <w:r>
        <w:rPr>
          <w:color w:val="57585A"/>
          <w:spacing w:val="-11"/>
          <w:sz w:val="20"/>
          <w:szCs w:val="20"/>
        </w:rPr>
        <w:t>the midstream inf</w:t>
      </w:r>
      <w:r>
        <w:rPr>
          <w:color w:val="57585A"/>
          <w:spacing w:val="-12"/>
          <w:sz w:val="20"/>
          <w:szCs w:val="20"/>
        </w:rPr>
        <w:t>rastructure from Vaca Muerta, as already announced by the Oldelval consortium and</w:t>
      </w:r>
      <w:r>
        <w:rPr>
          <w:color w:val="57585A"/>
          <w:spacing w:val="-16"/>
          <w:sz w:val="20"/>
          <w:szCs w:val="20"/>
        </w:rPr>
        <w:t xml:space="preserve"> </w:t>
      </w:r>
      <w:r>
        <w:rPr>
          <w:color w:val="57585A"/>
          <w:spacing w:val="-12"/>
          <w:sz w:val="20"/>
          <w:szCs w:val="20"/>
        </w:rPr>
        <w:t>YPF.</w:t>
      </w:r>
    </w:p>
    <w:p w14:paraId="098AD7B7">
      <w:pPr>
        <w:pStyle w:val="4"/>
        <w:spacing w:line="288" w:lineRule="auto"/>
      </w:pPr>
    </w:p>
    <w:p w14:paraId="45DCA7F8">
      <w:pPr>
        <w:pStyle w:val="4"/>
        <w:spacing w:before="58" w:line="279" w:lineRule="auto"/>
        <w:ind w:left="369" w:right="452" w:hanging="8"/>
        <w:rPr>
          <w:sz w:val="20"/>
          <w:szCs w:val="20"/>
        </w:rPr>
      </w:pPr>
      <w:r>
        <w:rPr>
          <w:color w:val="57585A"/>
          <w:spacing w:val="-11"/>
          <w:sz w:val="20"/>
          <w:szCs w:val="20"/>
        </w:rPr>
        <w:t>We recognise that our forecasts remain on the conservative side, notably</w:t>
      </w:r>
      <w:r>
        <w:rPr>
          <w:color w:val="57585A"/>
          <w:spacing w:val="-16"/>
          <w:sz w:val="20"/>
          <w:szCs w:val="20"/>
        </w:rPr>
        <w:t xml:space="preserve"> </w:t>
      </w:r>
      <w:r>
        <w:rPr>
          <w:color w:val="57585A"/>
          <w:spacing w:val="-11"/>
          <w:sz w:val="20"/>
          <w:szCs w:val="20"/>
        </w:rPr>
        <w:t>when compared to official product</w:t>
      </w:r>
      <w:r>
        <w:rPr>
          <w:color w:val="57585A"/>
          <w:spacing w:val="-12"/>
          <w:sz w:val="20"/>
          <w:szCs w:val="20"/>
        </w:rPr>
        <w:t>ion targets by</w:t>
      </w:r>
      <w:r>
        <w:rPr>
          <w:color w:val="57585A"/>
          <w:spacing w:val="-15"/>
          <w:sz w:val="20"/>
          <w:szCs w:val="20"/>
        </w:rPr>
        <w:t xml:space="preserve"> </w:t>
      </w:r>
      <w:r>
        <w:rPr>
          <w:color w:val="57585A"/>
          <w:spacing w:val="-12"/>
          <w:sz w:val="20"/>
          <w:szCs w:val="20"/>
        </w:rPr>
        <w:t>YPF of</w:t>
      </w:r>
      <w:r>
        <w:rPr>
          <w:color w:val="57585A"/>
          <w:sz w:val="20"/>
          <w:szCs w:val="20"/>
        </w:rPr>
        <w:t xml:space="preserve">  </w:t>
      </w:r>
      <w:r>
        <w:rPr>
          <w:color w:val="57585A"/>
          <w:spacing w:val="-9"/>
          <w:sz w:val="20"/>
          <w:szCs w:val="20"/>
        </w:rPr>
        <w:t>output of</w:t>
      </w:r>
      <w:r>
        <w:rPr>
          <w:color w:val="57585A"/>
          <w:spacing w:val="-15"/>
          <w:sz w:val="20"/>
          <w:szCs w:val="20"/>
        </w:rPr>
        <w:t xml:space="preserve"> </w:t>
      </w:r>
      <w:r>
        <w:rPr>
          <w:color w:val="57585A"/>
          <w:spacing w:val="-9"/>
          <w:sz w:val="20"/>
          <w:szCs w:val="20"/>
        </w:rPr>
        <w:t>over 1.0mn b/d by 2030</w:t>
      </w:r>
      <w:r>
        <w:rPr>
          <w:color w:val="57585A"/>
          <w:spacing w:val="-10"/>
          <w:sz w:val="20"/>
          <w:szCs w:val="20"/>
        </w:rPr>
        <w:t>.</w:t>
      </w:r>
      <w:r>
        <w:rPr>
          <w:color w:val="57585A"/>
          <w:spacing w:val="-15"/>
          <w:sz w:val="20"/>
          <w:szCs w:val="20"/>
        </w:rPr>
        <w:t xml:space="preserve"> </w:t>
      </w:r>
      <w:r>
        <w:rPr>
          <w:color w:val="57585A"/>
          <w:spacing w:val="-10"/>
          <w:sz w:val="20"/>
          <w:szCs w:val="20"/>
        </w:rPr>
        <w:t>While there is clear upside risks to our current medium-term production outlook to 2029, much</w:t>
      </w:r>
      <w:r>
        <w:rPr>
          <w:color w:val="57585A"/>
          <w:sz w:val="20"/>
          <w:szCs w:val="20"/>
        </w:rPr>
        <w:t xml:space="preserve"> </w:t>
      </w:r>
      <w:r>
        <w:rPr>
          <w:color w:val="57585A"/>
          <w:spacing w:val="-10"/>
          <w:sz w:val="20"/>
          <w:szCs w:val="20"/>
        </w:rPr>
        <w:t>of</w:t>
      </w:r>
      <w:r>
        <w:rPr>
          <w:color w:val="57585A"/>
          <w:spacing w:val="-21"/>
          <w:sz w:val="20"/>
          <w:szCs w:val="20"/>
        </w:rPr>
        <w:t xml:space="preserve"> </w:t>
      </w:r>
      <w:r>
        <w:rPr>
          <w:color w:val="57585A"/>
          <w:spacing w:val="-10"/>
          <w:sz w:val="20"/>
          <w:szCs w:val="20"/>
        </w:rPr>
        <w:t>this upside risk is dependent on progress being made on midstream projects allowing the tr</w:t>
      </w:r>
      <w:r>
        <w:rPr>
          <w:color w:val="57585A"/>
          <w:spacing w:val="-11"/>
          <w:sz w:val="20"/>
          <w:szCs w:val="20"/>
        </w:rPr>
        <w:t>ansportation of new production</w:t>
      </w:r>
    </w:p>
    <w:p w14:paraId="309022B0">
      <w:pPr>
        <w:pStyle w:val="4"/>
        <w:spacing w:before="37" w:line="273" w:lineRule="auto"/>
        <w:ind w:left="368" w:right="652" w:hanging="9"/>
        <w:rPr>
          <w:sz w:val="20"/>
          <w:szCs w:val="20"/>
        </w:rPr>
      </w:pPr>
      <w:r>
        <w:rPr>
          <w:color w:val="57585A"/>
          <w:spacing w:val="-11"/>
          <w:sz w:val="20"/>
          <w:szCs w:val="20"/>
        </w:rPr>
        <w:t>volumes, in addition to spending commitments from larger producers actually materialising. Our current forecasts assume some</w:t>
      </w:r>
      <w:r>
        <w:rPr>
          <w:color w:val="57585A"/>
          <w:spacing w:val="3"/>
          <w:sz w:val="20"/>
          <w:szCs w:val="20"/>
        </w:rPr>
        <w:t xml:space="preserve"> </w:t>
      </w:r>
      <w:r>
        <w:rPr>
          <w:color w:val="57585A"/>
          <w:spacing w:val="-9"/>
          <w:sz w:val="20"/>
          <w:szCs w:val="20"/>
        </w:rPr>
        <w:t>delays in the completion o</w:t>
      </w:r>
      <w:r>
        <w:rPr>
          <w:color w:val="57585A"/>
          <w:spacing w:val="-10"/>
          <w:sz w:val="20"/>
          <w:szCs w:val="20"/>
        </w:rPr>
        <w:t>f midstream projects,</w:t>
      </w:r>
      <w:r>
        <w:rPr>
          <w:color w:val="57585A"/>
          <w:spacing w:val="-15"/>
          <w:sz w:val="20"/>
          <w:szCs w:val="20"/>
        </w:rPr>
        <w:t xml:space="preserve"> </w:t>
      </w:r>
      <w:r>
        <w:rPr>
          <w:color w:val="57585A"/>
          <w:spacing w:val="-10"/>
          <w:sz w:val="20"/>
          <w:szCs w:val="20"/>
        </w:rPr>
        <w:t>which</w:t>
      </w:r>
      <w:r>
        <w:rPr>
          <w:color w:val="57585A"/>
          <w:spacing w:val="-16"/>
          <w:sz w:val="20"/>
          <w:szCs w:val="20"/>
        </w:rPr>
        <w:t xml:space="preserve"> </w:t>
      </w:r>
      <w:r>
        <w:rPr>
          <w:color w:val="57585A"/>
          <w:spacing w:val="-10"/>
          <w:sz w:val="20"/>
          <w:szCs w:val="20"/>
        </w:rPr>
        <w:t>will postpone the ramp-up of production.</w:t>
      </w:r>
    </w:p>
    <w:p w14:paraId="6E5E1D62">
      <w:pPr>
        <w:pStyle w:val="4"/>
        <w:spacing w:line="266" w:lineRule="auto"/>
      </w:pPr>
    </w:p>
    <w:p w14:paraId="39FA7ED1">
      <w:pPr>
        <w:pStyle w:val="4"/>
        <w:spacing w:before="58" w:line="279" w:lineRule="auto"/>
        <w:ind w:left="363" w:right="554" w:firstLine="12"/>
        <w:jc w:val="both"/>
        <w:rPr>
          <w:sz w:val="20"/>
          <w:szCs w:val="20"/>
        </w:rPr>
      </w:pPr>
      <w:r>
        <w:rPr>
          <w:color w:val="57585A"/>
          <w:spacing w:val="-10"/>
          <w:sz w:val="20"/>
          <w:szCs w:val="20"/>
        </w:rPr>
        <w:t>Notably, the outlook past 2028/2029 is dependent on the co</w:t>
      </w:r>
      <w:r>
        <w:rPr>
          <w:color w:val="57585A"/>
          <w:spacing w:val="-11"/>
          <w:sz w:val="20"/>
          <w:szCs w:val="20"/>
        </w:rPr>
        <w:t>mpletion of</w:t>
      </w:r>
      <w:r>
        <w:rPr>
          <w:color w:val="57585A"/>
          <w:spacing w:val="-21"/>
          <w:sz w:val="20"/>
          <w:szCs w:val="20"/>
        </w:rPr>
        <w:t xml:space="preserve"> </w:t>
      </w:r>
      <w:r>
        <w:rPr>
          <w:color w:val="57585A"/>
          <w:spacing w:val="-11"/>
          <w:sz w:val="20"/>
          <w:szCs w:val="20"/>
        </w:rPr>
        <w:t>the Vaca Muerta Sur pipeline and the Punta Colorada oil</w:t>
      </w:r>
      <w:r>
        <w:rPr>
          <w:color w:val="57585A"/>
          <w:sz w:val="20"/>
          <w:szCs w:val="20"/>
        </w:rPr>
        <w:t xml:space="preserve"> </w:t>
      </w:r>
      <w:r>
        <w:rPr>
          <w:color w:val="57585A"/>
          <w:spacing w:val="-10"/>
          <w:sz w:val="20"/>
          <w:szCs w:val="20"/>
        </w:rPr>
        <w:t>terminal, given the existing oil pipeline infra</w:t>
      </w:r>
      <w:r>
        <w:rPr>
          <w:color w:val="57585A"/>
          <w:spacing w:val="-11"/>
          <w:sz w:val="20"/>
          <w:szCs w:val="20"/>
        </w:rPr>
        <w:t>structure system (including the 2025 expansion of</w:t>
      </w:r>
      <w:r>
        <w:rPr>
          <w:color w:val="57585A"/>
          <w:spacing w:val="-21"/>
          <w:sz w:val="20"/>
          <w:szCs w:val="20"/>
        </w:rPr>
        <w:t xml:space="preserve"> </w:t>
      </w:r>
      <w:r>
        <w:rPr>
          <w:color w:val="57585A"/>
          <w:spacing w:val="-11"/>
          <w:sz w:val="20"/>
          <w:szCs w:val="20"/>
        </w:rPr>
        <w:t>the Odelval pipeline system)</w:t>
      </w:r>
      <w:r>
        <w:rPr>
          <w:color w:val="57585A"/>
          <w:spacing w:val="-16"/>
          <w:sz w:val="20"/>
          <w:szCs w:val="20"/>
        </w:rPr>
        <w:t xml:space="preserve"> </w:t>
      </w:r>
      <w:r>
        <w:rPr>
          <w:color w:val="57585A"/>
          <w:spacing w:val="-11"/>
          <w:sz w:val="20"/>
          <w:szCs w:val="20"/>
        </w:rPr>
        <w:t>will be</w:t>
      </w:r>
      <w:r>
        <w:rPr>
          <w:color w:val="57585A"/>
          <w:sz w:val="20"/>
          <w:szCs w:val="20"/>
        </w:rPr>
        <w:t xml:space="preserve"> </w:t>
      </w:r>
      <w:r>
        <w:rPr>
          <w:color w:val="57585A"/>
          <w:spacing w:val="-10"/>
          <w:sz w:val="20"/>
          <w:szCs w:val="20"/>
        </w:rPr>
        <w:t>near to</w:t>
      </w:r>
      <w:r>
        <w:rPr>
          <w:color w:val="57585A"/>
          <w:spacing w:val="5"/>
          <w:sz w:val="20"/>
          <w:szCs w:val="20"/>
        </w:rPr>
        <w:t xml:space="preserve"> </w:t>
      </w:r>
      <w:r>
        <w:rPr>
          <w:color w:val="57585A"/>
          <w:spacing w:val="-10"/>
          <w:sz w:val="20"/>
          <w:szCs w:val="20"/>
        </w:rPr>
        <w:t>saturated by</w:t>
      </w:r>
      <w:r>
        <w:rPr>
          <w:color w:val="57585A"/>
          <w:spacing w:val="-12"/>
          <w:sz w:val="20"/>
          <w:szCs w:val="20"/>
        </w:rPr>
        <w:t xml:space="preserve"> </w:t>
      </w:r>
      <w:r>
        <w:rPr>
          <w:color w:val="57585A"/>
          <w:spacing w:val="-10"/>
          <w:sz w:val="20"/>
          <w:szCs w:val="20"/>
        </w:rPr>
        <w:t>that</w:t>
      </w:r>
      <w:r>
        <w:rPr>
          <w:color w:val="57585A"/>
          <w:spacing w:val="-13"/>
          <w:sz w:val="20"/>
          <w:szCs w:val="20"/>
        </w:rPr>
        <w:t xml:space="preserve"> </w:t>
      </w:r>
      <w:r>
        <w:rPr>
          <w:color w:val="57585A"/>
          <w:spacing w:val="-10"/>
          <w:sz w:val="20"/>
          <w:szCs w:val="20"/>
        </w:rPr>
        <w:t>time.</w:t>
      </w:r>
    </w:p>
    <w:p w14:paraId="31D60078">
      <w:pPr>
        <w:spacing w:line="279" w:lineRule="auto"/>
        <w:rPr>
          <w:sz w:val="20"/>
          <w:szCs w:val="20"/>
        </w:rPr>
        <w:sectPr>
          <w:footerReference r:id="rId20" w:type="default"/>
          <w:pgSz w:w="11906" w:h="16838"/>
          <w:pgMar w:top="400" w:right="490" w:bottom="883" w:left="490" w:header="0" w:footer="0" w:gutter="0"/>
          <w:cols w:space="720" w:num="1"/>
        </w:sectPr>
      </w:pPr>
    </w:p>
    <w:p w14:paraId="395943AF">
      <w:pPr>
        <w:pStyle w:val="4"/>
        <w:spacing w:before="73" w:line="241" w:lineRule="auto"/>
        <w:ind w:left="7372"/>
        <w:rPr>
          <w:sz w:val="20"/>
          <w:szCs w:val="20"/>
        </w:rPr>
      </w:pPr>
      <w:r>
        <w:drawing>
          <wp:anchor distT="0" distB="0" distL="0" distR="0" simplePos="0" relativeHeight="25172377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24800" behindDoc="0" locked="0" layoutInCell="0" allowOverlap="1">
            <wp:simplePos x="0" y="0"/>
            <wp:positionH relativeFrom="page">
              <wp:posOffset>311150</wp:posOffset>
            </wp:positionH>
            <wp:positionV relativeFrom="page">
              <wp:posOffset>0</wp:posOffset>
            </wp:positionV>
            <wp:extent cx="19050" cy="814070"/>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5E2F1CE">
      <w:pPr>
        <w:pStyle w:val="4"/>
        <w:spacing w:line="278" w:lineRule="auto"/>
      </w:pPr>
    </w:p>
    <w:p w14:paraId="14AF039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73E4A40">
      <w:pPr>
        <w:pStyle w:val="4"/>
        <w:spacing w:line="437" w:lineRule="auto"/>
      </w:pPr>
    </w:p>
    <w:p w14:paraId="65E6E146">
      <w:pPr>
        <w:pStyle w:val="4"/>
        <w:spacing w:before="69" w:line="234" w:lineRule="auto"/>
        <w:ind w:left="3127"/>
        <w:outlineLvl w:val="1"/>
        <w:rPr>
          <w:sz w:val="24"/>
          <w:szCs w:val="24"/>
        </w:rPr>
      </w:pPr>
      <w:r>
        <w:rPr>
          <w:color w:val="174174"/>
          <w:spacing w:val="-13"/>
          <w:sz w:val="24"/>
          <w:szCs w:val="24"/>
        </w:rPr>
        <w:t>Growing Upside Risks To Oil Production Forecast</w:t>
      </w:r>
    </w:p>
    <w:p w14:paraId="62E3D825">
      <w:pPr>
        <w:pStyle w:val="4"/>
        <w:spacing w:before="32" w:line="231" w:lineRule="auto"/>
        <w:ind w:left="3591"/>
        <w:outlineLvl w:val="1"/>
        <w:rPr>
          <w:sz w:val="20"/>
          <w:szCs w:val="20"/>
        </w:rPr>
      </w:pPr>
      <w:r>
        <w:rPr>
          <w:color w:val="333333"/>
          <w:spacing w:val="-11"/>
          <w:sz w:val="20"/>
          <w:szCs w:val="20"/>
        </w:rPr>
        <w:t>Argentina - Oil Production Forecast (2023-</w:t>
      </w:r>
      <w:r>
        <w:rPr>
          <w:color w:val="333333"/>
          <w:spacing w:val="-12"/>
          <w:sz w:val="20"/>
          <w:szCs w:val="20"/>
        </w:rPr>
        <w:t>2034)</w:t>
      </w:r>
    </w:p>
    <w:p w14:paraId="459968D8">
      <w:pPr>
        <w:spacing w:before="96" w:line="4500" w:lineRule="exact"/>
        <w:ind w:firstLine="1862"/>
      </w:pPr>
      <w:r>
        <w:rPr>
          <w:position w:val="-89"/>
        </w:rPr>
        <w:drawing>
          <wp:inline distT="0" distB="0" distL="0" distR="0">
            <wp:extent cx="4572000" cy="2856865"/>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16"/>
                    <a:stretch>
                      <a:fillRect/>
                    </a:stretch>
                  </pic:blipFill>
                  <pic:spPr>
                    <a:xfrm>
                      <a:off x="0" y="0"/>
                      <a:ext cx="4572000" cy="2857499"/>
                    </a:xfrm>
                    <a:prstGeom prst="rect">
                      <a:avLst/>
                    </a:prstGeom>
                  </pic:spPr>
                </pic:pic>
              </a:graphicData>
            </a:graphic>
          </wp:inline>
        </w:drawing>
      </w:r>
    </w:p>
    <w:p w14:paraId="6A1E8DDF">
      <w:pPr>
        <w:pStyle w:val="4"/>
        <w:spacing w:before="149" w:line="177" w:lineRule="exact"/>
        <w:ind w:left="1876"/>
        <w:rPr>
          <w:sz w:val="15"/>
          <w:szCs w:val="15"/>
        </w:rPr>
      </w:pPr>
      <w:r>
        <w:drawing>
          <wp:anchor distT="0" distB="0" distL="0" distR="0" simplePos="0" relativeHeight="25172275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56DBFC06">
      <w:pPr>
        <w:pStyle w:val="4"/>
        <w:spacing w:line="358" w:lineRule="auto"/>
      </w:pPr>
    </w:p>
    <w:p w14:paraId="657F61A5">
      <w:pPr>
        <w:pStyle w:val="4"/>
        <w:spacing w:before="58" w:line="231" w:lineRule="auto"/>
        <w:ind w:left="360"/>
        <w:rPr>
          <w:sz w:val="20"/>
          <w:szCs w:val="20"/>
        </w:rPr>
      </w:pPr>
      <w:r>
        <w:rPr>
          <w:color w:val="57585A"/>
          <w:spacing w:val="-11"/>
          <w:sz w:val="20"/>
          <w:szCs w:val="20"/>
        </w:rPr>
        <w:t>The long-term resilience of</w:t>
      </w:r>
      <w:r>
        <w:rPr>
          <w:color w:val="57585A"/>
          <w:spacing w:val="-25"/>
          <w:sz w:val="20"/>
          <w:szCs w:val="20"/>
        </w:rPr>
        <w:t xml:space="preserve"> </w:t>
      </w:r>
      <w:r>
        <w:rPr>
          <w:color w:val="57585A"/>
          <w:spacing w:val="-11"/>
          <w:sz w:val="20"/>
          <w:szCs w:val="20"/>
        </w:rPr>
        <w:t>Argentina's shale activity is due to several factors:</w:t>
      </w:r>
    </w:p>
    <w:p w14:paraId="63613A3E">
      <w:pPr>
        <w:pStyle w:val="4"/>
        <w:spacing w:line="284" w:lineRule="auto"/>
      </w:pPr>
    </w:p>
    <w:p w14:paraId="0D3294FA">
      <w:pPr>
        <w:pStyle w:val="4"/>
        <w:spacing w:before="58" w:line="241" w:lineRule="auto"/>
        <w:ind w:left="373"/>
        <w:rPr>
          <w:sz w:val="20"/>
          <w:szCs w:val="20"/>
        </w:rPr>
      </w:pPr>
      <w:r>
        <w:rPr>
          <w:b/>
          <w:bCs/>
          <w:color w:val="57585A"/>
          <w:spacing w:val="-7"/>
          <w:sz w:val="20"/>
          <w:szCs w:val="20"/>
        </w:rPr>
        <w:t>1.</w:t>
      </w:r>
      <w:r>
        <w:rPr>
          <w:b/>
          <w:bCs/>
          <w:color w:val="57585A"/>
          <w:spacing w:val="-15"/>
          <w:sz w:val="20"/>
          <w:szCs w:val="20"/>
        </w:rPr>
        <w:t xml:space="preserve"> </w:t>
      </w:r>
      <w:r>
        <w:rPr>
          <w:b/>
          <w:bCs/>
          <w:color w:val="57585A"/>
          <w:spacing w:val="-7"/>
          <w:sz w:val="20"/>
          <w:szCs w:val="20"/>
        </w:rPr>
        <w:t>The Immaturity</w:t>
      </w:r>
      <w:r>
        <w:rPr>
          <w:b/>
          <w:bCs/>
          <w:color w:val="57585A"/>
          <w:spacing w:val="-15"/>
          <w:sz w:val="20"/>
          <w:szCs w:val="20"/>
        </w:rPr>
        <w:t xml:space="preserve"> </w:t>
      </w:r>
      <w:r>
        <w:rPr>
          <w:b/>
          <w:bCs/>
          <w:color w:val="57585A"/>
          <w:spacing w:val="-7"/>
          <w:sz w:val="20"/>
          <w:szCs w:val="20"/>
        </w:rPr>
        <w:t>And High Prospectivi</w:t>
      </w:r>
      <w:r>
        <w:rPr>
          <w:b/>
          <w:bCs/>
          <w:color w:val="57585A"/>
          <w:spacing w:val="-8"/>
          <w:sz w:val="20"/>
          <w:szCs w:val="20"/>
        </w:rPr>
        <w:t>ty Of</w:t>
      </w:r>
      <w:r>
        <w:rPr>
          <w:b/>
          <w:bCs/>
          <w:color w:val="57585A"/>
          <w:spacing w:val="-28"/>
          <w:sz w:val="20"/>
          <w:szCs w:val="20"/>
        </w:rPr>
        <w:t xml:space="preserve"> </w:t>
      </w:r>
      <w:r>
        <w:rPr>
          <w:b/>
          <w:bCs/>
          <w:color w:val="57585A"/>
          <w:spacing w:val="-8"/>
          <w:sz w:val="20"/>
          <w:szCs w:val="20"/>
        </w:rPr>
        <w:t>The</w:t>
      </w:r>
      <w:r>
        <w:rPr>
          <w:b/>
          <w:bCs/>
          <w:color w:val="57585A"/>
          <w:spacing w:val="-15"/>
          <w:sz w:val="20"/>
          <w:szCs w:val="20"/>
        </w:rPr>
        <w:t xml:space="preserve"> </w:t>
      </w:r>
      <w:r>
        <w:rPr>
          <w:b/>
          <w:bCs/>
          <w:color w:val="57585A"/>
          <w:spacing w:val="-8"/>
          <w:sz w:val="20"/>
          <w:szCs w:val="20"/>
        </w:rPr>
        <w:t>Acreage</w:t>
      </w:r>
    </w:p>
    <w:p w14:paraId="1A8EAA6F">
      <w:pPr>
        <w:pStyle w:val="4"/>
        <w:spacing w:line="281" w:lineRule="auto"/>
      </w:pPr>
    </w:p>
    <w:p w14:paraId="151BB923">
      <w:pPr>
        <w:pStyle w:val="4"/>
        <w:spacing w:before="58" w:line="280" w:lineRule="auto"/>
        <w:ind w:left="373" w:right="536" w:firstLine="2"/>
        <w:jc w:val="both"/>
        <w:rPr>
          <w:sz w:val="20"/>
          <w:szCs w:val="20"/>
        </w:rPr>
      </w:pPr>
      <w:r>
        <w:rPr>
          <w:color w:val="57585A"/>
          <w:spacing w:val="-12"/>
          <w:sz w:val="20"/>
          <w:szCs w:val="20"/>
        </w:rPr>
        <w:t>Neuquén's</w:t>
      </w:r>
      <w:r>
        <w:rPr>
          <w:color w:val="57585A"/>
          <w:spacing w:val="-15"/>
          <w:sz w:val="20"/>
          <w:szCs w:val="20"/>
        </w:rPr>
        <w:t xml:space="preserve"> </w:t>
      </w:r>
      <w:r>
        <w:rPr>
          <w:color w:val="57585A"/>
          <w:spacing w:val="-12"/>
          <w:sz w:val="20"/>
          <w:szCs w:val="20"/>
        </w:rPr>
        <w:t>Vaca Muerta</w:t>
      </w:r>
      <w:r>
        <w:rPr>
          <w:color w:val="57585A"/>
          <w:spacing w:val="-13"/>
          <w:sz w:val="20"/>
          <w:szCs w:val="20"/>
        </w:rPr>
        <w:t xml:space="preserve"> shale formation is an emerging shale play housing a vast resource base. Drilling results</w:t>
      </w:r>
      <w:r>
        <w:rPr>
          <w:color w:val="57585A"/>
          <w:spacing w:val="-2"/>
          <w:sz w:val="20"/>
          <w:szCs w:val="20"/>
        </w:rPr>
        <w:t xml:space="preserve"> </w:t>
      </w:r>
      <w:r>
        <w:rPr>
          <w:color w:val="57585A"/>
          <w:spacing w:val="-13"/>
          <w:sz w:val="20"/>
          <w:szCs w:val="20"/>
        </w:rPr>
        <w:t>have</w:t>
      </w:r>
      <w:r>
        <w:rPr>
          <w:color w:val="57585A"/>
          <w:spacing w:val="-1"/>
          <w:sz w:val="20"/>
          <w:szCs w:val="20"/>
        </w:rPr>
        <w:t xml:space="preserve"> </w:t>
      </w:r>
      <w:r>
        <w:rPr>
          <w:color w:val="57585A"/>
          <w:spacing w:val="-13"/>
          <w:sz w:val="20"/>
          <w:szCs w:val="20"/>
        </w:rPr>
        <w:t>been</w:t>
      </w:r>
      <w:r>
        <w:rPr>
          <w:color w:val="57585A"/>
          <w:spacing w:val="-2"/>
          <w:sz w:val="20"/>
          <w:szCs w:val="20"/>
        </w:rPr>
        <w:t xml:space="preserve"> </w:t>
      </w:r>
      <w:r>
        <w:rPr>
          <w:color w:val="57585A"/>
          <w:spacing w:val="-13"/>
          <w:sz w:val="20"/>
          <w:szCs w:val="20"/>
        </w:rPr>
        <w:t>broadly</w:t>
      </w:r>
      <w:r>
        <w:rPr>
          <w:color w:val="57585A"/>
          <w:sz w:val="20"/>
          <w:szCs w:val="20"/>
        </w:rPr>
        <w:t xml:space="preserve"> </w:t>
      </w:r>
      <w:r>
        <w:rPr>
          <w:color w:val="57585A"/>
          <w:spacing w:val="-11"/>
          <w:sz w:val="20"/>
          <w:szCs w:val="20"/>
        </w:rPr>
        <w:t xml:space="preserve">positive and exploration is increasingly concentrating in </w:t>
      </w:r>
      <w:r>
        <w:rPr>
          <w:color w:val="57585A"/>
          <w:spacing w:val="-12"/>
          <w:sz w:val="20"/>
          <w:szCs w:val="20"/>
        </w:rPr>
        <w:t>the discovered sweet spots. These areas have higher productivity and are</w:t>
      </w:r>
      <w:r>
        <w:rPr>
          <w:color w:val="57585A"/>
          <w:sz w:val="20"/>
          <w:szCs w:val="20"/>
        </w:rPr>
        <w:t xml:space="preserve"> </w:t>
      </w:r>
      <w:r>
        <w:rPr>
          <w:color w:val="57585A"/>
          <w:spacing w:val="-11"/>
          <w:sz w:val="20"/>
          <w:szCs w:val="20"/>
        </w:rPr>
        <w:t>less</w:t>
      </w:r>
      <w:r>
        <w:rPr>
          <w:color w:val="57585A"/>
          <w:spacing w:val="-4"/>
          <w:sz w:val="20"/>
          <w:szCs w:val="20"/>
        </w:rPr>
        <w:t xml:space="preserve"> </w:t>
      </w:r>
      <w:r>
        <w:rPr>
          <w:color w:val="57585A"/>
          <w:spacing w:val="-11"/>
          <w:sz w:val="20"/>
          <w:szCs w:val="20"/>
        </w:rPr>
        <w:t>vulnerable to a lower oil price environment.</w:t>
      </w:r>
    </w:p>
    <w:p w14:paraId="18FC12A5">
      <w:pPr>
        <w:pStyle w:val="4"/>
        <w:spacing w:line="260" w:lineRule="auto"/>
      </w:pPr>
    </w:p>
    <w:p w14:paraId="1D053694">
      <w:pPr>
        <w:pStyle w:val="4"/>
        <w:spacing w:before="58" w:line="241" w:lineRule="auto"/>
        <w:ind w:left="364"/>
        <w:rPr>
          <w:sz w:val="20"/>
          <w:szCs w:val="20"/>
        </w:rPr>
      </w:pPr>
      <w:r>
        <w:rPr>
          <w:b/>
          <w:bCs/>
          <w:color w:val="57585A"/>
          <w:spacing w:val="-8"/>
          <w:sz w:val="20"/>
          <w:szCs w:val="20"/>
        </w:rPr>
        <w:t>2.</w:t>
      </w:r>
      <w:r>
        <w:rPr>
          <w:b/>
          <w:bCs/>
          <w:color w:val="57585A"/>
          <w:spacing w:val="-10"/>
          <w:sz w:val="20"/>
          <w:szCs w:val="20"/>
        </w:rPr>
        <w:t xml:space="preserve"> </w:t>
      </w:r>
      <w:r>
        <w:rPr>
          <w:b/>
          <w:bCs/>
          <w:color w:val="57585A"/>
          <w:spacing w:val="-8"/>
          <w:sz w:val="20"/>
          <w:szCs w:val="20"/>
        </w:rPr>
        <w:t>The Strength Of</w:t>
      </w:r>
      <w:r>
        <w:rPr>
          <w:b/>
          <w:bCs/>
          <w:color w:val="57585A"/>
          <w:spacing w:val="-27"/>
          <w:sz w:val="20"/>
          <w:szCs w:val="20"/>
        </w:rPr>
        <w:t xml:space="preserve"> </w:t>
      </w:r>
      <w:r>
        <w:rPr>
          <w:b/>
          <w:bCs/>
          <w:color w:val="57585A"/>
          <w:spacing w:val="-8"/>
          <w:sz w:val="20"/>
          <w:szCs w:val="20"/>
        </w:rPr>
        <w:t>The Competitive Landscape</w:t>
      </w:r>
    </w:p>
    <w:p w14:paraId="1BE9ACBC">
      <w:pPr>
        <w:pStyle w:val="4"/>
        <w:spacing w:line="281" w:lineRule="auto"/>
      </w:pPr>
    </w:p>
    <w:p w14:paraId="5D9C765F">
      <w:pPr>
        <w:pStyle w:val="4"/>
        <w:spacing w:before="57" w:line="231" w:lineRule="auto"/>
        <w:ind w:left="375"/>
        <w:rPr>
          <w:sz w:val="20"/>
          <w:szCs w:val="20"/>
        </w:rPr>
      </w:pPr>
      <w:r>
        <w:rPr>
          <w:color w:val="57585A"/>
          <w:spacing w:val="-12"/>
          <w:sz w:val="20"/>
          <w:szCs w:val="20"/>
        </w:rPr>
        <w:t>Unlike the US, Argentina's shale exploration is hea</w:t>
      </w:r>
      <w:r>
        <w:rPr>
          <w:color w:val="57585A"/>
          <w:spacing w:val="-13"/>
          <w:sz w:val="20"/>
          <w:szCs w:val="20"/>
        </w:rPr>
        <w:t>vily dominated by a few major companies, most notably Chevron and YPF.</w:t>
      </w:r>
    </w:p>
    <w:p w14:paraId="03964D75">
      <w:pPr>
        <w:pStyle w:val="4"/>
        <w:spacing w:before="59" w:line="273" w:lineRule="auto"/>
        <w:ind w:left="369" w:right="620" w:firstLine="6"/>
        <w:rPr>
          <w:sz w:val="20"/>
          <w:szCs w:val="20"/>
        </w:rPr>
      </w:pPr>
      <w:r>
        <w:rPr>
          <w:color w:val="57585A"/>
          <w:spacing w:val="-12"/>
          <w:sz w:val="20"/>
          <w:szCs w:val="20"/>
        </w:rPr>
        <w:t>ExxonMobil and Shell are expanding their presenc</w:t>
      </w:r>
      <w:r>
        <w:rPr>
          <w:color w:val="57585A"/>
          <w:spacing w:val="-13"/>
          <w:sz w:val="20"/>
          <w:szCs w:val="20"/>
        </w:rPr>
        <w:t>e. Larger integrated companies have less exposure to falling revenues, stronger</w:t>
      </w:r>
      <w:r>
        <w:rPr>
          <w:color w:val="57585A"/>
          <w:sz w:val="20"/>
          <w:szCs w:val="20"/>
        </w:rPr>
        <w:t xml:space="preserve"> </w:t>
      </w:r>
      <w:r>
        <w:rPr>
          <w:color w:val="57585A"/>
          <w:spacing w:val="-12"/>
          <w:sz w:val="20"/>
          <w:szCs w:val="20"/>
        </w:rPr>
        <w:t>cash flows, are typically less levered and have higher capex budgets. These companies have the capacity to r</w:t>
      </w:r>
      <w:r>
        <w:rPr>
          <w:color w:val="57585A"/>
          <w:spacing w:val="-13"/>
          <w:sz w:val="20"/>
          <w:szCs w:val="20"/>
        </w:rPr>
        <w:t>ingfence the most</w:t>
      </w:r>
    </w:p>
    <w:p w14:paraId="53A7ACE2">
      <w:pPr>
        <w:pStyle w:val="4"/>
        <w:spacing w:before="37" w:line="274" w:lineRule="auto"/>
        <w:ind w:left="369" w:right="488" w:firstLine="4"/>
        <w:rPr>
          <w:sz w:val="20"/>
          <w:szCs w:val="20"/>
        </w:rPr>
      </w:pPr>
      <w:r>
        <w:rPr>
          <w:color w:val="57585A"/>
          <w:spacing w:val="-11"/>
          <w:sz w:val="20"/>
          <w:szCs w:val="20"/>
        </w:rPr>
        <w:t>prospective, strategic investments, including</w:t>
      </w:r>
      <w:r>
        <w:rPr>
          <w:color w:val="57585A"/>
          <w:spacing w:val="-16"/>
          <w:sz w:val="20"/>
          <w:szCs w:val="20"/>
        </w:rPr>
        <w:t xml:space="preserve"> </w:t>
      </w:r>
      <w:r>
        <w:rPr>
          <w:color w:val="57585A"/>
          <w:spacing w:val="-11"/>
          <w:sz w:val="20"/>
          <w:szCs w:val="20"/>
        </w:rPr>
        <w:t>Argentina's shale, and cu</w:t>
      </w:r>
      <w:r>
        <w:rPr>
          <w:color w:val="57585A"/>
          <w:spacing w:val="-12"/>
          <w:sz w:val="20"/>
          <w:szCs w:val="20"/>
        </w:rPr>
        <w:t>tback expenditure on more peripheral, less prospective parts</w:t>
      </w:r>
      <w:r>
        <w:rPr>
          <w:color w:val="57585A"/>
          <w:sz w:val="20"/>
          <w:szCs w:val="20"/>
        </w:rPr>
        <w:t xml:space="preserve"> </w:t>
      </w:r>
      <w:r>
        <w:rPr>
          <w:color w:val="57585A"/>
          <w:spacing w:val="-8"/>
          <w:sz w:val="20"/>
          <w:szCs w:val="20"/>
        </w:rPr>
        <w:t>of</w:t>
      </w:r>
      <w:r>
        <w:rPr>
          <w:color w:val="57585A"/>
          <w:spacing w:val="-5"/>
          <w:sz w:val="20"/>
          <w:szCs w:val="20"/>
        </w:rPr>
        <w:t xml:space="preserve"> </w:t>
      </w:r>
      <w:r>
        <w:rPr>
          <w:color w:val="57585A"/>
          <w:spacing w:val="-8"/>
          <w:sz w:val="20"/>
          <w:szCs w:val="20"/>
        </w:rPr>
        <w:t>their portfolios.</w:t>
      </w:r>
    </w:p>
    <w:p w14:paraId="6763B8D8">
      <w:pPr>
        <w:pStyle w:val="4"/>
        <w:spacing w:line="260" w:lineRule="auto"/>
      </w:pPr>
    </w:p>
    <w:p w14:paraId="0AA89188">
      <w:pPr>
        <w:pStyle w:val="4"/>
        <w:spacing w:before="58" w:line="241" w:lineRule="auto"/>
        <w:ind w:left="362"/>
        <w:rPr>
          <w:sz w:val="20"/>
          <w:szCs w:val="20"/>
        </w:rPr>
      </w:pPr>
      <w:r>
        <w:rPr>
          <w:b/>
          <w:bCs/>
          <w:color w:val="57585A"/>
          <w:spacing w:val="-8"/>
          <w:sz w:val="20"/>
          <w:szCs w:val="20"/>
        </w:rPr>
        <w:t>3. Improving Fiscal</w:t>
      </w:r>
      <w:r>
        <w:rPr>
          <w:b/>
          <w:bCs/>
          <w:color w:val="57585A"/>
          <w:spacing w:val="-15"/>
          <w:sz w:val="20"/>
          <w:szCs w:val="20"/>
        </w:rPr>
        <w:t xml:space="preserve"> </w:t>
      </w:r>
      <w:r>
        <w:rPr>
          <w:b/>
          <w:bCs/>
          <w:color w:val="57585A"/>
          <w:spacing w:val="-8"/>
          <w:sz w:val="20"/>
          <w:szCs w:val="20"/>
        </w:rPr>
        <w:t>And Regulatory Env</w:t>
      </w:r>
      <w:r>
        <w:rPr>
          <w:b/>
          <w:bCs/>
          <w:color w:val="57585A"/>
          <w:spacing w:val="-9"/>
          <w:sz w:val="20"/>
          <w:szCs w:val="20"/>
        </w:rPr>
        <w:t>ironment</w:t>
      </w:r>
    </w:p>
    <w:p w14:paraId="567623EC">
      <w:pPr>
        <w:pStyle w:val="4"/>
        <w:spacing w:line="281" w:lineRule="auto"/>
      </w:pPr>
    </w:p>
    <w:p w14:paraId="7DF2936D">
      <w:pPr>
        <w:pStyle w:val="4"/>
        <w:spacing w:before="57" w:line="273" w:lineRule="auto"/>
        <w:ind w:left="363" w:right="569" w:firstLine="6"/>
        <w:rPr>
          <w:sz w:val="20"/>
          <w:szCs w:val="20"/>
        </w:rPr>
      </w:pPr>
      <w:r>
        <w:rPr>
          <w:color w:val="57585A"/>
          <w:spacing w:val="-11"/>
          <w:sz w:val="20"/>
          <w:szCs w:val="20"/>
        </w:rPr>
        <w:t>Over past</w:t>
      </w:r>
      <w:r>
        <w:rPr>
          <w:color w:val="57585A"/>
          <w:spacing w:val="-16"/>
          <w:sz w:val="20"/>
          <w:szCs w:val="20"/>
        </w:rPr>
        <w:t xml:space="preserve"> </w:t>
      </w:r>
      <w:r>
        <w:rPr>
          <w:color w:val="57585A"/>
          <w:spacing w:val="-11"/>
          <w:sz w:val="20"/>
          <w:szCs w:val="20"/>
        </w:rPr>
        <w:t>years, the government, at both the federal and provincia</w:t>
      </w:r>
      <w:r>
        <w:rPr>
          <w:color w:val="57585A"/>
          <w:spacing w:val="-12"/>
          <w:sz w:val="20"/>
          <w:szCs w:val="20"/>
        </w:rPr>
        <w:t>l level, has enacted reforms to improve both fiscal and licensing</w:t>
      </w:r>
      <w:r>
        <w:rPr>
          <w:color w:val="57585A"/>
          <w:sz w:val="20"/>
          <w:szCs w:val="20"/>
        </w:rPr>
        <w:t xml:space="preserve"> </w:t>
      </w:r>
      <w:r>
        <w:rPr>
          <w:color w:val="57585A"/>
          <w:spacing w:val="-11"/>
          <w:sz w:val="20"/>
          <w:szCs w:val="20"/>
        </w:rPr>
        <w:t>terms and support the development of</w:t>
      </w:r>
      <w:r>
        <w:rPr>
          <w:color w:val="57585A"/>
          <w:spacing w:val="-21"/>
          <w:sz w:val="20"/>
          <w:szCs w:val="20"/>
        </w:rPr>
        <w:t xml:space="preserve"> </w:t>
      </w:r>
      <w:r>
        <w:rPr>
          <w:color w:val="57585A"/>
          <w:spacing w:val="-11"/>
          <w:sz w:val="20"/>
          <w:szCs w:val="20"/>
        </w:rPr>
        <w:t>the nascent shal</w:t>
      </w:r>
      <w:r>
        <w:rPr>
          <w:color w:val="57585A"/>
          <w:spacing w:val="-12"/>
          <w:sz w:val="20"/>
          <w:szCs w:val="20"/>
        </w:rPr>
        <w:t>e sector. Several major concessions have been made, streamlining</w:t>
      </w:r>
    </w:p>
    <w:p w14:paraId="257BE5AA">
      <w:pPr>
        <w:pStyle w:val="4"/>
        <w:spacing w:before="37" w:line="231" w:lineRule="auto"/>
        <w:ind w:left="373"/>
        <w:rPr>
          <w:sz w:val="20"/>
          <w:szCs w:val="20"/>
        </w:rPr>
      </w:pPr>
      <w:r>
        <w:rPr>
          <w:color w:val="57585A"/>
          <w:spacing w:val="-10"/>
          <w:sz w:val="20"/>
          <w:szCs w:val="20"/>
        </w:rPr>
        <w:t>permitting processes and reducin</w:t>
      </w:r>
      <w:r>
        <w:rPr>
          <w:color w:val="57585A"/>
          <w:spacing w:val="-11"/>
          <w:sz w:val="20"/>
          <w:szCs w:val="20"/>
        </w:rPr>
        <w:t>g the tax burden on unconventionals.</w:t>
      </w:r>
      <w:r>
        <w:rPr>
          <w:color w:val="57585A"/>
          <w:spacing w:val="-15"/>
          <w:sz w:val="20"/>
          <w:szCs w:val="20"/>
        </w:rPr>
        <w:t xml:space="preserve"> </w:t>
      </w:r>
      <w:r>
        <w:rPr>
          <w:color w:val="57585A"/>
          <w:spacing w:val="-11"/>
          <w:sz w:val="20"/>
          <w:szCs w:val="20"/>
        </w:rPr>
        <w:t>Though these efforts have taken a hit in the</w:t>
      </w:r>
      <w:r>
        <w:rPr>
          <w:color w:val="57585A"/>
          <w:spacing w:val="-15"/>
          <w:sz w:val="20"/>
          <w:szCs w:val="20"/>
        </w:rPr>
        <w:t xml:space="preserve"> </w:t>
      </w:r>
      <w:r>
        <w:rPr>
          <w:color w:val="57585A"/>
          <w:spacing w:val="-11"/>
          <w:sz w:val="20"/>
          <w:szCs w:val="20"/>
        </w:rPr>
        <w:t>wake of</w:t>
      </w:r>
    </w:p>
    <w:p w14:paraId="537A4C4C">
      <w:pPr>
        <w:pStyle w:val="4"/>
        <w:spacing w:before="59" w:line="231" w:lineRule="auto"/>
        <w:ind w:left="367"/>
        <w:rPr>
          <w:sz w:val="20"/>
          <w:szCs w:val="20"/>
        </w:rPr>
      </w:pPr>
      <w:r>
        <w:rPr>
          <w:color w:val="57585A"/>
          <w:spacing w:val="-11"/>
          <w:sz w:val="20"/>
          <w:szCs w:val="20"/>
        </w:rPr>
        <w:t>an economic downturn,</w:t>
      </w:r>
      <w:r>
        <w:rPr>
          <w:color w:val="57585A"/>
          <w:spacing w:val="-16"/>
          <w:sz w:val="20"/>
          <w:szCs w:val="20"/>
        </w:rPr>
        <w:t xml:space="preserve"> </w:t>
      </w:r>
      <w:r>
        <w:rPr>
          <w:color w:val="57585A"/>
          <w:spacing w:val="-11"/>
          <w:sz w:val="20"/>
          <w:szCs w:val="20"/>
        </w:rPr>
        <w:t>we believe the government remains largely supportive of upstream development.</w:t>
      </w:r>
      <w:r>
        <w:rPr>
          <w:color w:val="57585A"/>
          <w:spacing w:val="-15"/>
          <w:sz w:val="20"/>
          <w:szCs w:val="20"/>
        </w:rPr>
        <w:t xml:space="preserve"> </w:t>
      </w:r>
      <w:r>
        <w:rPr>
          <w:color w:val="57585A"/>
          <w:spacing w:val="-11"/>
          <w:sz w:val="20"/>
          <w:szCs w:val="20"/>
        </w:rPr>
        <w:t>The Peronist</w:t>
      </w:r>
    </w:p>
    <w:p w14:paraId="3598D28B">
      <w:pPr>
        <w:pStyle w:val="4"/>
        <w:spacing w:before="59" w:line="293" w:lineRule="auto"/>
        <w:ind w:left="372" w:right="718" w:hanging="5"/>
        <w:rPr>
          <w:sz w:val="20"/>
          <w:szCs w:val="20"/>
        </w:rPr>
      </w:pPr>
      <w:r>
        <w:rPr>
          <w:color w:val="57585A"/>
          <w:spacing w:val="-10"/>
          <w:sz w:val="20"/>
          <w:szCs w:val="20"/>
        </w:rPr>
        <w:t>government</w:t>
      </w:r>
      <w:r>
        <w:rPr>
          <w:color w:val="57585A"/>
          <w:spacing w:val="-15"/>
          <w:sz w:val="20"/>
          <w:szCs w:val="20"/>
        </w:rPr>
        <w:t xml:space="preserve"> </w:t>
      </w:r>
      <w:r>
        <w:rPr>
          <w:color w:val="57585A"/>
          <w:spacing w:val="-10"/>
          <w:sz w:val="20"/>
          <w:szCs w:val="20"/>
        </w:rPr>
        <w:t>with the Mi</w:t>
      </w:r>
      <w:r>
        <w:rPr>
          <w:color w:val="57585A"/>
          <w:spacing w:val="-11"/>
          <w:sz w:val="20"/>
          <w:szCs w:val="20"/>
        </w:rPr>
        <w:t>nister of Economy Sergio Massa, did not manage to lift some of</w:t>
      </w:r>
      <w:r>
        <w:rPr>
          <w:color w:val="57585A"/>
          <w:spacing w:val="-22"/>
          <w:sz w:val="20"/>
          <w:szCs w:val="20"/>
        </w:rPr>
        <w:t xml:space="preserve"> </w:t>
      </w:r>
      <w:r>
        <w:rPr>
          <w:color w:val="57585A"/>
          <w:spacing w:val="-11"/>
          <w:sz w:val="20"/>
          <w:szCs w:val="20"/>
        </w:rPr>
        <w:t>the largest constraints put on upstream</w:t>
      </w:r>
      <w:r>
        <w:rPr>
          <w:color w:val="57585A"/>
          <w:sz w:val="20"/>
          <w:szCs w:val="20"/>
        </w:rPr>
        <w:t xml:space="preserve"> </w:t>
      </w:r>
      <w:r>
        <w:rPr>
          <w:color w:val="57585A"/>
          <w:spacing w:val="-10"/>
          <w:sz w:val="20"/>
          <w:szCs w:val="20"/>
        </w:rPr>
        <w:t xml:space="preserve">producers, including the capital controls and central oil price, set at </w:t>
      </w:r>
      <w:r>
        <w:rPr>
          <w:color w:val="57585A"/>
          <w:spacing w:val="-11"/>
          <w:sz w:val="20"/>
          <w:szCs w:val="20"/>
        </w:rPr>
        <w:t>USD56/bbl, much below the global oil price benchmark of</w:t>
      </w:r>
      <w:r>
        <w:rPr>
          <w:color w:val="57585A"/>
          <w:sz w:val="20"/>
          <w:szCs w:val="20"/>
        </w:rPr>
        <w:t xml:space="preserve"> </w:t>
      </w:r>
      <w:r>
        <w:rPr>
          <w:color w:val="57585A"/>
          <w:spacing w:val="-10"/>
          <w:sz w:val="20"/>
          <w:szCs w:val="20"/>
        </w:rPr>
        <w:t>USD80-90/bbl in 2023.</w:t>
      </w:r>
    </w:p>
    <w:p w14:paraId="1D673603">
      <w:pPr>
        <w:pStyle w:val="4"/>
        <w:spacing w:before="285" w:line="273" w:lineRule="auto"/>
        <w:ind w:left="371" w:right="671" w:hanging="10"/>
        <w:rPr>
          <w:sz w:val="20"/>
          <w:szCs w:val="20"/>
        </w:rPr>
      </w:pPr>
      <w:r>
        <w:rPr>
          <w:color w:val="57585A"/>
          <w:spacing w:val="-11"/>
          <w:sz w:val="20"/>
          <w:szCs w:val="20"/>
        </w:rPr>
        <w:t>We expect the regulatory environment to improve under new president</w:t>
      </w:r>
      <w:r>
        <w:rPr>
          <w:color w:val="57585A"/>
          <w:spacing w:val="-23"/>
          <w:sz w:val="20"/>
          <w:szCs w:val="20"/>
        </w:rPr>
        <w:t xml:space="preserve"> </w:t>
      </w:r>
      <w:r>
        <w:rPr>
          <w:color w:val="57585A"/>
          <w:spacing w:val="-11"/>
          <w:sz w:val="20"/>
          <w:szCs w:val="20"/>
        </w:rPr>
        <w:t>Javier Milei. He has been promoting</w:t>
      </w:r>
      <w:r>
        <w:rPr>
          <w:color w:val="57585A"/>
          <w:spacing w:val="-2"/>
          <w:sz w:val="20"/>
          <w:szCs w:val="20"/>
        </w:rPr>
        <w:t xml:space="preserve"> </w:t>
      </w:r>
      <w:r>
        <w:rPr>
          <w:color w:val="57585A"/>
          <w:spacing w:val="-11"/>
          <w:sz w:val="20"/>
          <w:szCs w:val="20"/>
        </w:rPr>
        <w:t>limite</w:t>
      </w:r>
      <w:r>
        <w:rPr>
          <w:color w:val="57585A"/>
          <w:spacing w:val="-12"/>
          <w:sz w:val="20"/>
          <w:szCs w:val="20"/>
        </w:rPr>
        <w:t>d government</w:t>
      </w:r>
      <w:r>
        <w:rPr>
          <w:color w:val="57585A"/>
          <w:sz w:val="20"/>
          <w:szCs w:val="20"/>
        </w:rPr>
        <w:t xml:space="preserve"> </w:t>
      </w:r>
      <w:r>
        <w:rPr>
          <w:color w:val="57585A"/>
          <w:spacing w:val="-9"/>
          <w:sz w:val="20"/>
          <w:szCs w:val="20"/>
        </w:rPr>
        <w:t>interference in the market</w:t>
      </w:r>
      <w:r>
        <w:rPr>
          <w:color w:val="57585A"/>
          <w:spacing w:val="-15"/>
          <w:sz w:val="20"/>
          <w:szCs w:val="20"/>
        </w:rPr>
        <w:t xml:space="preserve"> </w:t>
      </w:r>
      <w:r>
        <w:rPr>
          <w:color w:val="57585A"/>
          <w:spacing w:val="-9"/>
          <w:sz w:val="20"/>
          <w:szCs w:val="20"/>
        </w:rPr>
        <w:t>with his free-mar</w:t>
      </w:r>
      <w:r>
        <w:rPr>
          <w:color w:val="57585A"/>
          <w:spacing w:val="-10"/>
          <w:sz w:val="20"/>
          <w:szCs w:val="20"/>
        </w:rPr>
        <w:t>ket agenda that</w:t>
      </w:r>
      <w:r>
        <w:rPr>
          <w:color w:val="57585A"/>
          <w:spacing w:val="-16"/>
          <w:sz w:val="20"/>
          <w:szCs w:val="20"/>
        </w:rPr>
        <w:t xml:space="preserve"> </w:t>
      </w:r>
      <w:r>
        <w:rPr>
          <w:color w:val="57585A"/>
          <w:spacing w:val="-10"/>
          <w:sz w:val="20"/>
          <w:szCs w:val="20"/>
        </w:rPr>
        <w:t>will likely include efforts to lift capital controls, limit price setting, and</w:t>
      </w:r>
    </w:p>
    <w:p w14:paraId="48CE0882">
      <w:pPr>
        <w:spacing w:line="273" w:lineRule="auto"/>
        <w:rPr>
          <w:sz w:val="20"/>
          <w:szCs w:val="20"/>
        </w:rPr>
        <w:sectPr>
          <w:footerReference r:id="rId21" w:type="default"/>
          <w:pgSz w:w="11906" w:h="16838"/>
          <w:pgMar w:top="400" w:right="490" w:bottom="883" w:left="490" w:header="0" w:footer="0" w:gutter="0"/>
          <w:cols w:space="720" w:num="1"/>
        </w:sectPr>
      </w:pPr>
    </w:p>
    <w:p w14:paraId="46D1309C">
      <w:pPr>
        <w:pStyle w:val="4"/>
        <w:spacing w:before="73" w:line="241" w:lineRule="auto"/>
        <w:ind w:left="7372"/>
        <w:rPr>
          <w:sz w:val="20"/>
          <w:szCs w:val="20"/>
        </w:rPr>
      </w:pPr>
      <w:r>
        <w:drawing>
          <wp:anchor distT="0" distB="0" distL="0" distR="0" simplePos="0" relativeHeight="25172787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28896" behindDoc="0" locked="0" layoutInCell="0" allowOverlap="1">
            <wp:simplePos x="0" y="0"/>
            <wp:positionH relativeFrom="page">
              <wp:posOffset>311150</wp:posOffset>
            </wp:positionH>
            <wp:positionV relativeFrom="page">
              <wp:posOffset>0</wp:posOffset>
            </wp:positionV>
            <wp:extent cx="19050" cy="81407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C452E24">
      <w:pPr>
        <w:pStyle w:val="4"/>
        <w:spacing w:line="278" w:lineRule="auto"/>
      </w:pPr>
    </w:p>
    <w:p w14:paraId="7AB8A8D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237D009">
      <w:pPr>
        <w:pStyle w:val="4"/>
        <w:spacing w:line="471" w:lineRule="auto"/>
      </w:pPr>
    </w:p>
    <w:p w14:paraId="74C2EDAA">
      <w:pPr>
        <w:pStyle w:val="4"/>
        <w:spacing w:before="58" w:line="279" w:lineRule="auto"/>
        <w:ind w:left="373" w:right="468"/>
        <w:rPr>
          <w:sz w:val="20"/>
          <w:szCs w:val="20"/>
        </w:rPr>
      </w:pPr>
      <w:r>
        <w:rPr>
          <w:color w:val="57585A"/>
          <w:spacing w:val="-11"/>
          <w:sz w:val="20"/>
          <w:szCs w:val="20"/>
        </w:rPr>
        <w:t>remove hydrocarbons export taxes. He declared plans to attract foreign capital to the prolific Vaca Muerta and f</w:t>
      </w:r>
      <w:r>
        <w:rPr>
          <w:color w:val="57585A"/>
          <w:spacing w:val="-12"/>
          <w:sz w:val="20"/>
          <w:szCs w:val="20"/>
        </w:rPr>
        <w:t>loated the idea of</w:t>
      </w:r>
      <w:r>
        <w:rPr>
          <w:color w:val="57585A"/>
          <w:sz w:val="20"/>
          <w:szCs w:val="20"/>
        </w:rPr>
        <w:t xml:space="preserve">  </w:t>
      </w:r>
      <w:r>
        <w:rPr>
          <w:color w:val="57585A"/>
          <w:spacing w:val="-12"/>
          <w:sz w:val="20"/>
          <w:szCs w:val="20"/>
        </w:rPr>
        <w:t>privatising the state-led</w:t>
      </w:r>
      <w:r>
        <w:rPr>
          <w:color w:val="57585A"/>
          <w:spacing w:val="-16"/>
          <w:sz w:val="20"/>
          <w:szCs w:val="20"/>
        </w:rPr>
        <w:t xml:space="preserve"> </w:t>
      </w:r>
      <w:r>
        <w:rPr>
          <w:color w:val="57585A"/>
          <w:spacing w:val="-12"/>
          <w:sz w:val="20"/>
          <w:szCs w:val="20"/>
        </w:rPr>
        <w:t>YPF. He has been vocal in his support for the expansion of</w:t>
      </w:r>
      <w:r>
        <w:rPr>
          <w:color w:val="57585A"/>
          <w:spacing w:val="-24"/>
          <w:sz w:val="20"/>
          <w:szCs w:val="20"/>
        </w:rPr>
        <w:t xml:space="preserve"> </w:t>
      </w:r>
      <w:r>
        <w:rPr>
          <w:color w:val="57585A"/>
          <w:spacing w:val="-12"/>
          <w:sz w:val="20"/>
          <w:szCs w:val="20"/>
        </w:rPr>
        <w:t>Argentina’s LNG export capabilities,</w:t>
      </w:r>
      <w:r>
        <w:rPr>
          <w:color w:val="57585A"/>
          <w:spacing w:val="-16"/>
          <w:sz w:val="20"/>
          <w:szCs w:val="20"/>
        </w:rPr>
        <w:t xml:space="preserve"> </w:t>
      </w:r>
      <w:r>
        <w:rPr>
          <w:color w:val="57585A"/>
          <w:spacing w:val="-12"/>
          <w:sz w:val="20"/>
          <w:szCs w:val="20"/>
        </w:rPr>
        <w:t>whic</w:t>
      </w:r>
      <w:r>
        <w:rPr>
          <w:color w:val="57585A"/>
          <w:spacing w:val="-13"/>
          <w:sz w:val="20"/>
          <w:szCs w:val="20"/>
        </w:rPr>
        <w:t>h</w:t>
      </w:r>
      <w:r>
        <w:rPr>
          <w:color w:val="57585A"/>
          <w:spacing w:val="-15"/>
          <w:sz w:val="20"/>
          <w:szCs w:val="20"/>
        </w:rPr>
        <w:t xml:space="preserve"> </w:t>
      </w:r>
      <w:r>
        <w:rPr>
          <w:color w:val="57585A"/>
          <w:spacing w:val="-13"/>
          <w:sz w:val="20"/>
          <w:szCs w:val="20"/>
        </w:rPr>
        <w:t>would</w:t>
      </w:r>
      <w:r>
        <w:rPr>
          <w:color w:val="57585A"/>
          <w:sz w:val="20"/>
          <w:szCs w:val="20"/>
        </w:rPr>
        <w:t xml:space="preserve"> </w:t>
      </w:r>
      <w:r>
        <w:rPr>
          <w:color w:val="57585A"/>
          <w:spacing w:val="-11"/>
          <w:sz w:val="20"/>
          <w:szCs w:val="20"/>
        </w:rPr>
        <w:t>likely see him promoting a favorable LNG regulatory framework. That said,</w:t>
      </w:r>
      <w:r>
        <w:rPr>
          <w:color w:val="57585A"/>
          <w:spacing w:val="-15"/>
          <w:sz w:val="20"/>
          <w:szCs w:val="20"/>
        </w:rPr>
        <w:t xml:space="preserve"> </w:t>
      </w:r>
      <w:r>
        <w:rPr>
          <w:color w:val="57585A"/>
          <w:spacing w:val="-11"/>
          <w:sz w:val="20"/>
          <w:szCs w:val="20"/>
        </w:rPr>
        <w:t>we expect the implementation tim</w:t>
      </w:r>
      <w:r>
        <w:rPr>
          <w:color w:val="57585A"/>
          <w:spacing w:val="-12"/>
          <w:sz w:val="20"/>
          <w:szCs w:val="20"/>
        </w:rPr>
        <w:t>eframe of</w:t>
      </w:r>
      <w:r>
        <w:rPr>
          <w:color w:val="57585A"/>
          <w:spacing w:val="-22"/>
          <w:sz w:val="20"/>
          <w:szCs w:val="20"/>
        </w:rPr>
        <w:t xml:space="preserve"> </w:t>
      </w:r>
      <w:r>
        <w:rPr>
          <w:color w:val="57585A"/>
          <w:spacing w:val="-12"/>
          <w:sz w:val="20"/>
          <w:szCs w:val="20"/>
        </w:rPr>
        <w:t>these</w:t>
      </w:r>
    </w:p>
    <w:p w14:paraId="5C9DDF06">
      <w:pPr>
        <w:pStyle w:val="4"/>
        <w:spacing w:before="36" w:line="273" w:lineRule="auto"/>
        <w:ind w:left="369" w:right="803" w:firstLine="3"/>
        <w:rPr>
          <w:sz w:val="20"/>
          <w:szCs w:val="20"/>
        </w:rPr>
      </w:pPr>
      <w:r>
        <w:rPr>
          <w:color w:val="57585A"/>
          <w:spacing w:val="-11"/>
          <w:sz w:val="20"/>
          <w:szCs w:val="20"/>
        </w:rPr>
        <w:t>reforms to be rather slow. The degree to</w:t>
      </w:r>
      <w:r>
        <w:rPr>
          <w:color w:val="57585A"/>
          <w:spacing w:val="-15"/>
          <w:sz w:val="20"/>
          <w:szCs w:val="20"/>
        </w:rPr>
        <w:t xml:space="preserve"> </w:t>
      </w:r>
      <w:r>
        <w:rPr>
          <w:color w:val="57585A"/>
          <w:spacing w:val="-11"/>
          <w:sz w:val="20"/>
          <w:szCs w:val="20"/>
        </w:rPr>
        <w:t>which Milei</w:t>
      </w:r>
      <w:r>
        <w:rPr>
          <w:color w:val="57585A"/>
          <w:spacing w:val="-16"/>
          <w:sz w:val="20"/>
          <w:szCs w:val="20"/>
        </w:rPr>
        <w:t xml:space="preserve"> </w:t>
      </w:r>
      <w:r>
        <w:rPr>
          <w:color w:val="57585A"/>
          <w:spacing w:val="-11"/>
          <w:sz w:val="20"/>
          <w:szCs w:val="20"/>
        </w:rPr>
        <w:t>would be able to implement the most agg</w:t>
      </w:r>
      <w:r>
        <w:rPr>
          <w:color w:val="57585A"/>
          <w:spacing w:val="-12"/>
          <w:sz w:val="20"/>
          <w:szCs w:val="20"/>
        </w:rPr>
        <w:t>ressive policy items depends on</w:t>
      </w:r>
      <w:r>
        <w:rPr>
          <w:color w:val="57585A"/>
          <w:sz w:val="20"/>
          <w:szCs w:val="20"/>
        </w:rPr>
        <w:t xml:space="preserve"> </w:t>
      </w:r>
      <w:r>
        <w:rPr>
          <w:color w:val="57585A"/>
          <w:spacing w:val="-11"/>
          <w:sz w:val="20"/>
          <w:szCs w:val="20"/>
        </w:rPr>
        <w:t>Congress's support. We note broad support for the oil and ga</w:t>
      </w:r>
      <w:r>
        <w:rPr>
          <w:color w:val="57585A"/>
          <w:spacing w:val="-12"/>
          <w:sz w:val="20"/>
          <w:szCs w:val="20"/>
        </w:rPr>
        <w:t>s industry across the political scene in</w:t>
      </w:r>
      <w:r>
        <w:rPr>
          <w:color w:val="57585A"/>
          <w:spacing w:val="-15"/>
          <w:sz w:val="20"/>
          <w:szCs w:val="20"/>
        </w:rPr>
        <w:t xml:space="preserve"> </w:t>
      </w:r>
      <w:r>
        <w:rPr>
          <w:color w:val="57585A"/>
          <w:spacing w:val="-12"/>
          <w:sz w:val="20"/>
          <w:szCs w:val="20"/>
        </w:rPr>
        <w:t>Argentina.</w:t>
      </w:r>
    </w:p>
    <w:p w14:paraId="3236926B">
      <w:pPr>
        <w:pStyle w:val="4"/>
        <w:spacing w:line="266" w:lineRule="auto"/>
      </w:pPr>
    </w:p>
    <w:p w14:paraId="3C028115">
      <w:pPr>
        <w:pStyle w:val="4"/>
        <w:spacing w:before="58" w:line="279" w:lineRule="auto"/>
        <w:ind w:left="363" w:right="680" w:firstLine="6"/>
        <w:rPr>
          <w:sz w:val="20"/>
          <w:szCs w:val="20"/>
        </w:rPr>
      </w:pPr>
      <w:r>
        <w:rPr>
          <w:color w:val="57585A"/>
          <w:spacing w:val="-12"/>
          <w:sz w:val="20"/>
          <w:szCs w:val="20"/>
        </w:rPr>
        <w:t xml:space="preserve">Going in this direction, the new RIGI was approved by Congress in 2024, and could increase stability and attractiveness for </w:t>
      </w:r>
      <w:r>
        <w:rPr>
          <w:color w:val="57585A"/>
          <w:spacing w:val="-13"/>
          <w:sz w:val="20"/>
          <w:szCs w:val="20"/>
        </w:rPr>
        <w:t>long-</w:t>
      </w:r>
      <w:r>
        <w:rPr>
          <w:color w:val="57585A"/>
          <w:sz w:val="20"/>
          <w:szCs w:val="20"/>
        </w:rPr>
        <w:t xml:space="preserve"> </w:t>
      </w:r>
      <w:r>
        <w:rPr>
          <w:color w:val="57585A"/>
          <w:spacing w:val="-11"/>
          <w:sz w:val="20"/>
          <w:szCs w:val="20"/>
        </w:rPr>
        <w:t>term large investments in the oil and gas sector. It</w:t>
      </w:r>
      <w:r>
        <w:rPr>
          <w:color w:val="57585A"/>
          <w:spacing w:val="-16"/>
          <w:sz w:val="20"/>
          <w:szCs w:val="20"/>
        </w:rPr>
        <w:t xml:space="preserve"> </w:t>
      </w:r>
      <w:r>
        <w:rPr>
          <w:color w:val="57585A"/>
          <w:spacing w:val="-11"/>
          <w:sz w:val="20"/>
          <w:szCs w:val="20"/>
        </w:rPr>
        <w:t>will offer 30</w:t>
      </w:r>
      <w:r>
        <w:rPr>
          <w:color w:val="57585A"/>
          <w:spacing w:val="-16"/>
          <w:sz w:val="20"/>
          <w:szCs w:val="20"/>
        </w:rPr>
        <w:t xml:space="preserve"> </w:t>
      </w:r>
      <w:r>
        <w:rPr>
          <w:color w:val="57585A"/>
          <w:spacing w:val="-11"/>
          <w:sz w:val="20"/>
          <w:szCs w:val="20"/>
        </w:rPr>
        <w:t>years of</w:t>
      </w:r>
      <w:r>
        <w:rPr>
          <w:color w:val="57585A"/>
          <w:spacing w:val="-21"/>
          <w:sz w:val="20"/>
          <w:szCs w:val="20"/>
        </w:rPr>
        <w:t xml:space="preserve"> </w:t>
      </w:r>
      <w:r>
        <w:rPr>
          <w:color w:val="57585A"/>
          <w:spacing w:val="-11"/>
          <w:sz w:val="20"/>
          <w:szCs w:val="20"/>
        </w:rPr>
        <w:t>fiscal stability,</w:t>
      </w:r>
      <w:r>
        <w:rPr>
          <w:color w:val="57585A"/>
          <w:spacing w:val="-12"/>
          <w:sz w:val="20"/>
          <w:szCs w:val="20"/>
        </w:rPr>
        <w:t xml:space="preserve"> fiscal, customs and exchange incentives for</w:t>
      </w:r>
      <w:r>
        <w:rPr>
          <w:color w:val="57585A"/>
          <w:sz w:val="20"/>
          <w:szCs w:val="20"/>
        </w:rPr>
        <w:t xml:space="preserve"> </w:t>
      </w:r>
      <w:r>
        <w:rPr>
          <w:color w:val="57585A"/>
          <w:spacing w:val="-11"/>
          <w:sz w:val="20"/>
          <w:szCs w:val="20"/>
        </w:rPr>
        <w:t>large investments of over USD200mn in several sectors, of</w:t>
      </w:r>
      <w:r>
        <w:rPr>
          <w:color w:val="57585A"/>
          <w:spacing w:val="-25"/>
          <w:sz w:val="20"/>
          <w:szCs w:val="20"/>
        </w:rPr>
        <w:t xml:space="preserve"> </w:t>
      </w:r>
      <w:r>
        <w:rPr>
          <w:color w:val="57585A"/>
          <w:spacing w:val="-11"/>
          <w:sz w:val="20"/>
          <w:szCs w:val="20"/>
        </w:rPr>
        <w:t xml:space="preserve">which oil and gas. This </w:t>
      </w:r>
      <w:r>
        <w:rPr>
          <w:color w:val="57585A"/>
          <w:spacing w:val="-12"/>
          <w:sz w:val="20"/>
          <w:szCs w:val="20"/>
        </w:rPr>
        <w:t>could significantly improve the stability and</w:t>
      </w:r>
    </w:p>
    <w:p w14:paraId="15AA877E">
      <w:pPr>
        <w:pStyle w:val="4"/>
        <w:spacing w:before="37" w:line="274" w:lineRule="auto"/>
        <w:ind w:left="372" w:right="829" w:hanging="5"/>
        <w:rPr>
          <w:sz w:val="20"/>
          <w:szCs w:val="20"/>
        </w:rPr>
      </w:pPr>
      <w:r>
        <w:rPr>
          <w:color w:val="57585A"/>
          <w:spacing w:val="-11"/>
          <w:sz w:val="20"/>
          <w:szCs w:val="20"/>
        </w:rPr>
        <w:t>attractiveness of investments in the</w:t>
      </w:r>
      <w:r>
        <w:rPr>
          <w:color w:val="57585A"/>
          <w:spacing w:val="-16"/>
          <w:sz w:val="20"/>
          <w:szCs w:val="20"/>
        </w:rPr>
        <w:t xml:space="preserve"> </w:t>
      </w:r>
      <w:r>
        <w:rPr>
          <w:color w:val="57585A"/>
          <w:spacing w:val="-11"/>
          <w:sz w:val="20"/>
          <w:szCs w:val="20"/>
        </w:rPr>
        <w:t>Argentinian oil and gas sector, and creates significant long-term upside risks to</w:t>
      </w:r>
      <w:r>
        <w:rPr>
          <w:color w:val="57585A"/>
          <w:spacing w:val="-12"/>
          <w:sz w:val="20"/>
          <w:szCs w:val="20"/>
        </w:rPr>
        <w:t xml:space="preserve"> oil and gas</w:t>
      </w:r>
      <w:r>
        <w:rPr>
          <w:color w:val="57585A"/>
          <w:sz w:val="20"/>
          <w:szCs w:val="20"/>
        </w:rPr>
        <w:t xml:space="preserve"> </w:t>
      </w:r>
      <w:r>
        <w:rPr>
          <w:color w:val="57585A"/>
          <w:spacing w:val="-8"/>
          <w:sz w:val="20"/>
          <w:szCs w:val="20"/>
        </w:rPr>
        <w:t>production.</w:t>
      </w:r>
    </w:p>
    <w:p w14:paraId="198CCB7D">
      <w:pPr>
        <w:pStyle w:val="4"/>
        <w:spacing w:line="315" w:lineRule="auto"/>
      </w:pPr>
    </w:p>
    <w:p w14:paraId="2138DBCD">
      <w:pPr>
        <w:pStyle w:val="4"/>
        <w:spacing w:line="315" w:lineRule="auto"/>
      </w:pPr>
    </w:p>
    <w:p w14:paraId="445C21C6">
      <w:pPr>
        <w:pStyle w:val="4"/>
        <w:spacing w:before="70" w:line="234" w:lineRule="auto"/>
        <w:ind w:left="419"/>
        <w:outlineLvl w:val="1"/>
        <w:rPr>
          <w:sz w:val="24"/>
          <w:szCs w:val="24"/>
        </w:rPr>
      </w:pPr>
      <w:r>
        <w:rPr>
          <w:color w:val="174174"/>
          <w:spacing w:val="-8"/>
          <w:sz w:val="24"/>
          <w:szCs w:val="24"/>
        </w:rPr>
        <w:t>Oil Production (Argentina 2023-2028)</w:t>
      </w:r>
    </w:p>
    <w:p w14:paraId="3E2EFA13">
      <w:pPr>
        <w:spacing w:line="42"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461"/>
        <w:gridCol w:w="847"/>
        <w:gridCol w:w="923"/>
        <w:gridCol w:w="873"/>
        <w:gridCol w:w="1034"/>
        <w:gridCol w:w="1033"/>
        <w:gridCol w:w="1033"/>
      </w:tblGrid>
      <w:tr w14:paraId="366D76D7">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5" w:hRule="atLeast"/>
        </w:trPr>
        <w:tc>
          <w:tcPr>
            <w:tcW w:w="4461" w:type="dxa"/>
            <w:tcBorders>
              <w:left w:val="nil"/>
            </w:tcBorders>
            <w:vAlign w:val="top"/>
          </w:tcPr>
          <w:p w14:paraId="1CABB12D">
            <w:pPr>
              <w:pStyle w:val="8"/>
              <w:spacing w:before="75" w:line="243" w:lineRule="exact"/>
              <w:ind w:left="13"/>
            </w:pPr>
            <w:r>
              <w:rPr>
                <w:b/>
                <w:bCs/>
                <w:color w:val="5F6A72"/>
                <w:spacing w:val="-6"/>
                <w:position w:val="1"/>
              </w:rPr>
              <w:t>Indicator</w:t>
            </w:r>
          </w:p>
        </w:tc>
        <w:tc>
          <w:tcPr>
            <w:tcW w:w="847" w:type="dxa"/>
            <w:tcBorders>
              <w:right w:val="nil"/>
            </w:tcBorders>
            <w:vAlign w:val="top"/>
          </w:tcPr>
          <w:p w14:paraId="7CF769DF">
            <w:pPr>
              <w:pStyle w:val="8"/>
              <w:spacing w:before="75" w:line="242" w:lineRule="exact"/>
              <w:ind w:left="385"/>
            </w:pPr>
            <w:r>
              <w:rPr>
                <w:b/>
                <w:bCs/>
                <w:color w:val="5F6A72"/>
                <w:spacing w:val="-4"/>
                <w:position w:val="1"/>
              </w:rPr>
              <w:t>2023</w:t>
            </w:r>
          </w:p>
        </w:tc>
        <w:tc>
          <w:tcPr>
            <w:tcW w:w="923" w:type="dxa"/>
            <w:tcBorders>
              <w:left w:val="nil"/>
              <w:right w:val="nil"/>
            </w:tcBorders>
            <w:vAlign w:val="top"/>
          </w:tcPr>
          <w:p w14:paraId="2C1302EF">
            <w:pPr>
              <w:pStyle w:val="8"/>
              <w:spacing w:before="75" w:line="242" w:lineRule="exact"/>
              <w:ind w:left="372"/>
            </w:pPr>
            <w:r>
              <w:rPr>
                <w:b/>
                <w:bCs/>
                <w:color w:val="5F6A72"/>
                <w:spacing w:val="-4"/>
                <w:position w:val="1"/>
              </w:rPr>
              <w:t>2024e</w:t>
            </w:r>
          </w:p>
        </w:tc>
        <w:tc>
          <w:tcPr>
            <w:tcW w:w="873" w:type="dxa"/>
            <w:tcBorders>
              <w:left w:val="nil"/>
              <w:right w:val="nil"/>
            </w:tcBorders>
            <w:vAlign w:val="top"/>
          </w:tcPr>
          <w:p w14:paraId="764E0E05">
            <w:pPr>
              <w:pStyle w:val="8"/>
              <w:spacing w:before="75" w:line="242" w:lineRule="exact"/>
              <w:ind w:left="356"/>
            </w:pPr>
            <w:r>
              <w:rPr>
                <w:b/>
                <w:bCs/>
                <w:color w:val="5F6A72"/>
                <w:spacing w:val="-1"/>
                <w:position w:val="1"/>
              </w:rPr>
              <w:t>2025f</w:t>
            </w:r>
          </w:p>
        </w:tc>
        <w:tc>
          <w:tcPr>
            <w:tcW w:w="1034" w:type="dxa"/>
            <w:tcBorders>
              <w:left w:val="nil"/>
              <w:right w:val="nil"/>
            </w:tcBorders>
            <w:vAlign w:val="top"/>
          </w:tcPr>
          <w:p w14:paraId="2AEDC38C">
            <w:pPr>
              <w:pStyle w:val="8"/>
              <w:spacing w:before="75" w:line="242" w:lineRule="exact"/>
              <w:ind w:left="517"/>
            </w:pPr>
            <w:r>
              <w:rPr>
                <w:b/>
                <w:bCs/>
                <w:color w:val="5F6A72"/>
                <w:spacing w:val="-1"/>
                <w:position w:val="1"/>
              </w:rPr>
              <w:t>2026f</w:t>
            </w:r>
          </w:p>
        </w:tc>
        <w:tc>
          <w:tcPr>
            <w:tcW w:w="1033" w:type="dxa"/>
            <w:tcBorders>
              <w:left w:val="nil"/>
              <w:right w:val="nil"/>
            </w:tcBorders>
            <w:vAlign w:val="top"/>
          </w:tcPr>
          <w:p w14:paraId="42E6ED77">
            <w:pPr>
              <w:pStyle w:val="8"/>
              <w:spacing w:before="75" w:line="242" w:lineRule="exact"/>
              <w:ind w:left="516"/>
            </w:pPr>
            <w:r>
              <w:rPr>
                <w:b/>
                <w:bCs/>
                <w:color w:val="5F6A72"/>
                <w:spacing w:val="-1"/>
                <w:position w:val="1"/>
              </w:rPr>
              <w:t>2027f</w:t>
            </w:r>
          </w:p>
        </w:tc>
        <w:tc>
          <w:tcPr>
            <w:tcW w:w="1033" w:type="dxa"/>
            <w:tcBorders>
              <w:left w:val="nil"/>
              <w:right w:val="nil"/>
            </w:tcBorders>
            <w:vAlign w:val="top"/>
          </w:tcPr>
          <w:p w14:paraId="0CB2F401">
            <w:pPr>
              <w:pStyle w:val="8"/>
              <w:spacing w:before="75" w:line="242" w:lineRule="exact"/>
              <w:ind w:left="517"/>
            </w:pPr>
            <w:r>
              <w:rPr>
                <w:b/>
                <w:bCs/>
                <w:color w:val="5F6A72"/>
                <w:spacing w:val="-1"/>
                <w:position w:val="1"/>
              </w:rPr>
              <w:t>2028f</w:t>
            </w:r>
          </w:p>
        </w:tc>
      </w:tr>
      <w:tr w14:paraId="69A06FEE">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37" w:hRule="atLeast"/>
        </w:trPr>
        <w:tc>
          <w:tcPr>
            <w:tcW w:w="4461" w:type="dxa"/>
            <w:tcBorders>
              <w:left w:val="nil"/>
            </w:tcBorders>
            <w:vAlign w:val="top"/>
          </w:tcPr>
          <w:p w14:paraId="1F835F86">
            <w:pPr>
              <w:pStyle w:val="8"/>
              <w:spacing w:before="72" w:line="236" w:lineRule="auto"/>
              <w:ind w:left="12"/>
            </w:pPr>
            <w:r>
              <w:rPr>
                <w:color w:val="2A8ABF"/>
                <w:spacing w:val="-7"/>
              </w:rPr>
              <w:t>Crude, NGPL &amp; other liquids p</w:t>
            </w:r>
            <w:r>
              <w:rPr>
                <w:color w:val="2A8ABF"/>
                <w:spacing w:val="-8"/>
              </w:rPr>
              <w:t>rod,</w:t>
            </w:r>
            <w:r>
              <w:rPr>
                <w:color w:val="2A8ABF"/>
                <w:spacing w:val="-12"/>
              </w:rPr>
              <w:t xml:space="preserve"> </w:t>
            </w:r>
            <w:r>
              <w:rPr>
                <w:color w:val="2A8ABF"/>
                <w:spacing w:val="-8"/>
              </w:rPr>
              <w:t>000b/d</w:t>
            </w:r>
          </w:p>
        </w:tc>
        <w:tc>
          <w:tcPr>
            <w:tcW w:w="847" w:type="dxa"/>
            <w:tcBorders>
              <w:right w:val="nil"/>
            </w:tcBorders>
            <w:vAlign w:val="top"/>
          </w:tcPr>
          <w:p w14:paraId="50F8C714">
            <w:pPr>
              <w:pStyle w:val="8"/>
              <w:spacing w:before="73" w:line="237" w:lineRule="exact"/>
              <w:ind w:left="356"/>
            </w:pPr>
            <w:r>
              <w:rPr>
                <w:color w:val="5F6A72"/>
                <w:spacing w:val="-6"/>
                <w:position w:val="1"/>
              </w:rPr>
              <w:t>806.7</w:t>
            </w:r>
          </w:p>
        </w:tc>
        <w:tc>
          <w:tcPr>
            <w:tcW w:w="923" w:type="dxa"/>
            <w:tcBorders>
              <w:left w:val="nil"/>
              <w:right w:val="nil"/>
            </w:tcBorders>
            <w:vAlign w:val="top"/>
          </w:tcPr>
          <w:p w14:paraId="7B2AFF46">
            <w:pPr>
              <w:pStyle w:val="8"/>
              <w:spacing w:before="73" w:line="237" w:lineRule="exact"/>
              <w:ind w:left="437"/>
            </w:pPr>
            <w:r>
              <w:rPr>
                <w:color w:val="5F6A72"/>
                <w:spacing w:val="-6"/>
                <w:position w:val="1"/>
              </w:rPr>
              <w:t>879.1</w:t>
            </w:r>
          </w:p>
        </w:tc>
        <w:tc>
          <w:tcPr>
            <w:tcW w:w="873" w:type="dxa"/>
            <w:tcBorders>
              <w:left w:val="nil"/>
              <w:right w:val="nil"/>
            </w:tcBorders>
            <w:vAlign w:val="top"/>
          </w:tcPr>
          <w:p w14:paraId="3087F783">
            <w:pPr>
              <w:pStyle w:val="8"/>
              <w:spacing w:before="73" w:line="237" w:lineRule="exact"/>
              <w:ind w:left="387"/>
            </w:pPr>
            <w:r>
              <w:rPr>
                <w:color w:val="5F6A72"/>
                <w:spacing w:val="-6"/>
                <w:position w:val="1"/>
              </w:rPr>
              <w:t>986.7</w:t>
            </w:r>
          </w:p>
        </w:tc>
        <w:tc>
          <w:tcPr>
            <w:tcW w:w="1034" w:type="dxa"/>
            <w:tcBorders>
              <w:left w:val="nil"/>
              <w:right w:val="nil"/>
            </w:tcBorders>
            <w:vAlign w:val="top"/>
          </w:tcPr>
          <w:p w14:paraId="02728BD4">
            <w:pPr>
              <w:pStyle w:val="8"/>
              <w:spacing w:before="73" w:line="213" w:lineRule="exact"/>
              <w:ind w:left="417"/>
            </w:pPr>
            <w:r>
              <w:rPr>
                <w:color w:val="5F6A72"/>
                <w:spacing w:val="-8"/>
                <w:position w:val="1"/>
              </w:rPr>
              <w:t>1,012.8</w:t>
            </w:r>
          </w:p>
        </w:tc>
        <w:tc>
          <w:tcPr>
            <w:tcW w:w="1033" w:type="dxa"/>
            <w:tcBorders>
              <w:left w:val="nil"/>
              <w:right w:val="nil"/>
            </w:tcBorders>
            <w:vAlign w:val="top"/>
          </w:tcPr>
          <w:p w14:paraId="10009DE1">
            <w:pPr>
              <w:pStyle w:val="8"/>
              <w:spacing w:before="73" w:line="213" w:lineRule="exact"/>
              <w:ind w:left="417"/>
            </w:pPr>
            <w:r>
              <w:rPr>
                <w:color w:val="5F6A72"/>
                <w:spacing w:val="-8"/>
                <w:position w:val="1"/>
              </w:rPr>
              <w:t>1,039.7</w:t>
            </w:r>
          </w:p>
        </w:tc>
        <w:tc>
          <w:tcPr>
            <w:tcW w:w="1033" w:type="dxa"/>
            <w:tcBorders>
              <w:left w:val="nil"/>
              <w:right w:val="nil"/>
            </w:tcBorders>
            <w:vAlign w:val="top"/>
          </w:tcPr>
          <w:p w14:paraId="7D69501A">
            <w:pPr>
              <w:pStyle w:val="8"/>
              <w:spacing w:before="73" w:line="213" w:lineRule="exact"/>
              <w:ind w:left="417"/>
            </w:pPr>
            <w:r>
              <w:rPr>
                <w:color w:val="5F6A72"/>
                <w:spacing w:val="-8"/>
                <w:position w:val="1"/>
              </w:rPr>
              <w:t>1,058.7</w:t>
            </w:r>
          </w:p>
        </w:tc>
      </w:tr>
      <w:tr w14:paraId="49CBC9AD">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4" w:hRule="atLeast"/>
        </w:trPr>
        <w:tc>
          <w:tcPr>
            <w:tcW w:w="4461" w:type="dxa"/>
            <w:tcBorders>
              <w:left w:val="nil"/>
              <w:bottom w:val="single" w:color="333333" w:sz="4" w:space="0"/>
            </w:tcBorders>
            <w:shd w:val="clear" w:color="auto" w:fill="EAF9FF"/>
            <w:vAlign w:val="top"/>
          </w:tcPr>
          <w:p w14:paraId="7C91D902">
            <w:pPr>
              <w:pStyle w:val="8"/>
              <w:spacing w:before="77" w:line="233" w:lineRule="auto"/>
              <w:ind w:left="12"/>
            </w:pPr>
            <w:r>
              <w:rPr>
                <w:color w:val="2A8ABF"/>
                <w:spacing w:val="-9"/>
              </w:rPr>
              <w:t>Crude, NGPL &amp; other liquids prod,</w:t>
            </w:r>
            <w:r>
              <w:rPr>
                <w:color w:val="2A8ABF"/>
                <w:spacing w:val="-13"/>
              </w:rPr>
              <w:t xml:space="preserve"> </w:t>
            </w:r>
            <w:r>
              <w:rPr>
                <w:color w:val="2A8ABF"/>
                <w:spacing w:val="-9"/>
              </w:rPr>
              <w:t>%</w:t>
            </w:r>
            <w:r>
              <w:rPr>
                <w:color w:val="2A8ABF"/>
                <w:spacing w:val="-18"/>
              </w:rPr>
              <w:t xml:space="preserve"> </w:t>
            </w:r>
            <w:r>
              <w:rPr>
                <w:color w:val="2A8ABF"/>
                <w:spacing w:val="-9"/>
              </w:rPr>
              <w:t>y-o-y</w:t>
            </w:r>
          </w:p>
        </w:tc>
        <w:tc>
          <w:tcPr>
            <w:tcW w:w="847" w:type="dxa"/>
            <w:tcBorders>
              <w:bottom w:val="single" w:color="333333" w:sz="4" w:space="0"/>
              <w:right w:val="nil"/>
            </w:tcBorders>
            <w:shd w:val="clear" w:color="auto" w:fill="EAF9FF"/>
            <w:vAlign w:val="top"/>
          </w:tcPr>
          <w:p w14:paraId="27967A41">
            <w:pPr>
              <w:pStyle w:val="8"/>
              <w:spacing w:before="76" w:line="239" w:lineRule="exact"/>
              <w:ind w:left="547"/>
            </w:pPr>
            <w:r>
              <w:rPr>
                <w:color w:val="5F6A72"/>
                <w:spacing w:val="-6"/>
                <w:position w:val="1"/>
              </w:rPr>
              <w:t>4.1</w:t>
            </w:r>
          </w:p>
        </w:tc>
        <w:tc>
          <w:tcPr>
            <w:tcW w:w="923" w:type="dxa"/>
            <w:tcBorders>
              <w:left w:val="nil"/>
              <w:bottom w:val="single" w:color="333333" w:sz="4" w:space="0"/>
              <w:right w:val="nil"/>
            </w:tcBorders>
            <w:shd w:val="clear" w:color="auto" w:fill="EAF9FF"/>
            <w:vAlign w:val="top"/>
          </w:tcPr>
          <w:p w14:paraId="2EE00C02">
            <w:pPr>
              <w:pStyle w:val="8"/>
              <w:spacing w:before="76" w:line="237" w:lineRule="exact"/>
              <w:ind w:left="632"/>
            </w:pPr>
            <w:r>
              <w:rPr>
                <w:color w:val="5F6A72"/>
                <w:spacing w:val="-7"/>
                <w:position w:val="1"/>
              </w:rPr>
              <w:t>9.0</w:t>
            </w:r>
          </w:p>
        </w:tc>
        <w:tc>
          <w:tcPr>
            <w:tcW w:w="873" w:type="dxa"/>
            <w:tcBorders>
              <w:left w:val="nil"/>
              <w:bottom w:val="single" w:color="333333" w:sz="4" w:space="0"/>
              <w:right w:val="nil"/>
            </w:tcBorders>
            <w:shd w:val="clear" w:color="auto" w:fill="EAF9FF"/>
            <w:vAlign w:val="top"/>
          </w:tcPr>
          <w:p w14:paraId="7194FC8D">
            <w:pPr>
              <w:pStyle w:val="8"/>
              <w:spacing w:before="76" w:line="239" w:lineRule="exact"/>
              <w:ind w:left="488"/>
            </w:pPr>
            <w:r>
              <w:rPr>
                <w:color w:val="5F6A72"/>
                <w:spacing w:val="-7"/>
                <w:position w:val="1"/>
              </w:rPr>
              <w:t>12.2</w:t>
            </w:r>
          </w:p>
        </w:tc>
        <w:tc>
          <w:tcPr>
            <w:tcW w:w="1034" w:type="dxa"/>
            <w:tcBorders>
              <w:left w:val="nil"/>
              <w:bottom w:val="single" w:color="333333" w:sz="4" w:space="0"/>
              <w:right w:val="nil"/>
            </w:tcBorders>
            <w:shd w:val="clear" w:color="auto" w:fill="EAF9FF"/>
            <w:vAlign w:val="top"/>
          </w:tcPr>
          <w:p w14:paraId="084D4412">
            <w:pPr>
              <w:pStyle w:val="8"/>
              <w:spacing w:before="76" w:line="237" w:lineRule="exact"/>
              <w:ind w:left="741"/>
            </w:pPr>
            <w:r>
              <w:rPr>
                <w:color w:val="5F6A72"/>
                <w:spacing w:val="-6"/>
                <w:position w:val="1"/>
              </w:rPr>
              <w:t>2.6</w:t>
            </w:r>
          </w:p>
        </w:tc>
        <w:tc>
          <w:tcPr>
            <w:tcW w:w="1033" w:type="dxa"/>
            <w:tcBorders>
              <w:left w:val="nil"/>
              <w:bottom w:val="single" w:color="333333" w:sz="4" w:space="0"/>
              <w:right w:val="nil"/>
            </w:tcBorders>
            <w:shd w:val="clear" w:color="auto" w:fill="EAF9FF"/>
            <w:vAlign w:val="top"/>
          </w:tcPr>
          <w:p w14:paraId="52A2139A">
            <w:pPr>
              <w:pStyle w:val="8"/>
              <w:spacing w:before="76" w:line="239" w:lineRule="exact"/>
              <w:ind w:left="740"/>
            </w:pPr>
            <w:r>
              <w:rPr>
                <w:color w:val="5F6A72"/>
                <w:spacing w:val="-6"/>
                <w:position w:val="1"/>
              </w:rPr>
              <w:t>2.7</w:t>
            </w:r>
          </w:p>
        </w:tc>
        <w:tc>
          <w:tcPr>
            <w:tcW w:w="1033" w:type="dxa"/>
            <w:tcBorders>
              <w:left w:val="nil"/>
              <w:bottom w:val="single" w:color="333333" w:sz="4" w:space="0"/>
              <w:right w:val="nil"/>
            </w:tcBorders>
            <w:shd w:val="clear" w:color="auto" w:fill="EAF9FF"/>
            <w:vAlign w:val="top"/>
          </w:tcPr>
          <w:p w14:paraId="47E6DC9C">
            <w:pPr>
              <w:pStyle w:val="8"/>
              <w:spacing w:before="76" w:line="237" w:lineRule="exact"/>
              <w:ind w:left="745"/>
            </w:pPr>
            <w:r>
              <w:rPr>
                <w:color w:val="5F6A72"/>
                <w:spacing w:val="-7"/>
                <w:position w:val="1"/>
              </w:rPr>
              <w:t>1.8</w:t>
            </w:r>
          </w:p>
        </w:tc>
      </w:tr>
    </w:tbl>
    <w:p w14:paraId="198CDDC8">
      <w:pPr>
        <w:pStyle w:val="4"/>
        <w:spacing w:line="175" w:lineRule="exact"/>
        <w:ind w:left="373"/>
        <w:rPr>
          <w:sz w:val="15"/>
          <w:szCs w:val="15"/>
        </w:rPr>
      </w:pP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5919CE1D">
      <w:pPr>
        <w:pStyle w:val="4"/>
        <w:spacing w:line="321" w:lineRule="auto"/>
      </w:pPr>
    </w:p>
    <w:p w14:paraId="3F6FB13C">
      <w:pPr>
        <w:pStyle w:val="4"/>
        <w:spacing w:before="70" w:line="234" w:lineRule="auto"/>
        <w:ind w:left="419"/>
        <w:outlineLvl w:val="1"/>
        <w:rPr>
          <w:sz w:val="24"/>
          <w:szCs w:val="24"/>
        </w:rPr>
      </w:pPr>
      <w:r>
        <w:rPr>
          <w:color w:val="174174"/>
          <w:spacing w:val="-8"/>
          <w:sz w:val="24"/>
          <w:szCs w:val="24"/>
        </w:rPr>
        <w:t>Oil Production (Argentina 2029-2034)</w:t>
      </w:r>
    </w:p>
    <w:p w14:paraId="169FB884">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265"/>
        <w:gridCol w:w="999"/>
        <w:gridCol w:w="988"/>
        <w:gridCol w:w="988"/>
        <w:gridCol w:w="988"/>
        <w:gridCol w:w="988"/>
        <w:gridCol w:w="988"/>
      </w:tblGrid>
      <w:tr w14:paraId="1FC888A6">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4" w:hRule="atLeast"/>
        </w:trPr>
        <w:tc>
          <w:tcPr>
            <w:tcW w:w="4265" w:type="dxa"/>
            <w:tcBorders>
              <w:left w:val="nil"/>
            </w:tcBorders>
            <w:vAlign w:val="top"/>
          </w:tcPr>
          <w:p w14:paraId="08C4F1A2">
            <w:pPr>
              <w:pStyle w:val="8"/>
              <w:spacing w:before="75" w:line="243" w:lineRule="exact"/>
              <w:ind w:left="13"/>
            </w:pPr>
            <w:r>
              <w:rPr>
                <w:b/>
                <w:bCs/>
                <w:color w:val="5F6A72"/>
                <w:spacing w:val="-6"/>
                <w:position w:val="1"/>
              </w:rPr>
              <w:t>Indicator</w:t>
            </w:r>
          </w:p>
        </w:tc>
        <w:tc>
          <w:tcPr>
            <w:tcW w:w="999" w:type="dxa"/>
            <w:tcBorders>
              <w:right w:val="nil"/>
            </w:tcBorders>
            <w:vAlign w:val="top"/>
          </w:tcPr>
          <w:p w14:paraId="207C1829">
            <w:pPr>
              <w:pStyle w:val="8"/>
              <w:spacing w:before="75" w:line="242" w:lineRule="exact"/>
              <w:ind w:left="477"/>
            </w:pPr>
            <w:r>
              <w:rPr>
                <w:b/>
                <w:bCs/>
                <w:color w:val="5F6A72"/>
                <w:spacing w:val="-1"/>
                <w:position w:val="1"/>
              </w:rPr>
              <w:t>2029f</w:t>
            </w:r>
          </w:p>
        </w:tc>
        <w:tc>
          <w:tcPr>
            <w:tcW w:w="988" w:type="dxa"/>
            <w:tcBorders>
              <w:left w:val="nil"/>
              <w:right w:val="nil"/>
            </w:tcBorders>
            <w:vAlign w:val="top"/>
          </w:tcPr>
          <w:p w14:paraId="10B6B0FC">
            <w:pPr>
              <w:pStyle w:val="8"/>
              <w:spacing w:before="75" w:line="242" w:lineRule="exact"/>
              <w:ind w:left="471"/>
            </w:pPr>
            <w:r>
              <w:rPr>
                <w:b/>
                <w:bCs/>
                <w:color w:val="5F6A72"/>
                <w:spacing w:val="-1"/>
                <w:position w:val="1"/>
              </w:rPr>
              <w:t>2030f</w:t>
            </w:r>
          </w:p>
        </w:tc>
        <w:tc>
          <w:tcPr>
            <w:tcW w:w="988" w:type="dxa"/>
            <w:tcBorders>
              <w:left w:val="nil"/>
              <w:right w:val="nil"/>
            </w:tcBorders>
            <w:vAlign w:val="top"/>
          </w:tcPr>
          <w:p w14:paraId="7D77CE32">
            <w:pPr>
              <w:pStyle w:val="8"/>
              <w:spacing w:before="75" w:line="242" w:lineRule="exact"/>
              <w:ind w:left="471"/>
            </w:pPr>
            <w:r>
              <w:rPr>
                <w:b/>
                <w:bCs/>
                <w:color w:val="5F6A72"/>
                <w:spacing w:val="-1"/>
                <w:position w:val="1"/>
              </w:rPr>
              <w:t>2031f</w:t>
            </w:r>
          </w:p>
        </w:tc>
        <w:tc>
          <w:tcPr>
            <w:tcW w:w="988" w:type="dxa"/>
            <w:tcBorders>
              <w:left w:val="nil"/>
              <w:right w:val="nil"/>
            </w:tcBorders>
            <w:vAlign w:val="top"/>
          </w:tcPr>
          <w:p w14:paraId="0D140D91">
            <w:pPr>
              <w:pStyle w:val="8"/>
              <w:spacing w:before="75" w:line="242" w:lineRule="exact"/>
              <w:ind w:left="471"/>
            </w:pPr>
            <w:r>
              <w:rPr>
                <w:b/>
                <w:bCs/>
                <w:color w:val="5F6A72"/>
                <w:spacing w:val="-1"/>
                <w:position w:val="1"/>
              </w:rPr>
              <w:t>2032f</w:t>
            </w:r>
          </w:p>
        </w:tc>
        <w:tc>
          <w:tcPr>
            <w:tcW w:w="988" w:type="dxa"/>
            <w:tcBorders>
              <w:left w:val="nil"/>
              <w:right w:val="nil"/>
            </w:tcBorders>
            <w:vAlign w:val="top"/>
          </w:tcPr>
          <w:p w14:paraId="6D628217">
            <w:pPr>
              <w:pStyle w:val="8"/>
              <w:spacing w:before="75" w:line="242" w:lineRule="exact"/>
              <w:ind w:left="471"/>
            </w:pPr>
            <w:r>
              <w:rPr>
                <w:b/>
                <w:bCs/>
                <w:color w:val="5F6A72"/>
                <w:spacing w:val="-1"/>
                <w:position w:val="1"/>
              </w:rPr>
              <w:t>2033f</w:t>
            </w:r>
          </w:p>
        </w:tc>
        <w:tc>
          <w:tcPr>
            <w:tcW w:w="988" w:type="dxa"/>
            <w:tcBorders>
              <w:left w:val="nil"/>
              <w:right w:val="nil"/>
            </w:tcBorders>
            <w:vAlign w:val="top"/>
          </w:tcPr>
          <w:p w14:paraId="25404886">
            <w:pPr>
              <w:pStyle w:val="8"/>
              <w:spacing w:before="75" w:line="242" w:lineRule="exact"/>
              <w:ind w:left="472"/>
            </w:pPr>
            <w:r>
              <w:rPr>
                <w:b/>
                <w:bCs/>
                <w:color w:val="5F6A72"/>
                <w:spacing w:val="-1"/>
                <w:position w:val="1"/>
              </w:rPr>
              <w:t>2034f</w:t>
            </w:r>
          </w:p>
        </w:tc>
      </w:tr>
      <w:tr w14:paraId="4B737279">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37" w:hRule="atLeast"/>
        </w:trPr>
        <w:tc>
          <w:tcPr>
            <w:tcW w:w="4265" w:type="dxa"/>
            <w:tcBorders>
              <w:left w:val="nil"/>
            </w:tcBorders>
            <w:vAlign w:val="top"/>
          </w:tcPr>
          <w:p w14:paraId="43813F83">
            <w:pPr>
              <w:pStyle w:val="8"/>
              <w:spacing w:before="73" w:line="236" w:lineRule="auto"/>
              <w:ind w:left="12"/>
            </w:pPr>
            <w:r>
              <w:rPr>
                <w:color w:val="2A8ABF"/>
                <w:spacing w:val="-7"/>
              </w:rPr>
              <w:t>Crude, NGPL &amp; other liquids p</w:t>
            </w:r>
            <w:r>
              <w:rPr>
                <w:color w:val="2A8ABF"/>
                <w:spacing w:val="-8"/>
              </w:rPr>
              <w:t>rod,</w:t>
            </w:r>
            <w:r>
              <w:rPr>
                <w:color w:val="2A8ABF"/>
                <w:spacing w:val="-12"/>
              </w:rPr>
              <w:t xml:space="preserve"> </w:t>
            </w:r>
            <w:r>
              <w:rPr>
                <w:color w:val="2A8ABF"/>
                <w:spacing w:val="-8"/>
              </w:rPr>
              <w:t>000b/d</w:t>
            </w:r>
          </w:p>
        </w:tc>
        <w:tc>
          <w:tcPr>
            <w:tcW w:w="999" w:type="dxa"/>
            <w:tcBorders>
              <w:right w:val="nil"/>
            </w:tcBorders>
            <w:vAlign w:val="top"/>
          </w:tcPr>
          <w:p w14:paraId="524010F0">
            <w:pPr>
              <w:pStyle w:val="8"/>
              <w:spacing w:before="74" w:line="213" w:lineRule="exact"/>
              <w:ind w:left="377"/>
            </w:pPr>
            <w:r>
              <w:rPr>
                <w:color w:val="5F6A72"/>
                <w:spacing w:val="-8"/>
                <w:position w:val="1"/>
              </w:rPr>
              <w:t>1,078.1</w:t>
            </w:r>
          </w:p>
        </w:tc>
        <w:tc>
          <w:tcPr>
            <w:tcW w:w="988" w:type="dxa"/>
            <w:tcBorders>
              <w:left w:val="nil"/>
              <w:right w:val="nil"/>
            </w:tcBorders>
            <w:vAlign w:val="top"/>
          </w:tcPr>
          <w:p w14:paraId="456F01E8">
            <w:pPr>
              <w:pStyle w:val="8"/>
              <w:spacing w:before="74" w:line="213" w:lineRule="exact"/>
              <w:ind w:left="371"/>
            </w:pPr>
            <w:r>
              <w:rPr>
                <w:color w:val="5F6A72"/>
                <w:spacing w:val="-8"/>
                <w:position w:val="1"/>
              </w:rPr>
              <w:t>1,097.8</w:t>
            </w:r>
          </w:p>
        </w:tc>
        <w:tc>
          <w:tcPr>
            <w:tcW w:w="988" w:type="dxa"/>
            <w:tcBorders>
              <w:left w:val="nil"/>
              <w:right w:val="nil"/>
            </w:tcBorders>
            <w:vAlign w:val="top"/>
          </w:tcPr>
          <w:p w14:paraId="085E8038">
            <w:pPr>
              <w:pStyle w:val="8"/>
              <w:spacing w:before="74" w:line="213" w:lineRule="exact"/>
              <w:ind w:left="371"/>
            </w:pPr>
            <w:r>
              <w:rPr>
                <w:color w:val="5F6A72"/>
                <w:spacing w:val="-8"/>
                <w:position w:val="1"/>
              </w:rPr>
              <w:t>1,117.9</w:t>
            </w:r>
          </w:p>
        </w:tc>
        <w:tc>
          <w:tcPr>
            <w:tcW w:w="988" w:type="dxa"/>
            <w:tcBorders>
              <w:left w:val="nil"/>
              <w:right w:val="nil"/>
            </w:tcBorders>
            <w:vAlign w:val="top"/>
          </w:tcPr>
          <w:p w14:paraId="74B428BE">
            <w:pPr>
              <w:pStyle w:val="8"/>
              <w:spacing w:before="74" w:line="213" w:lineRule="exact"/>
              <w:ind w:left="372"/>
            </w:pPr>
            <w:r>
              <w:rPr>
                <w:color w:val="5F6A72"/>
                <w:spacing w:val="-8"/>
                <w:position w:val="1"/>
              </w:rPr>
              <w:t>1,138.4</w:t>
            </w:r>
          </w:p>
        </w:tc>
        <w:tc>
          <w:tcPr>
            <w:tcW w:w="988" w:type="dxa"/>
            <w:tcBorders>
              <w:left w:val="nil"/>
              <w:right w:val="nil"/>
            </w:tcBorders>
            <w:vAlign w:val="top"/>
          </w:tcPr>
          <w:p w14:paraId="140C3AD7">
            <w:pPr>
              <w:pStyle w:val="8"/>
              <w:spacing w:before="74" w:line="213" w:lineRule="exact"/>
              <w:ind w:left="372"/>
            </w:pPr>
            <w:r>
              <w:rPr>
                <w:color w:val="5F6A72"/>
                <w:spacing w:val="-8"/>
                <w:position w:val="1"/>
              </w:rPr>
              <w:t>1,159.3</w:t>
            </w:r>
          </w:p>
        </w:tc>
        <w:tc>
          <w:tcPr>
            <w:tcW w:w="988" w:type="dxa"/>
            <w:tcBorders>
              <w:left w:val="nil"/>
              <w:right w:val="nil"/>
            </w:tcBorders>
            <w:vAlign w:val="top"/>
          </w:tcPr>
          <w:p w14:paraId="66D9C00D">
            <w:pPr>
              <w:pStyle w:val="8"/>
              <w:spacing w:before="74" w:line="213" w:lineRule="exact"/>
              <w:ind w:left="372"/>
            </w:pPr>
            <w:r>
              <w:rPr>
                <w:color w:val="5F6A72"/>
                <w:spacing w:val="-8"/>
                <w:position w:val="1"/>
              </w:rPr>
              <w:t>1,180.6</w:t>
            </w:r>
          </w:p>
        </w:tc>
      </w:tr>
      <w:tr w14:paraId="67221346">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5" w:hRule="atLeast"/>
        </w:trPr>
        <w:tc>
          <w:tcPr>
            <w:tcW w:w="4265" w:type="dxa"/>
            <w:tcBorders>
              <w:left w:val="nil"/>
              <w:bottom w:val="single" w:color="333333" w:sz="4" w:space="0"/>
            </w:tcBorders>
            <w:shd w:val="clear" w:color="auto" w:fill="EAF9FF"/>
            <w:vAlign w:val="top"/>
          </w:tcPr>
          <w:p w14:paraId="33D0F052">
            <w:pPr>
              <w:pStyle w:val="8"/>
              <w:spacing w:before="78" w:line="233" w:lineRule="auto"/>
              <w:ind w:left="12"/>
            </w:pPr>
            <w:r>
              <w:rPr>
                <w:color w:val="2A8ABF"/>
                <w:spacing w:val="-9"/>
              </w:rPr>
              <w:t>Crude, NGPL &amp; other liquids prod,</w:t>
            </w:r>
            <w:r>
              <w:rPr>
                <w:color w:val="2A8ABF"/>
                <w:spacing w:val="-13"/>
              </w:rPr>
              <w:t xml:space="preserve"> </w:t>
            </w:r>
            <w:r>
              <w:rPr>
                <w:color w:val="2A8ABF"/>
                <w:spacing w:val="-9"/>
              </w:rPr>
              <w:t>%</w:t>
            </w:r>
            <w:r>
              <w:rPr>
                <w:color w:val="2A8ABF"/>
                <w:spacing w:val="-18"/>
              </w:rPr>
              <w:t xml:space="preserve"> </w:t>
            </w:r>
            <w:r>
              <w:rPr>
                <w:color w:val="2A8ABF"/>
                <w:spacing w:val="-9"/>
              </w:rPr>
              <w:t>y-o-y</w:t>
            </w:r>
          </w:p>
        </w:tc>
        <w:tc>
          <w:tcPr>
            <w:tcW w:w="999" w:type="dxa"/>
            <w:tcBorders>
              <w:bottom w:val="single" w:color="333333" w:sz="4" w:space="0"/>
              <w:right w:val="nil"/>
            </w:tcBorders>
            <w:shd w:val="clear" w:color="auto" w:fill="EAF9FF"/>
            <w:vAlign w:val="top"/>
          </w:tcPr>
          <w:p w14:paraId="7AC1FB13">
            <w:pPr>
              <w:pStyle w:val="8"/>
              <w:spacing w:before="77" w:line="237" w:lineRule="exact"/>
              <w:ind w:left="705"/>
            </w:pPr>
            <w:r>
              <w:rPr>
                <w:color w:val="5F6A72"/>
                <w:spacing w:val="-7"/>
                <w:position w:val="1"/>
              </w:rPr>
              <w:t>1.8</w:t>
            </w:r>
          </w:p>
        </w:tc>
        <w:tc>
          <w:tcPr>
            <w:tcW w:w="988" w:type="dxa"/>
            <w:tcBorders>
              <w:left w:val="nil"/>
              <w:bottom w:val="single" w:color="333333" w:sz="4" w:space="0"/>
              <w:right w:val="nil"/>
            </w:tcBorders>
            <w:shd w:val="clear" w:color="auto" w:fill="EAF9FF"/>
            <w:vAlign w:val="top"/>
          </w:tcPr>
          <w:p w14:paraId="31D0C487">
            <w:pPr>
              <w:pStyle w:val="8"/>
              <w:spacing w:before="77" w:line="237" w:lineRule="exact"/>
              <w:ind w:left="700"/>
            </w:pPr>
            <w:r>
              <w:rPr>
                <w:color w:val="5F6A72"/>
                <w:spacing w:val="-7"/>
                <w:position w:val="1"/>
              </w:rPr>
              <w:t>1.8</w:t>
            </w:r>
          </w:p>
        </w:tc>
        <w:tc>
          <w:tcPr>
            <w:tcW w:w="988" w:type="dxa"/>
            <w:tcBorders>
              <w:left w:val="nil"/>
              <w:bottom w:val="single" w:color="333333" w:sz="4" w:space="0"/>
              <w:right w:val="nil"/>
            </w:tcBorders>
            <w:shd w:val="clear" w:color="auto" w:fill="EAF9FF"/>
            <w:vAlign w:val="top"/>
          </w:tcPr>
          <w:p w14:paraId="07C2D2D6">
            <w:pPr>
              <w:pStyle w:val="8"/>
              <w:spacing w:before="77" w:line="237" w:lineRule="exact"/>
              <w:ind w:left="700"/>
            </w:pPr>
            <w:r>
              <w:rPr>
                <w:color w:val="5F6A72"/>
                <w:spacing w:val="-7"/>
                <w:position w:val="1"/>
              </w:rPr>
              <w:t>1.8</w:t>
            </w:r>
          </w:p>
        </w:tc>
        <w:tc>
          <w:tcPr>
            <w:tcW w:w="988" w:type="dxa"/>
            <w:tcBorders>
              <w:left w:val="nil"/>
              <w:bottom w:val="single" w:color="333333" w:sz="4" w:space="0"/>
              <w:right w:val="nil"/>
            </w:tcBorders>
            <w:shd w:val="clear" w:color="auto" w:fill="EAF9FF"/>
            <w:vAlign w:val="top"/>
          </w:tcPr>
          <w:p w14:paraId="41B2FAC4">
            <w:pPr>
              <w:pStyle w:val="8"/>
              <w:spacing w:before="77" w:line="237" w:lineRule="exact"/>
              <w:ind w:left="700"/>
            </w:pPr>
            <w:r>
              <w:rPr>
                <w:color w:val="5F6A72"/>
                <w:spacing w:val="-7"/>
                <w:position w:val="1"/>
              </w:rPr>
              <w:t>1.8</w:t>
            </w:r>
          </w:p>
        </w:tc>
        <w:tc>
          <w:tcPr>
            <w:tcW w:w="988" w:type="dxa"/>
            <w:tcBorders>
              <w:left w:val="nil"/>
              <w:bottom w:val="single" w:color="333333" w:sz="4" w:space="0"/>
              <w:right w:val="nil"/>
            </w:tcBorders>
            <w:shd w:val="clear" w:color="auto" w:fill="EAF9FF"/>
            <w:vAlign w:val="top"/>
          </w:tcPr>
          <w:p w14:paraId="07EDE33C">
            <w:pPr>
              <w:pStyle w:val="8"/>
              <w:spacing w:before="77" w:line="237" w:lineRule="exact"/>
              <w:ind w:left="700"/>
            </w:pPr>
            <w:r>
              <w:rPr>
                <w:color w:val="5F6A72"/>
                <w:spacing w:val="-7"/>
                <w:position w:val="1"/>
              </w:rPr>
              <w:t>1.8</w:t>
            </w:r>
          </w:p>
        </w:tc>
        <w:tc>
          <w:tcPr>
            <w:tcW w:w="988" w:type="dxa"/>
            <w:tcBorders>
              <w:left w:val="nil"/>
              <w:bottom w:val="single" w:color="333333" w:sz="4" w:space="0"/>
              <w:right w:val="nil"/>
            </w:tcBorders>
            <w:shd w:val="clear" w:color="auto" w:fill="EAF9FF"/>
            <w:vAlign w:val="top"/>
          </w:tcPr>
          <w:p w14:paraId="4C611B7D">
            <w:pPr>
              <w:pStyle w:val="8"/>
              <w:spacing w:before="77" w:line="237" w:lineRule="exact"/>
              <w:ind w:left="700"/>
            </w:pPr>
            <w:r>
              <w:rPr>
                <w:color w:val="5F6A72"/>
                <w:spacing w:val="-7"/>
                <w:position w:val="1"/>
              </w:rPr>
              <w:t>1.8</w:t>
            </w:r>
          </w:p>
        </w:tc>
      </w:tr>
    </w:tbl>
    <w:p w14:paraId="1F0D44A5">
      <w:pPr>
        <w:pStyle w:val="4"/>
        <w:spacing w:line="175" w:lineRule="exact"/>
        <w:ind w:left="373"/>
        <w:rPr>
          <w:sz w:val="15"/>
          <w:szCs w:val="15"/>
        </w:rPr>
      </w:pPr>
      <w:r>
        <w:rPr>
          <w:i/>
          <w:iCs/>
          <w:color w:val="333333"/>
          <w:spacing w:val="-6"/>
          <w:w w:val="93"/>
          <w:position w:val="1"/>
          <w:sz w:val="15"/>
          <w:szCs w:val="15"/>
        </w:rPr>
        <w:t>f</w:t>
      </w:r>
      <w:r>
        <w:rPr>
          <w:i/>
          <w:iCs/>
          <w:color w:val="333333"/>
          <w:spacing w:val="-17"/>
          <w:position w:val="1"/>
          <w:sz w:val="15"/>
          <w:szCs w:val="15"/>
        </w:rPr>
        <w:t xml:space="preserve"> </w:t>
      </w:r>
      <w:r>
        <w:rPr>
          <w:i/>
          <w:iCs/>
          <w:color w:val="333333"/>
          <w:spacing w:val="-6"/>
          <w:w w:val="93"/>
          <w:position w:val="1"/>
          <w:sz w:val="15"/>
          <w:szCs w:val="15"/>
        </w:rPr>
        <w:t>= BMI</w:t>
      </w:r>
      <w:r>
        <w:rPr>
          <w:i/>
          <w:iCs/>
          <w:color w:val="333333"/>
          <w:spacing w:val="-8"/>
          <w:position w:val="1"/>
          <w:sz w:val="15"/>
          <w:szCs w:val="15"/>
        </w:rPr>
        <w:t xml:space="preserve"> </w:t>
      </w:r>
      <w:r>
        <w:rPr>
          <w:i/>
          <w:iCs/>
          <w:color w:val="333333"/>
          <w:spacing w:val="-6"/>
          <w:w w:val="93"/>
          <w:position w:val="1"/>
          <w:sz w:val="15"/>
          <w:szCs w:val="15"/>
        </w:rPr>
        <w:t>forecast. Source: EIA, national</w:t>
      </w:r>
      <w:r>
        <w:rPr>
          <w:i/>
          <w:iCs/>
          <w:color w:val="333333"/>
          <w:spacing w:val="-14"/>
          <w:position w:val="1"/>
          <w:sz w:val="15"/>
          <w:szCs w:val="15"/>
        </w:rPr>
        <w:t xml:space="preserve"> </w:t>
      </w:r>
      <w:r>
        <w:rPr>
          <w:i/>
          <w:iCs/>
          <w:color w:val="333333"/>
          <w:spacing w:val="-6"/>
          <w:w w:val="93"/>
          <w:position w:val="1"/>
          <w:sz w:val="15"/>
          <w:szCs w:val="15"/>
        </w:rPr>
        <w:t>sources, BMI</w:t>
      </w:r>
    </w:p>
    <w:p w14:paraId="3C347CD9">
      <w:pPr>
        <w:spacing w:line="175" w:lineRule="exact"/>
        <w:rPr>
          <w:sz w:val="15"/>
          <w:szCs w:val="15"/>
        </w:rPr>
        <w:sectPr>
          <w:footerReference r:id="rId22" w:type="default"/>
          <w:pgSz w:w="11906" w:h="16838"/>
          <w:pgMar w:top="400" w:right="490" w:bottom="883" w:left="490" w:header="0" w:footer="0" w:gutter="0"/>
          <w:cols w:space="720" w:num="1"/>
        </w:sectPr>
      </w:pPr>
    </w:p>
    <w:p w14:paraId="45AC39A7">
      <w:pPr>
        <w:pStyle w:val="4"/>
        <w:spacing w:before="73" w:line="241" w:lineRule="auto"/>
        <w:ind w:left="7372"/>
        <w:rPr>
          <w:sz w:val="20"/>
          <w:szCs w:val="20"/>
        </w:rPr>
      </w:pPr>
      <w:r>
        <w:drawing>
          <wp:anchor distT="0" distB="0" distL="0" distR="0" simplePos="0" relativeHeight="25173196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32992" behindDoc="0" locked="0" layoutInCell="0" allowOverlap="1">
            <wp:simplePos x="0" y="0"/>
            <wp:positionH relativeFrom="page">
              <wp:posOffset>311150</wp:posOffset>
            </wp:positionH>
            <wp:positionV relativeFrom="page">
              <wp:posOffset>0</wp:posOffset>
            </wp:positionV>
            <wp:extent cx="19050" cy="814070"/>
            <wp:effectExtent l="0" t="0" r="0" b="0"/>
            <wp:wrapNone/>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273AA27">
      <w:pPr>
        <w:pStyle w:val="4"/>
        <w:spacing w:line="278" w:lineRule="auto"/>
      </w:pPr>
    </w:p>
    <w:p w14:paraId="7029E93D">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F9FBBFE">
      <w:pPr>
        <w:pStyle w:val="4"/>
        <w:spacing w:line="428" w:lineRule="auto"/>
      </w:pPr>
    </w:p>
    <w:p w14:paraId="060ECD9C">
      <w:pPr>
        <w:pStyle w:val="4"/>
        <w:spacing w:before="87" w:line="236" w:lineRule="auto"/>
        <w:ind w:left="383"/>
        <w:outlineLvl w:val="0"/>
        <w:rPr>
          <w:sz w:val="30"/>
          <w:szCs w:val="30"/>
        </w:rPr>
      </w:pPr>
      <w:bookmarkStart w:id="13" w:name="bookmark8"/>
      <w:bookmarkEnd w:id="13"/>
      <w:r>
        <w:rPr>
          <w:color w:val="2A8ABF"/>
          <w:spacing w:val="-15"/>
          <w:sz w:val="30"/>
          <w:szCs w:val="30"/>
        </w:rPr>
        <w:t>Upstream Gas Production</w:t>
      </w:r>
    </w:p>
    <w:p w14:paraId="6D51CD27">
      <w:pPr>
        <w:pStyle w:val="4"/>
        <w:spacing w:line="262" w:lineRule="auto"/>
      </w:pPr>
    </w:p>
    <w:p w14:paraId="50938F76">
      <w:pPr>
        <w:pStyle w:val="4"/>
        <w:spacing w:before="57" w:line="233" w:lineRule="auto"/>
        <w:ind w:left="386"/>
        <w:rPr>
          <w:sz w:val="20"/>
          <w:szCs w:val="20"/>
        </w:rPr>
      </w:pPr>
      <w:r>
        <w:rPr>
          <w:b/>
          <w:bCs/>
          <w:i/>
          <w:iCs/>
          <w:color w:val="57585A"/>
          <w:spacing w:val="-6"/>
          <w:w w:val="96"/>
          <w:sz w:val="20"/>
          <w:szCs w:val="20"/>
        </w:rPr>
        <w:t xml:space="preserve">Key View: </w:t>
      </w:r>
      <w:r>
        <w:rPr>
          <w:i/>
          <w:iCs/>
          <w:color w:val="57585A"/>
          <w:spacing w:val="-6"/>
          <w:w w:val="96"/>
          <w:sz w:val="20"/>
          <w:szCs w:val="20"/>
        </w:rPr>
        <w:t>The expansion of</w:t>
      </w:r>
      <w:r>
        <w:rPr>
          <w:i/>
          <w:iCs/>
          <w:color w:val="57585A"/>
          <w:spacing w:val="-39"/>
          <w:sz w:val="20"/>
          <w:szCs w:val="20"/>
        </w:rPr>
        <w:t xml:space="preserve"> </w:t>
      </w:r>
      <w:r>
        <w:rPr>
          <w:i/>
          <w:iCs/>
          <w:color w:val="57585A"/>
          <w:spacing w:val="-6"/>
          <w:w w:val="96"/>
          <w:sz w:val="20"/>
          <w:szCs w:val="20"/>
        </w:rPr>
        <w:t>midstream capacity</w:t>
      </w:r>
      <w:r>
        <w:rPr>
          <w:i/>
          <w:iCs/>
          <w:color w:val="57585A"/>
          <w:spacing w:val="-20"/>
          <w:sz w:val="20"/>
          <w:szCs w:val="20"/>
        </w:rPr>
        <w:t xml:space="preserve"> </w:t>
      </w:r>
      <w:r>
        <w:rPr>
          <w:i/>
          <w:iCs/>
          <w:color w:val="57585A"/>
          <w:spacing w:val="-6"/>
          <w:w w:val="96"/>
          <w:sz w:val="20"/>
          <w:szCs w:val="20"/>
        </w:rPr>
        <w:t>for</w:t>
      </w:r>
      <w:r>
        <w:rPr>
          <w:i/>
          <w:iCs/>
          <w:color w:val="57585A"/>
          <w:spacing w:val="-23"/>
          <w:sz w:val="20"/>
          <w:szCs w:val="20"/>
        </w:rPr>
        <w:t xml:space="preserve"> </w:t>
      </w:r>
      <w:r>
        <w:rPr>
          <w:i/>
          <w:iCs/>
          <w:color w:val="57585A"/>
          <w:spacing w:val="-6"/>
          <w:w w:val="96"/>
          <w:sz w:val="20"/>
          <w:szCs w:val="20"/>
        </w:rPr>
        <w:t>natural</w:t>
      </w:r>
      <w:r>
        <w:rPr>
          <w:i/>
          <w:iCs/>
          <w:color w:val="57585A"/>
          <w:spacing w:val="-25"/>
          <w:sz w:val="20"/>
          <w:szCs w:val="20"/>
        </w:rPr>
        <w:t xml:space="preserve"> </w:t>
      </w:r>
      <w:r>
        <w:rPr>
          <w:i/>
          <w:iCs/>
          <w:color w:val="57585A"/>
          <w:spacing w:val="-6"/>
          <w:w w:val="96"/>
          <w:sz w:val="20"/>
          <w:szCs w:val="20"/>
        </w:rPr>
        <w:t xml:space="preserve">gas, </w:t>
      </w:r>
      <w:r>
        <w:rPr>
          <w:i/>
          <w:iCs/>
          <w:color w:val="57585A"/>
          <w:spacing w:val="-7"/>
          <w:w w:val="96"/>
          <w:sz w:val="20"/>
          <w:szCs w:val="20"/>
        </w:rPr>
        <w:t>initially</w:t>
      </w:r>
      <w:r>
        <w:rPr>
          <w:i/>
          <w:iCs/>
          <w:color w:val="57585A"/>
          <w:spacing w:val="-16"/>
          <w:sz w:val="20"/>
          <w:szCs w:val="20"/>
        </w:rPr>
        <w:t xml:space="preserve"> </w:t>
      </w:r>
      <w:r>
        <w:rPr>
          <w:i/>
          <w:iCs/>
          <w:color w:val="57585A"/>
          <w:spacing w:val="-7"/>
          <w:w w:val="96"/>
          <w:sz w:val="20"/>
          <w:szCs w:val="20"/>
        </w:rPr>
        <w:t>through the Nestor</w:t>
      </w:r>
      <w:r>
        <w:rPr>
          <w:i/>
          <w:iCs/>
          <w:color w:val="57585A"/>
          <w:spacing w:val="-20"/>
          <w:sz w:val="20"/>
          <w:szCs w:val="20"/>
        </w:rPr>
        <w:t xml:space="preserve"> </w:t>
      </w:r>
      <w:r>
        <w:rPr>
          <w:i/>
          <w:iCs/>
          <w:color w:val="57585A"/>
          <w:spacing w:val="-7"/>
          <w:w w:val="96"/>
          <w:sz w:val="20"/>
          <w:szCs w:val="20"/>
        </w:rPr>
        <w:t>Kirchner</w:t>
      </w:r>
      <w:r>
        <w:rPr>
          <w:i/>
          <w:iCs/>
          <w:color w:val="57585A"/>
          <w:spacing w:val="-31"/>
          <w:sz w:val="20"/>
          <w:szCs w:val="20"/>
        </w:rPr>
        <w:t xml:space="preserve"> </w:t>
      </w:r>
      <w:r>
        <w:rPr>
          <w:i/>
          <w:iCs/>
          <w:color w:val="57585A"/>
          <w:spacing w:val="-7"/>
          <w:w w:val="96"/>
          <w:sz w:val="20"/>
          <w:szCs w:val="20"/>
        </w:rPr>
        <w:t>pipeline and</w:t>
      </w:r>
      <w:r>
        <w:rPr>
          <w:i/>
          <w:iCs/>
          <w:color w:val="57585A"/>
          <w:spacing w:val="-18"/>
          <w:sz w:val="20"/>
          <w:szCs w:val="20"/>
        </w:rPr>
        <w:t xml:space="preserve"> </w:t>
      </w:r>
      <w:r>
        <w:rPr>
          <w:i/>
          <w:iCs/>
          <w:color w:val="57585A"/>
          <w:spacing w:val="-7"/>
          <w:w w:val="96"/>
          <w:sz w:val="20"/>
          <w:szCs w:val="20"/>
        </w:rPr>
        <w:t>now</w:t>
      </w:r>
      <w:r>
        <w:rPr>
          <w:i/>
          <w:iCs/>
          <w:color w:val="57585A"/>
          <w:spacing w:val="-16"/>
          <w:sz w:val="20"/>
          <w:szCs w:val="20"/>
        </w:rPr>
        <w:t xml:space="preserve"> </w:t>
      </w:r>
      <w:r>
        <w:rPr>
          <w:i/>
          <w:iCs/>
          <w:color w:val="57585A"/>
          <w:spacing w:val="-7"/>
          <w:w w:val="96"/>
          <w:sz w:val="20"/>
          <w:szCs w:val="20"/>
        </w:rPr>
        <w:t>with</w:t>
      </w:r>
    </w:p>
    <w:p w14:paraId="647DF22E">
      <w:pPr>
        <w:pStyle w:val="4"/>
        <w:spacing w:before="55" w:line="280" w:lineRule="auto"/>
        <w:ind w:left="375" w:right="442"/>
        <w:rPr>
          <w:sz w:val="20"/>
          <w:szCs w:val="20"/>
        </w:rPr>
      </w:pPr>
      <w:r>
        <w:rPr>
          <w:i/>
          <w:iCs/>
          <w:color w:val="57585A"/>
          <w:spacing w:val="-6"/>
          <w:w w:val="95"/>
          <w:sz w:val="20"/>
          <w:szCs w:val="20"/>
        </w:rPr>
        <w:t>Northern Pipeline reversal</w:t>
      </w:r>
      <w:r>
        <w:rPr>
          <w:i/>
          <w:iCs/>
          <w:color w:val="57585A"/>
          <w:spacing w:val="-25"/>
          <w:sz w:val="20"/>
          <w:szCs w:val="20"/>
        </w:rPr>
        <w:t xml:space="preserve"> </w:t>
      </w:r>
      <w:r>
        <w:rPr>
          <w:i/>
          <w:iCs/>
          <w:color w:val="57585A"/>
          <w:spacing w:val="-6"/>
          <w:w w:val="95"/>
          <w:sz w:val="20"/>
          <w:szCs w:val="20"/>
        </w:rPr>
        <w:t>project, supports our</w:t>
      </w:r>
      <w:r>
        <w:rPr>
          <w:i/>
          <w:iCs/>
          <w:color w:val="57585A"/>
          <w:spacing w:val="-23"/>
          <w:sz w:val="20"/>
          <w:szCs w:val="20"/>
        </w:rPr>
        <w:t xml:space="preserve"> </w:t>
      </w:r>
      <w:r>
        <w:rPr>
          <w:i/>
          <w:iCs/>
          <w:color w:val="57585A"/>
          <w:spacing w:val="-6"/>
          <w:w w:val="95"/>
          <w:sz w:val="20"/>
          <w:szCs w:val="20"/>
        </w:rPr>
        <w:t>bullish outlook</w:t>
      </w:r>
      <w:r>
        <w:rPr>
          <w:i/>
          <w:iCs/>
          <w:color w:val="57585A"/>
          <w:spacing w:val="-7"/>
          <w:w w:val="95"/>
          <w:sz w:val="20"/>
          <w:szCs w:val="20"/>
        </w:rPr>
        <w:t xml:space="preserve"> for</w:t>
      </w:r>
      <w:r>
        <w:rPr>
          <w:i/>
          <w:iCs/>
          <w:color w:val="57585A"/>
          <w:spacing w:val="-31"/>
          <w:sz w:val="20"/>
          <w:szCs w:val="20"/>
        </w:rPr>
        <w:t xml:space="preserve"> </w:t>
      </w:r>
      <w:r>
        <w:rPr>
          <w:i/>
          <w:iCs/>
          <w:color w:val="57585A"/>
          <w:spacing w:val="-7"/>
          <w:w w:val="95"/>
          <w:sz w:val="20"/>
          <w:szCs w:val="20"/>
        </w:rPr>
        <w:t>gas</w:t>
      </w:r>
      <w:r>
        <w:rPr>
          <w:i/>
          <w:iCs/>
          <w:color w:val="57585A"/>
          <w:spacing w:val="-20"/>
          <w:sz w:val="20"/>
          <w:szCs w:val="20"/>
        </w:rPr>
        <w:t xml:space="preserve"> </w:t>
      </w:r>
      <w:r>
        <w:rPr>
          <w:i/>
          <w:iCs/>
          <w:color w:val="57585A"/>
          <w:spacing w:val="-7"/>
          <w:w w:val="95"/>
          <w:sz w:val="20"/>
          <w:szCs w:val="20"/>
        </w:rPr>
        <w:t>production from the</w:t>
      </w:r>
      <w:r>
        <w:rPr>
          <w:i/>
          <w:iCs/>
          <w:color w:val="57585A"/>
          <w:spacing w:val="8"/>
          <w:sz w:val="20"/>
          <w:szCs w:val="20"/>
        </w:rPr>
        <w:t xml:space="preserve"> </w:t>
      </w:r>
      <w:r>
        <w:rPr>
          <w:i/>
          <w:iCs/>
          <w:color w:val="57585A"/>
          <w:spacing w:val="-7"/>
          <w:w w:val="95"/>
          <w:sz w:val="20"/>
          <w:szCs w:val="20"/>
        </w:rPr>
        <w:t>Vaca Muerta over</w:t>
      </w:r>
      <w:r>
        <w:rPr>
          <w:i/>
          <w:iCs/>
          <w:color w:val="57585A"/>
          <w:spacing w:val="-15"/>
          <w:sz w:val="20"/>
          <w:szCs w:val="20"/>
        </w:rPr>
        <w:t xml:space="preserve"> </w:t>
      </w:r>
      <w:r>
        <w:rPr>
          <w:i/>
          <w:iCs/>
          <w:color w:val="57585A"/>
          <w:spacing w:val="-7"/>
          <w:w w:val="95"/>
          <w:sz w:val="20"/>
          <w:szCs w:val="20"/>
        </w:rPr>
        <w:t>the coming</w:t>
      </w:r>
      <w:r>
        <w:rPr>
          <w:i/>
          <w:iCs/>
          <w:color w:val="57585A"/>
          <w:spacing w:val="-37"/>
          <w:sz w:val="20"/>
          <w:szCs w:val="20"/>
        </w:rPr>
        <w:t xml:space="preserve"> </w:t>
      </w:r>
      <w:r>
        <w:rPr>
          <w:i/>
          <w:iCs/>
          <w:color w:val="57585A"/>
          <w:spacing w:val="-7"/>
          <w:w w:val="95"/>
          <w:sz w:val="20"/>
          <w:szCs w:val="20"/>
        </w:rPr>
        <w:t>years.</w:t>
      </w:r>
      <w:r>
        <w:rPr>
          <w:i/>
          <w:iCs/>
          <w:color w:val="57585A"/>
          <w:spacing w:val="13"/>
          <w:sz w:val="20"/>
          <w:szCs w:val="20"/>
        </w:rPr>
        <w:t xml:space="preserve"> </w:t>
      </w:r>
      <w:r>
        <w:rPr>
          <w:i/>
          <w:iCs/>
          <w:color w:val="57585A"/>
          <w:spacing w:val="-7"/>
          <w:w w:val="95"/>
          <w:sz w:val="20"/>
          <w:szCs w:val="20"/>
        </w:rPr>
        <w:t>We</w:t>
      </w:r>
      <w:r>
        <w:rPr>
          <w:i/>
          <w:iCs/>
          <w:color w:val="57585A"/>
          <w:sz w:val="20"/>
          <w:szCs w:val="20"/>
        </w:rPr>
        <w:t xml:space="preserve"> </w:t>
      </w:r>
      <w:r>
        <w:rPr>
          <w:i/>
          <w:iCs/>
          <w:color w:val="57585A"/>
          <w:spacing w:val="-8"/>
          <w:w w:val="99"/>
          <w:sz w:val="20"/>
          <w:szCs w:val="20"/>
        </w:rPr>
        <w:t>expect output to increase by 7.6%y-o-yin 2025 to 49.5bcm, after</w:t>
      </w:r>
      <w:r>
        <w:rPr>
          <w:i/>
          <w:iCs/>
          <w:color w:val="57585A"/>
          <w:spacing w:val="-24"/>
          <w:sz w:val="20"/>
          <w:szCs w:val="20"/>
        </w:rPr>
        <w:t xml:space="preserve"> </w:t>
      </w:r>
      <w:r>
        <w:rPr>
          <w:i/>
          <w:iCs/>
          <w:color w:val="57585A"/>
          <w:spacing w:val="-8"/>
          <w:w w:val="99"/>
          <w:sz w:val="20"/>
          <w:szCs w:val="20"/>
        </w:rPr>
        <w:t>an estimated</w:t>
      </w:r>
      <w:r>
        <w:rPr>
          <w:i/>
          <w:iCs/>
          <w:color w:val="57585A"/>
          <w:spacing w:val="-17"/>
          <w:sz w:val="20"/>
          <w:szCs w:val="20"/>
        </w:rPr>
        <w:t xml:space="preserve"> </w:t>
      </w:r>
      <w:r>
        <w:rPr>
          <w:i/>
          <w:iCs/>
          <w:color w:val="57585A"/>
          <w:spacing w:val="-8"/>
          <w:w w:val="99"/>
          <w:sz w:val="20"/>
          <w:szCs w:val="20"/>
        </w:rPr>
        <w:t>i</w:t>
      </w:r>
      <w:r>
        <w:rPr>
          <w:i/>
          <w:iCs/>
          <w:color w:val="57585A"/>
          <w:spacing w:val="-9"/>
          <w:w w:val="99"/>
          <w:sz w:val="20"/>
          <w:szCs w:val="20"/>
        </w:rPr>
        <w:t>ncrease of5.2%y-o-ygrowth in 2024 to 46.0bcm.</w:t>
      </w:r>
      <w:r>
        <w:rPr>
          <w:i/>
          <w:iCs/>
          <w:color w:val="57585A"/>
          <w:sz w:val="20"/>
          <w:szCs w:val="20"/>
        </w:rPr>
        <w:t xml:space="preserve"> </w:t>
      </w:r>
      <w:r>
        <w:rPr>
          <w:i/>
          <w:iCs/>
          <w:color w:val="57585A"/>
          <w:spacing w:val="-7"/>
          <w:w w:val="96"/>
          <w:sz w:val="20"/>
          <w:szCs w:val="20"/>
        </w:rPr>
        <w:t>Producers are also c</w:t>
      </w:r>
      <w:r>
        <w:rPr>
          <w:i/>
          <w:iCs/>
          <w:color w:val="57585A"/>
          <w:spacing w:val="-8"/>
          <w:w w:val="96"/>
          <w:sz w:val="20"/>
          <w:szCs w:val="20"/>
        </w:rPr>
        <w:t>onsidering</w:t>
      </w:r>
      <w:r>
        <w:rPr>
          <w:i/>
          <w:iCs/>
          <w:color w:val="57585A"/>
          <w:spacing w:val="-17"/>
          <w:sz w:val="20"/>
          <w:szCs w:val="20"/>
        </w:rPr>
        <w:t xml:space="preserve"> </w:t>
      </w:r>
      <w:r>
        <w:rPr>
          <w:i/>
          <w:iCs/>
          <w:color w:val="57585A"/>
          <w:spacing w:val="-8"/>
          <w:w w:val="96"/>
          <w:sz w:val="20"/>
          <w:szCs w:val="20"/>
        </w:rPr>
        <w:t>new</w:t>
      </w:r>
      <w:r>
        <w:rPr>
          <w:i/>
          <w:iCs/>
          <w:color w:val="57585A"/>
          <w:spacing w:val="-31"/>
          <w:sz w:val="20"/>
          <w:szCs w:val="20"/>
        </w:rPr>
        <w:t xml:space="preserve"> </w:t>
      </w:r>
      <w:r>
        <w:rPr>
          <w:i/>
          <w:iCs/>
          <w:color w:val="57585A"/>
          <w:spacing w:val="-8"/>
          <w:w w:val="96"/>
          <w:sz w:val="20"/>
          <w:szCs w:val="20"/>
        </w:rPr>
        <w:t>gas export</w:t>
      </w:r>
      <w:r>
        <w:rPr>
          <w:i/>
          <w:iCs/>
          <w:color w:val="57585A"/>
          <w:spacing w:val="-18"/>
          <w:sz w:val="20"/>
          <w:szCs w:val="20"/>
        </w:rPr>
        <w:t xml:space="preserve"> </w:t>
      </w:r>
      <w:r>
        <w:rPr>
          <w:i/>
          <w:iCs/>
          <w:color w:val="57585A"/>
          <w:spacing w:val="-8"/>
          <w:w w:val="96"/>
          <w:sz w:val="20"/>
          <w:szCs w:val="20"/>
        </w:rPr>
        <w:t>markets such as exporting to Brazil through Bolivia's</w:t>
      </w:r>
      <w:r>
        <w:rPr>
          <w:i/>
          <w:iCs/>
          <w:color w:val="57585A"/>
          <w:spacing w:val="-21"/>
          <w:sz w:val="20"/>
          <w:szCs w:val="20"/>
        </w:rPr>
        <w:t xml:space="preserve"> </w:t>
      </w:r>
      <w:r>
        <w:rPr>
          <w:i/>
          <w:iCs/>
          <w:color w:val="57585A"/>
          <w:spacing w:val="-8"/>
          <w:w w:val="96"/>
          <w:sz w:val="20"/>
          <w:szCs w:val="20"/>
        </w:rPr>
        <w:t>gas network, in addition to</w:t>
      </w:r>
    </w:p>
    <w:p w14:paraId="17B68DE6">
      <w:pPr>
        <w:pStyle w:val="4"/>
        <w:spacing w:before="37" w:line="233" w:lineRule="auto"/>
        <w:ind w:left="365"/>
        <w:rPr>
          <w:sz w:val="20"/>
          <w:szCs w:val="20"/>
        </w:rPr>
      </w:pPr>
      <w:r>
        <w:rPr>
          <w:i/>
          <w:iCs/>
          <w:color w:val="57585A"/>
          <w:spacing w:val="-5"/>
          <w:w w:val="94"/>
          <w:sz w:val="20"/>
          <w:szCs w:val="20"/>
        </w:rPr>
        <w:t>potential LNG exports through new</w:t>
      </w:r>
      <w:r>
        <w:rPr>
          <w:i/>
          <w:iCs/>
          <w:color w:val="57585A"/>
          <w:spacing w:val="-20"/>
          <w:sz w:val="20"/>
          <w:szCs w:val="20"/>
        </w:rPr>
        <w:t xml:space="preserve"> </w:t>
      </w:r>
      <w:r>
        <w:rPr>
          <w:i/>
          <w:iCs/>
          <w:color w:val="57585A"/>
          <w:spacing w:val="-5"/>
          <w:w w:val="94"/>
          <w:sz w:val="20"/>
          <w:szCs w:val="20"/>
        </w:rPr>
        <w:t>LNG export</w:t>
      </w:r>
      <w:r>
        <w:rPr>
          <w:i/>
          <w:iCs/>
          <w:color w:val="57585A"/>
          <w:spacing w:val="-19"/>
          <w:sz w:val="20"/>
          <w:szCs w:val="20"/>
        </w:rPr>
        <w:t xml:space="preserve"> </w:t>
      </w:r>
      <w:r>
        <w:rPr>
          <w:i/>
          <w:iCs/>
          <w:color w:val="57585A"/>
          <w:spacing w:val="-5"/>
          <w:w w:val="94"/>
          <w:sz w:val="20"/>
          <w:szCs w:val="20"/>
        </w:rPr>
        <w:t>infrastructure.</w:t>
      </w:r>
      <w:r>
        <w:rPr>
          <w:i/>
          <w:iCs/>
          <w:color w:val="57585A"/>
          <w:spacing w:val="7"/>
          <w:sz w:val="20"/>
          <w:szCs w:val="20"/>
        </w:rPr>
        <w:t xml:space="preserve"> </w:t>
      </w:r>
      <w:r>
        <w:rPr>
          <w:i/>
          <w:iCs/>
          <w:color w:val="57585A"/>
          <w:spacing w:val="-5"/>
          <w:w w:val="94"/>
          <w:sz w:val="20"/>
          <w:szCs w:val="20"/>
        </w:rPr>
        <w:t>Our</w:t>
      </w:r>
      <w:r>
        <w:rPr>
          <w:i/>
          <w:iCs/>
          <w:color w:val="57585A"/>
          <w:spacing w:val="-18"/>
          <w:sz w:val="20"/>
          <w:szCs w:val="20"/>
        </w:rPr>
        <w:t xml:space="preserve"> </w:t>
      </w:r>
      <w:r>
        <w:rPr>
          <w:i/>
          <w:iCs/>
          <w:color w:val="57585A"/>
          <w:spacing w:val="-5"/>
          <w:w w:val="94"/>
          <w:sz w:val="20"/>
          <w:szCs w:val="20"/>
        </w:rPr>
        <w:t>current outlook</w:t>
      </w:r>
      <w:r>
        <w:rPr>
          <w:i/>
          <w:iCs/>
          <w:color w:val="57585A"/>
          <w:spacing w:val="-14"/>
          <w:sz w:val="20"/>
          <w:szCs w:val="20"/>
        </w:rPr>
        <w:t xml:space="preserve"> </w:t>
      </w:r>
      <w:r>
        <w:rPr>
          <w:i/>
          <w:iCs/>
          <w:color w:val="57585A"/>
          <w:spacing w:val="-5"/>
          <w:w w:val="94"/>
          <w:sz w:val="20"/>
          <w:szCs w:val="20"/>
        </w:rPr>
        <w:t>includes f</w:t>
      </w:r>
      <w:r>
        <w:rPr>
          <w:i/>
          <w:iCs/>
          <w:color w:val="57585A"/>
          <w:spacing w:val="-6"/>
          <w:w w:val="94"/>
          <w:sz w:val="20"/>
          <w:szCs w:val="20"/>
        </w:rPr>
        <w:t>irst</w:t>
      </w:r>
      <w:r>
        <w:rPr>
          <w:i/>
          <w:iCs/>
          <w:color w:val="57585A"/>
          <w:spacing w:val="-16"/>
          <w:sz w:val="20"/>
          <w:szCs w:val="20"/>
        </w:rPr>
        <w:t xml:space="preserve"> </w:t>
      </w:r>
      <w:r>
        <w:rPr>
          <w:i/>
          <w:iCs/>
          <w:color w:val="57585A"/>
          <w:spacing w:val="-6"/>
          <w:w w:val="94"/>
          <w:sz w:val="20"/>
          <w:szCs w:val="20"/>
        </w:rPr>
        <w:t>LNG</w:t>
      </w:r>
      <w:r>
        <w:rPr>
          <w:i/>
          <w:iCs/>
          <w:color w:val="57585A"/>
          <w:spacing w:val="-10"/>
          <w:sz w:val="20"/>
          <w:szCs w:val="20"/>
        </w:rPr>
        <w:t xml:space="preserve"> </w:t>
      </w:r>
      <w:r>
        <w:rPr>
          <w:i/>
          <w:iCs/>
          <w:color w:val="57585A"/>
          <w:spacing w:val="-6"/>
          <w:w w:val="94"/>
          <w:sz w:val="20"/>
          <w:szCs w:val="20"/>
        </w:rPr>
        <w:t>exports</w:t>
      </w:r>
      <w:r>
        <w:rPr>
          <w:i/>
          <w:iCs/>
          <w:color w:val="57585A"/>
          <w:spacing w:val="-9"/>
          <w:sz w:val="20"/>
          <w:szCs w:val="20"/>
        </w:rPr>
        <w:t xml:space="preserve"> </w:t>
      </w:r>
      <w:r>
        <w:rPr>
          <w:i/>
          <w:iCs/>
          <w:color w:val="57585A"/>
          <w:spacing w:val="-6"/>
          <w:w w:val="94"/>
          <w:sz w:val="20"/>
          <w:szCs w:val="20"/>
        </w:rPr>
        <w:t>from a floating</w:t>
      </w:r>
    </w:p>
    <w:p w14:paraId="300682A6">
      <w:pPr>
        <w:pStyle w:val="4"/>
        <w:spacing w:before="56" w:line="233" w:lineRule="auto"/>
        <w:ind w:left="381"/>
        <w:rPr>
          <w:sz w:val="20"/>
          <w:szCs w:val="20"/>
        </w:rPr>
      </w:pPr>
      <w:r>
        <w:rPr>
          <w:i/>
          <w:iCs/>
          <w:color w:val="57585A"/>
          <w:spacing w:val="-6"/>
          <w:w w:val="96"/>
          <w:sz w:val="20"/>
          <w:szCs w:val="20"/>
        </w:rPr>
        <w:t>terminal</w:t>
      </w:r>
      <w:r>
        <w:rPr>
          <w:i/>
          <w:iCs/>
          <w:color w:val="57585A"/>
          <w:spacing w:val="-17"/>
          <w:sz w:val="20"/>
          <w:szCs w:val="20"/>
        </w:rPr>
        <w:t xml:space="preserve"> </w:t>
      </w:r>
      <w:r>
        <w:rPr>
          <w:i/>
          <w:iCs/>
          <w:color w:val="57585A"/>
          <w:spacing w:val="-6"/>
          <w:w w:val="96"/>
          <w:sz w:val="20"/>
          <w:szCs w:val="20"/>
        </w:rPr>
        <w:t>in 2027, boosting</w:t>
      </w:r>
      <w:r>
        <w:rPr>
          <w:i/>
          <w:iCs/>
          <w:color w:val="57585A"/>
          <w:spacing w:val="-16"/>
          <w:sz w:val="20"/>
          <w:szCs w:val="20"/>
        </w:rPr>
        <w:t xml:space="preserve"> </w:t>
      </w:r>
      <w:r>
        <w:rPr>
          <w:i/>
          <w:iCs/>
          <w:color w:val="57585A"/>
          <w:spacing w:val="-6"/>
          <w:w w:val="96"/>
          <w:sz w:val="20"/>
          <w:szCs w:val="20"/>
        </w:rPr>
        <w:t>long-term gas</w:t>
      </w:r>
      <w:r>
        <w:rPr>
          <w:i/>
          <w:iCs/>
          <w:color w:val="57585A"/>
          <w:spacing w:val="-21"/>
          <w:sz w:val="20"/>
          <w:szCs w:val="20"/>
        </w:rPr>
        <w:t xml:space="preserve"> </w:t>
      </w:r>
      <w:r>
        <w:rPr>
          <w:i/>
          <w:iCs/>
          <w:color w:val="57585A"/>
          <w:spacing w:val="-6"/>
          <w:w w:val="96"/>
          <w:sz w:val="20"/>
          <w:szCs w:val="20"/>
        </w:rPr>
        <w:t>produ</w:t>
      </w:r>
      <w:r>
        <w:rPr>
          <w:i/>
          <w:iCs/>
          <w:color w:val="57585A"/>
          <w:spacing w:val="-7"/>
          <w:w w:val="96"/>
          <w:sz w:val="20"/>
          <w:szCs w:val="20"/>
        </w:rPr>
        <w:t>ction growth outlook.</w:t>
      </w:r>
      <w:r>
        <w:rPr>
          <w:i/>
          <w:iCs/>
          <w:color w:val="57585A"/>
          <w:spacing w:val="13"/>
          <w:sz w:val="20"/>
          <w:szCs w:val="20"/>
        </w:rPr>
        <w:t xml:space="preserve"> </w:t>
      </w:r>
      <w:r>
        <w:rPr>
          <w:i/>
          <w:iCs/>
          <w:color w:val="57585A"/>
          <w:spacing w:val="-7"/>
          <w:w w:val="96"/>
          <w:sz w:val="20"/>
          <w:szCs w:val="20"/>
        </w:rPr>
        <w:t>We are therefore increasingly</w:t>
      </w:r>
      <w:r>
        <w:rPr>
          <w:i/>
          <w:iCs/>
          <w:color w:val="57585A"/>
          <w:spacing w:val="-23"/>
          <w:sz w:val="20"/>
          <w:szCs w:val="20"/>
        </w:rPr>
        <w:t xml:space="preserve"> </w:t>
      </w:r>
      <w:r>
        <w:rPr>
          <w:i/>
          <w:iCs/>
          <w:color w:val="57585A"/>
          <w:spacing w:val="-7"/>
          <w:w w:val="96"/>
          <w:sz w:val="20"/>
          <w:szCs w:val="20"/>
        </w:rPr>
        <w:t>bullish on long-term gas</w:t>
      </w:r>
    </w:p>
    <w:p w14:paraId="34EAAB77">
      <w:pPr>
        <w:pStyle w:val="4"/>
        <w:spacing w:before="57" w:line="274" w:lineRule="auto"/>
        <w:ind w:left="373" w:right="408" w:hanging="8"/>
        <w:rPr>
          <w:sz w:val="20"/>
          <w:szCs w:val="20"/>
        </w:rPr>
      </w:pPr>
      <w:r>
        <w:rPr>
          <w:i/>
          <w:iCs/>
          <w:color w:val="57585A"/>
          <w:spacing w:val="-7"/>
          <w:w w:val="97"/>
          <w:sz w:val="20"/>
          <w:szCs w:val="20"/>
        </w:rPr>
        <w:t>production outlook, should the required</w:t>
      </w:r>
      <w:r>
        <w:rPr>
          <w:i/>
          <w:iCs/>
          <w:color w:val="57585A"/>
          <w:spacing w:val="-14"/>
          <w:sz w:val="20"/>
          <w:szCs w:val="20"/>
        </w:rPr>
        <w:t xml:space="preserve"> </w:t>
      </w:r>
      <w:r>
        <w:rPr>
          <w:i/>
          <w:iCs/>
          <w:color w:val="57585A"/>
          <w:spacing w:val="-7"/>
          <w:w w:val="97"/>
          <w:sz w:val="20"/>
          <w:szCs w:val="20"/>
        </w:rPr>
        <w:t>infrastructure</w:t>
      </w:r>
      <w:r>
        <w:rPr>
          <w:i/>
          <w:iCs/>
          <w:color w:val="57585A"/>
          <w:spacing w:val="-15"/>
          <w:sz w:val="20"/>
          <w:szCs w:val="20"/>
        </w:rPr>
        <w:t xml:space="preserve"> </w:t>
      </w:r>
      <w:r>
        <w:rPr>
          <w:i/>
          <w:iCs/>
          <w:color w:val="57585A"/>
          <w:spacing w:val="-7"/>
          <w:w w:val="97"/>
          <w:sz w:val="20"/>
          <w:szCs w:val="20"/>
        </w:rPr>
        <w:t>projects materialise, with our</w:t>
      </w:r>
      <w:r>
        <w:rPr>
          <w:i/>
          <w:iCs/>
          <w:color w:val="57585A"/>
          <w:spacing w:val="-20"/>
          <w:sz w:val="20"/>
          <w:szCs w:val="20"/>
        </w:rPr>
        <w:t xml:space="preserve"> </w:t>
      </w:r>
      <w:r>
        <w:rPr>
          <w:i/>
          <w:iCs/>
          <w:color w:val="57585A"/>
          <w:spacing w:val="-7"/>
          <w:w w:val="97"/>
          <w:sz w:val="20"/>
          <w:szCs w:val="20"/>
        </w:rPr>
        <w:t>forecasts</w:t>
      </w:r>
      <w:r>
        <w:rPr>
          <w:i/>
          <w:iCs/>
          <w:color w:val="57585A"/>
          <w:spacing w:val="-15"/>
          <w:sz w:val="20"/>
          <w:szCs w:val="20"/>
        </w:rPr>
        <w:t xml:space="preserve"> </w:t>
      </w:r>
      <w:r>
        <w:rPr>
          <w:i/>
          <w:iCs/>
          <w:color w:val="57585A"/>
          <w:spacing w:val="-7"/>
          <w:w w:val="97"/>
          <w:sz w:val="20"/>
          <w:szCs w:val="20"/>
        </w:rPr>
        <w:t>seeing</w:t>
      </w:r>
      <w:r>
        <w:rPr>
          <w:i/>
          <w:iCs/>
          <w:color w:val="57585A"/>
          <w:spacing w:val="-24"/>
          <w:sz w:val="20"/>
          <w:szCs w:val="20"/>
        </w:rPr>
        <w:t xml:space="preserve"> </w:t>
      </w:r>
      <w:r>
        <w:rPr>
          <w:i/>
          <w:iCs/>
          <w:color w:val="57585A"/>
          <w:spacing w:val="-7"/>
          <w:w w:val="97"/>
          <w:sz w:val="20"/>
          <w:szCs w:val="20"/>
        </w:rPr>
        <w:t>production rise to 67.1bcm by</w:t>
      </w:r>
      <w:r>
        <w:rPr>
          <w:i/>
          <w:iCs/>
          <w:color w:val="57585A"/>
          <w:sz w:val="20"/>
          <w:szCs w:val="20"/>
        </w:rPr>
        <w:t xml:space="preserve"> </w:t>
      </w:r>
      <w:r>
        <w:rPr>
          <w:i/>
          <w:iCs/>
          <w:color w:val="57585A"/>
          <w:spacing w:val="-8"/>
          <w:w w:val="96"/>
          <w:sz w:val="20"/>
          <w:szCs w:val="20"/>
        </w:rPr>
        <w:t>2034, with risks to</w:t>
      </w:r>
      <w:r>
        <w:rPr>
          <w:i/>
          <w:iCs/>
          <w:color w:val="57585A"/>
          <w:spacing w:val="6"/>
          <w:sz w:val="20"/>
          <w:szCs w:val="20"/>
        </w:rPr>
        <w:t xml:space="preserve"> </w:t>
      </w:r>
      <w:r>
        <w:rPr>
          <w:i/>
          <w:iCs/>
          <w:color w:val="57585A"/>
          <w:spacing w:val="-8"/>
          <w:w w:val="96"/>
          <w:sz w:val="20"/>
          <w:szCs w:val="20"/>
        </w:rPr>
        <w:t>the</w:t>
      </w:r>
      <w:r>
        <w:rPr>
          <w:i/>
          <w:iCs/>
          <w:color w:val="57585A"/>
          <w:spacing w:val="-2"/>
          <w:sz w:val="20"/>
          <w:szCs w:val="20"/>
        </w:rPr>
        <w:t xml:space="preserve"> </w:t>
      </w:r>
      <w:r>
        <w:rPr>
          <w:i/>
          <w:iCs/>
          <w:color w:val="57585A"/>
          <w:spacing w:val="-8"/>
          <w:w w:val="96"/>
          <w:sz w:val="20"/>
          <w:szCs w:val="20"/>
        </w:rPr>
        <w:t>upside.</w:t>
      </w:r>
    </w:p>
    <w:p w14:paraId="690ECDCF">
      <w:pPr>
        <w:pStyle w:val="4"/>
        <w:spacing w:line="331" w:lineRule="auto"/>
      </w:pPr>
    </w:p>
    <w:p w14:paraId="40DBB993">
      <w:pPr>
        <w:pStyle w:val="4"/>
        <w:spacing w:line="332" w:lineRule="auto"/>
      </w:pPr>
    </w:p>
    <w:p w14:paraId="50175756">
      <w:pPr>
        <w:pStyle w:val="4"/>
        <w:spacing w:before="70" w:line="182" w:lineRule="auto"/>
        <w:ind w:left="378"/>
        <w:outlineLvl w:val="2"/>
        <w:rPr>
          <w:sz w:val="24"/>
          <w:szCs w:val="24"/>
        </w:rPr>
      </w:pPr>
      <w:r>
        <w:rPr>
          <w:b/>
          <w:bCs/>
          <w:color w:val="174174"/>
          <w:spacing w:val="-9"/>
          <w:sz w:val="24"/>
          <w:szCs w:val="24"/>
        </w:rPr>
        <w:t>Latest Updates</w:t>
      </w:r>
    </w:p>
    <w:p w14:paraId="03458DCB">
      <w:pPr>
        <w:pStyle w:val="4"/>
        <w:spacing w:line="357" w:lineRule="auto"/>
      </w:pPr>
    </w:p>
    <w:p w14:paraId="7E544DDC">
      <w:pPr>
        <w:pStyle w:val="4"/>
        <w:spacing w:before="57" w:line="277" w:lineRule="auto"/>
        <w:ind w:left="604" w:right="372" w:hanging="247"/>
        <w:rPr>
          <w:sz w:val="20"/>
          <w:szCs w:val="20"/>
        </w:rPr>
      </w:pPr>
      <w:r>
        <w:rPr>
          <w:color w:val="33CCFF"/>
          <w:spacing w:val="-10"/>
          <w:sz w:val="20"/>
          <w:szCs w:val="20"/>
        </w:rPr>
        <w:t xml:space="preserve">•   </w:t>
      </w:r>
      <w:r>
        <w:rPr>
          <w:color w:val="57585A"/>
          <w:spacing w:val="-10"/>
          <w:sz w:val="20"/>
          <w:szCs w:val="20"/>
        </w:rPr>
        <w:t>We hold our forecast of</w:t>
      </w:r>
      <w:r>
        <w:rPr>
          <w:color w:val="57585A"/>
          <w:spacing w:val="-17"/>
          <w:sz w:val="20"/>
          <w:szCs w:val="20"/>
        </w:rPr>
        <w:t xml:space="preserve"> </w:t>
      </w:r>
      <w:r>
        <w:rPr>
          <w:color w:val="57585A"/>
          <w:spacing w:val="-10"/>
          <w:sz w:val="20"/>
          <w:szCs w:val="20"/>
        </w:rPr>
        <w:t>accelerating n</w:t>
      </w:r>
      <w:r>
        <w:rPr>
          <w:color w:val="57585A"/>
          <w:spacing w:val="-11"/>
          <w:sz w:val="20"/>
          <w:szCs w:val="20"/>
        </w:rPr>
        <w:t>atural gas production growth in</w:t>
      </w:r>
      <w:r>
        <w:rPr>
          <w:color w:val="57585A"/>
          <w:spacing w:val="-16"/>
          <w:sz w:val="20"/>
          <w:szCs w:val="20"/>
        </w:rPr>
        <w:t xml:space="preserve"> </w:t>
      </w:r>
      <w:r>
        <w:rPr>
          <w:color w:val="57585A"/>
          <w:spacing w:val="-11"/>
          <w:sz w:val="20"/>
          <w:szCs w:val="20"/>
        </w:rPr>
        <w:t>Argentina in 2025. We expect output to increase by 7.6%</w:t>
      </w:r>
      <w:r>
        <w:rPr>
          <w:color w:val="57585A"/>
          <w:sz w:val="20"/>
          <w:szCs w:val="20"/>
        </w:rPr>
        <w:t xml:space="preserve"> </w:t>
      </w:r>
      <w:r>
        <w:rPr>
          <w:color w:val="57585A"/>
          <w:spacing w:val="-11"/>
          <w:sz w:val="20"/>
          <w:szCs w:val="20"/>
        </w:rPr>
        <w:t>y-o-y in 2025 to 49.5bcm, after an estimated increase of 5.2%</w:t>
      </w:r>
      <w:r>
        <w:rPr>
          <w:color w:val="57585A"/>
          <w:spacing w:val="-7"/>
          <w:sz w:val="20"/>
          <w:szCs w:val="20"/>
        </w:rPr>
        <w:t xml:space="preserve"> </w:t>
      </w:r>
      <w:r>
        <w:rPr>
          <w:color w:val="57585A"/>
          <w:spacing w:val="-11"/>
          <w:sz w:val="20"/>
          <w:szCs w:val="20"/>
        </w:rPr>
        <w:t>y-o-y growth in 2024 to 46.0bcm. Our bullish forecast is supported</w:t>
      </w:r>
      <w:r>
        <w:rPr>
          <w:color w:val="57585A"/>
          <w:sz w:val="20"/>
          <w:szCs w:val="20"/>
        </w:rPr>
        <w:t xml:space="preserve"> </w:t>
      </w:r>
      <w:r>
        <w:rPr>
          <w:color w:val="57585A"/>
          <w:spacing w:val="-10"/>
          <w:sz w:val="20"/>
          <w:szCs w:val="20"/>
        </w:rPr>
        <w:t>by the increased demand from</w:t>
      </w:r>
      <w:r>
        <w:rPr>
          <w:color w:val="57585A"/>
          <w:spacing w:val="-16"/>
          <w:sz w:val="20"/>
          <w:szCs w:val="20"/>
        </w:rPr>
        <w:t xml:space="preserve"> </w:t>
      </w:r>
      <w:r>
        <w:rPr>
          <w:color w:val="57585A"/>
          <w:spacing w:val="-10"/>
          <w:sz w:val="20"/>
          <w:szCs w:val="20"/>
        </w:rPr>
        <w:t>Argentine northern provinces amid the completion of</w:t>
      </w:r>
      <w:r>
        <w:rPr>
          <w:color w:val="57585A"/>
          <w:spacing w:val="-21"/>
          <w:sz w:val="20"/>
          <w:szCs w:val="20"/>
        </w:rPr>
        <w:t xml:space="preserve"> </w:t>
      </w:r>
      <w:r>
        <w:rPr>
          <w:color w:val="57585A"/>
          <w:spacing w:val="-10"/>
          <w:sz w:val="20"/>
          <w:szCs w:val="20"/>
        </w:rPr>
        <w:t>the</w:t>
      </w:r>
      <w:r>
        <w:rPr>
          <w:color w:val="57585A"/>
          <w:spacing w:val="-11"/>
          <w:sz w:val="20"/>
          <w:szCs w:val="20"/>
        </w:rPr>
        <w:t xml:space="preserve"> Northern Pipeline Reversal project in</w:t>
      </w:r>
      <w:r>
        <w:rPr>
          <w:color w:val="57585A"/>
          <w:sz w:val="20"/>
          <w:szCs w:val="20"/>
        </w:rPr>
        <w:t xml:space="preserve">  </w:t>
      </w:r>
      <w:r>
        <w:rPr>
          <w:color w:val="57585A"/>
          <w:spacing w:val="-9"/>
          <w:sz w:val="20"/>
          <w:szCs w:val="20"/>
        </w:rPr>
        <w:t>2025, coupled</w:t>
      </w:r>
      <w:r>
        <w:rPr>
          <w:color w:val="57585A"/>
          <w:spacing w:val="-15"/>
          <w:sz w:val="20"/>
          <w:szCs w:val="20"/>
        </w:rPr>
        <w:t xml:space="preserve"> </w:t>
      </w:r>
      <w:r>
        <w:rPr>
          <w:color w:val="57585A"/>
          <w:spacing w:val="-9"/>
          <w:sz w:val="20"/>
          <w:szCs w:val="20"/>
        </w:rPr>
        <w:t>with new prod</w:t>
      </w:r>
      <w:r>
        <w:rPr>
          <w:color w:val="57585A"/>
          <w:spacing w:val="-10"/>
          <w:sz w:val="20"/>
          <w:szCs w:val="20"/>
        </w:rPr>
        <w:t>uction coming from the offshore Fenix project and continued growth in unconventional gas</w:t>
      </w:r>
    </w:p>
    <w:p w14:paraId="7FC87F5A">
      <w:pPr>
        <w:pStyle w:val="4"/>
        <w:spacing w:before="58" w:line="234" w:lineRule="auto"/>
        <w:ind w:left="618"/>
        <w:rPr>
          <w:sz w:val="20"/>
          <w:szCs w:val="20"/>
        </w:rPr>
      </w:pPr>
      <w:r>
        <w:rPr>
          <w:color w:val="57585A"/>
          <w:spacing w:val="-8"/>
          <w:sz w:val="20"/>
          <w:szCs w:val="20"/>
        </w:rPr>
        <w:t>production.</w:t>
      </w:r>
    </w:p>
    <w:p w14:paraId="424396F5">
      <w:pPr>
        <w:pStyle w:val="4"/>
        <w:spacing w:before="56" w:line="234" w:lineRule="auto"/>
        <w:ind w:left="357"/>
        <w:rPr>
          <w:sz w:val="20"/>
          <w:szCs w:val="20"/>
        </w:rPr>
      </w:pPr>
      <w:r>
        <w:rPr>
          <w:color w:val="33CCFF"/>
          <w:spacing w:val="-11"/>
          <w:sz w:val="20"/>
          <w:szCs w:val="20"/>
        </w:rPr>
        <w:t xml:space="preserve">•   </w:t>
      </w:r>
      <w:r>
        <w:rPr>
          <w:color w:val="57585A"/>
          <w:spacing w:val="-11"/>
          <w:sz w:val="20"/>
          <w:szCs w:val="20"/>
        </w:rPr>
        <w:t>We note an increasingly bullish sentiment among shale gas producers in</w:t>
      </w:r>
      <w:r>
        <w:rPr>
          <w:color w:val="57585A"/>
          <w:spacing w:val="-16"/>
          <w:sz w:val="20"/>
          <w:szCs w:val="20"/>
        </w:rPr>
        <w:t xml:space="preserve"> </w:t>
      </w:r>
      <w:r>
        <w:rPr>
          <w:color w:val="57585A"/>
          <w:spacing w:val="-11"/>
          <w:sz w:val="20"/>
          <w:szCs w:val="20"/>
        </w:rPr>
        <w:t>Argentina</w:t>
      </w:r>
      <w:r>
        <w:rPr>
          <w:color w:val="57585A"/>
          <w:spacing w:val="-16"/>
          <w:sz w:val="20"/>
          <w:szCs w:val="20"/>
        </w:rPr>
        <w:t xml:space="preserve"> </w:t>
      </w:r>
      <w:r>
        <w:rPr>
          <w:color w:val="57585A"/>
          <w:spacing w:val="-11"/>
          <w:sz w:val="20"/>
          <w:szCs w:val="20"/>
        </w:rPr>
        <w:t>who have delivered a robust estimated</w:t>
      </w:r>
    </w:p>
    <w:p w14:paraId="44B3D9AC">
      <w:pPr>
        <w:pStyle w:val="4"/>
        <w:spacing w:before="57" w:line="231" w:lineRule="auto"/>
        <w:ind w:left="618"/>
        <w:rPr>
          <w:sz w:val="20"/>
          <w:szCs w:val="20"/>
        </w:rPr>
      </w:pPr>
      <w:r>
        <w:rPr>
          <w:color w:val="57585A"/>
          <w:spacing w:val="-11"/>
          <w:sz w:val="20"/>
          <w:szCs w:val="20"/>
        </w:rPr>
        <w:t>monthly average unconventional gas output growth of 13.6%</w:t>
      </w:r>
      <w:r>
        <w:rPr>
          <w:color w:val="57585A"/>
          <w:spacing w:val="-2"/>
          <w:sz w:val="20"/>
          <w:szCs w:val="20"/>
        </w:rPr>
        <w:t xml:space="preserve"> </w:t>
      </w:r>
      <w:r>
        <w:rPr>
          <w:color w:val="57585A"/>
          <w:spacing w:val="-11"/>
          <w:sz w:val="20"/>
          <w:szCs w:val="20"/>
        </w:rPr>
        <w:t>y-o-y in 2024 (based on provisional data) relative to the same</w:t>
      </w:r>
    </w:p>
    <w:p w14:paraId="4797D100">
      <w:pPr>
        <w:pStyle w:val="4"/>
        <w:spacing w:before="59" w:line="282" w:lineRule="auto"/>
        <w:ind w:left="616" w:right="462" w:firstLine="2"/>
        <w:rPr>
          <w:sz w:val="20"/>
          <w:szCs w:val="20"/>
        </w:rPr>
      </w:pPr>
      <w:r>
        <w:rPr>
          <w:color w:val="57585A"/>
          <w:spacing w:val="-9"/>
          <w:sz w:val="20"/>
          <w:szCs w:val="20"/>
        </w:rPr>
        <w:t>period of 2023, indicati</w:t>
      </w:r>
      <w:r>
        <w:rPr>
          <w:color w:val="57585A"/>
          <w:spacing w:val="-10"/>
          <w:sz w:val="20"/>
          <w:szCs w:val="20"/>
        </w:rPr>
        <w:t>ng a strong production growth</w:t>
      </w:r>
      <w:r>
        <w:rPr>
          <w:color w:val="57585A"/>
          <w:spacing w:val="-16"/>
          <w:sz w:val="20"/>
          <w:szCs w:val="20"/>
        </w:rPr>
        <w:t xml:space="preserve"> </w:t>
      </w:r>
      <w:r>
        <w:rPr>
          <w:color w:val="57585A"/>
          <w:spacing w:val="-10"/>
          <w:sz w:val="20"/>
          <w:szCs w:val="20"/>
        </w:rPr>
        <w:t>year and a bright outlook for unconventional gas production in 2025 and</w:t>
      </w:r>
      <w:r>
        <w:rPr>
          <w:color w:val="57585A"/>
          <w:sz w:val="20"/>
          <w:szCs w:val="20"/>
        </w:rPr>
        <w:t xml:space="preserve"> </w:t>
      </w:r>
      <w:r>
        <w:rPr>
          <w:color w:val="57585A"/>
          <w:spacing w:val="-12"/>
          <w:sz w:val="20"/>
          <w:szCs w:val="20"/>
        </w:rPr>
        <w:t>2026.</w:t>
      </w:r>
    </w:p>
    <w:p w14:paraId="0A4CA37E">
      <w:pPr>
        <w:pStyle w:val="4"/>
        <w:spacing w:before="18" w:line="262" w:lineRule="auto"/>
        <w:ind w:left="614" w:right="485" w:hanging="257"/>
        <w:rPr>
          <w:sz w:val="20"/>
          <w:szCs w:val="20"/>
        </w:rPr>
      </w:pPr>
      <w:r>
        <w:rPr>
          <w:color w:val="33CCFF"/>
          <w:spacing w:val="-11"/>
          <w:sz w:val="20"/>
          <w:szCs w:val="20"/>
        </w:rPr>
        <w:t xml:space="preserve">•   </w:t>
      </w:r>
      <w:r>
        <w:rPr>
          <w:color w:val="57585A"/>
          <w:spacing w:val="-11"/>
          <w:sz w:val="20"/>
          <w:szCs w:val="20"/>
        </w:rPr>
        <w:t>In November 2024, the</w:t>
      </w:r>
      <w:r>
        <w:rPr>
          <w:color w:val="57585A"/>
          <w:spacing w:val="-15"/>
          <w:sz w:val="20"/>
          <w:szCs w:val="20"/>
        </w:rPr>
        <w:t xml:space="preserve"> </w:t>
      </w:r>
      <w:r>
        <w:rPr>
          <w:color w:val="57585A"/>
          <w:spacing w:val="-11"/>
          <w:sz w:val="20"/>
          <w:szCs w:val="20"/>
        </w:rPr>
        <w:t>Argentine government inaugurated the Tío Pujio-La Carlota Federal</w:t>
      </w:r>
      <w:r>
        <w:rPr>
          <w:color w:val="57585A"/>
          <w:sz w:val="20"/>
          <w:szCs w:val="20"/>
        </w:rPr>
        <w:t xml:space="preserve"> </w:t>
      </w:r>
      <w:r>
        <w:rPr>
          <w:color w:val="57585A"/>
          <w:spacing w:val="-11"/>
          <w:sz w:val="20"/>
          <w:szCs w:val="20"/>
        </w:rPr>
        <w:t>Integration</w:t>
      </w:r>
      <w:r>
        <w:rPr>
          <w:color w:val="57585A"/>
          <w:spacing w:val="1"/>
          <w:sz w:val="20"/>
          <w:szCs w:val="20"/>
        </w:rPr>
        <w:t xml:space="preserve"> </w:t>
      </w:r>
      <w:r>
        <w:rPr>
          <w:color w:val="57585A"/>
          <w:spacing w:val="-11"/>
          <w:sz w:val="20"/>
          <w:szCs w:val="20"/>
        </w:rPr>
        <w:t>Pipeline,</w:t>
      </w:r>
      <w:r>
        <w:rPr>
          <w:color w:val="57585A"/>
          <w:spacing w:val="-16"/>
          <w:sz w:val="20"/>
          <w:szCs w:val="20"/>
        </w:rPr>
        <w:t xml:space="preserve"> </w:t>
      </w:r>
      <w:r>
        <w:rPr>
          <w:color w:val="57585A"/>
          <w:spacing w:val="-11"/>
          <w:sz w:val="20"/>
          <w:szCs w:val="20"/>
        </w:rPr>
        <w:t xml:space="preserve">which links </w:t>
      </w:r>
      <w:r>
        <w:rPr>
          <w:color w:val="57585A"/>
          <w:spacing w:val="-12"/>
          <w:sz w:val="20"/>
          <w:szCs w:val="20"/>
        </w:rPr>
        <w:t>the</w:t>
      </w:r>
      <w:r>
        <w:rPr>
          <w:color w:val="57585A"/>
          <w:sz w:val="20"/>
          <w:szCs w:val="20"/>
        </w:rPr>
        <w:t xml:space="preserve"> </w:t>
      </w:r>
      <w:r>
        <w:rPr>
          <w:color w:val="57585A"/>
          <w:spacing w:val="-11"/>
          <w:sz w:val="20"/>
          <w:szCs w:val="20"/>
        </w:rPr>
        <w:t>Central and Northern Pipeline, and con</w:t>
      </w:r>
      <w:r>
        <w:rPr>
          <w:color w:val="57585A"/>
          <w:spacing w:val="-12"/>
          <w:sz w:val="20"/>
          <w:szCs w:val="20"/>
        </w:rPr>
        <w:t>stitutes a key part of</w:t>
      </w:r>
      <w:r>
        <w:rPr>
          <w:color w:val="57585A"/>
          <w:spacing w:val="-21"/>
          <w:sz w:val="20"/>
          <w:szCs w:val="20"/>
        </w:rPr>
        <w:t xml:space="preserve"> </w:t>
      </w:r>
      <w:r>
        <w:rPr>
          <w:color w:val="57585A"/>
          <w:spacing w:val="-12"/>
          <w:sz w:val="20"/>
          <w:szCs w:val="20"/>
        </w:rPr>
        <w:t>the broader Northern</w:t>
      </w:r>
      <w:r>
        <w:rPr>
          <w:color w:val="57585A"/>
          <w:spacing w:val="1"/>
          <w:sz w:val="20"/>
          <w:szCs w:val="20"/>
        </w:rPr>
        <w:t xml:space="preserve"> </w:t>
      </w:r>
      <w:r>
        <w:rPr>
          <w:color w:val="57585A"/>
          <w:spacing w:val="-12"/>
          <w:sz w:val="20"/>
          <w:szCs w:val="20"/>
        </w:rPr>
        <w:t>Pipeline</w:t>
      </w:r>
      <w:r>
        <w:rPr>
          <w:color w:val="57585A"/>
          <w:sz w:val="20"/>
          <w:szCs w:val="20"/>
        </w:rPr>
        <w:t xml:space="preserve"> </w:t>
      </w:r>
      <w:r>
        <w:rPr>
          <w:color w:val="57585A"/>
          <w:spacing w:val="-12"/>
          <w:sz w:val="20"/>
          <w:szCs w:val="20"/>
        </w:rPr>
        <w:t>Reversal</w:t>
      </w:r>
      <w:r>
        <w:rPr>
          <w:color w:val="57585A"/>
          <w:spacing w:val="1"/>
          <w:sz w:val="20"/>
          <w:szCs w:val="20"/>
        </w:rPr>
        <w:t xml:space="preserve"> </w:t>
      </w:r>
      <w:r>
        <w:rPr>
          <w:color w:val="57585A"/>
          <w:spacing w:val="-12"/>
          <w:sz w:val="20"/>
          <w:szCs w:val="20"/>
        </w:rPr>
        <w:t>Project. The Northern</w:t>
      </w:r>
    </w:p>
    <w:p w14:paraId="1789A72B">
      <w:pPr>
        <w:pStyle w:val="4"/>
        <w:spacing w:before="58" w:line="262" w:lineRule="auto"/>
        <w:ind w:left="618" w:right="446" w:firstLine="2"/>
        <w:rPr>
          <w:sz w:val="20"/>
          <w:szCs w:val="20"/>
        </w:rPr>
      </w:pPr>
      <w:r>
        <w:rPr>
          <w:color w:val="57585A"/>
          <w:spacing w:val="-11"/>
          <w:sz w:val="20"/>
          <w:szCs w:val="20"/>
        </w:rPr>
        <w:t>Pipeline Reversal project notably allows</w:t>
      </w:r>
      <w:r>
        <w:rPr>
          <w:color w:val="57585A"/>
          <w:spacing w:val="-15"/>
          <w:sz w:val="20"/>
          <w:szCs w:val="20"/>
        </w:rPr>
        <w:t xml:space="preserve"> </w:t>
      </w:r>
      <w:r>
        <w:rPr>
          <w:color w:val="57585A"/>
          <w:spacing w:val="-11"/>
          <w:sz w:val="20"/>
          <w:szCs w:val="20"/>
        </w:rPr>
        <w:t>Argentina to end nat</w:t>
      </w:r>
      <w:r>
        <w:rPr>
          <w:color w:val="57585A"/>
          <w:spacing w:val="-12"/>
          <w:sz w:val="20"/>
          <w:szCs w:val="20"/>
        </w:rPr>
        <w:t>ural gas imports from Bolivia in its norther</w:t>
      </w:r>
      <w:r>
        <w:rPr>
          <w:color w:val="57585A"/>
          <w:spacing w:val="-2"/>
          <w:sz w:val="20"/>
          <w:szCs w:val="20"/>
        </w:rPr>
        <w:t xml:space="preserve"> </w:t>
      </w:r>
      <w:r>
        <w:rPr>
          <w:color w:val="57585A"/>
          <w:spacing w:val="-12"/>
          <w:sz w:val="20"/>
          <w:szCs w:val="20"/>
        </w:rPr>
        <w:t>provinces, to be</w:t>
      </w:r>
      <w:r>
        <w:rPr>
          <w:color w:val="57585A"/>
          <w:spacing w:val="-2"/>
          <w:sz w:val="20"/>
          <w:szCs w:val="20"/>
        </w:rPr>
        <w:t xml:space="preserve"> </w:t>
      </w:r>
      <w:r>
        <w:rPr>
          <w:color w:val="57585A"/>
          <w:spacing w:val="-12"/>
          <w:sz w:val="20"/>
          <w:szCs w:val="20"/>
        </w:rPr>
        <w:t>replaced</w:t>
      </w:r>
      <w:r>
        <w:rPr>
          <w:color w:val="57585A"/>
          <w:sz w:val="20"/>
          <w:szCs w:val="20"/>
        </w:rPr>
        <w:t xml:space="preserve"> </w:t>
      </w:r>
      <w:r>
        <w:rPr>
          <w:color w:val="57585A"/>
          <w:spacing w:val="-12"/>
          <w:sz w:val="20"/>
          <w:szCs w:val="20"/>
        </w:rPr>
        <w:t>by domestically produced gas.</w:t>
      </w:r>
    </w:p>
    <w:p w14:paraId="02C49369">
      <w:pPr>
        <w:pStyle w:val="4"/>
        <w:spacing w:before="58" w:line="262" w:lineRule="auto"/>
        <w:ind w:left="611" w:right="551" w:hanging="254"/>
        <w:rPr>
          <w:sz w:val="20"/>
          <w:szCs w:val="20"/>
        </w:rPr>
      </w:pPr>
      <w:r>
        <w:rPr>
          <w:color w:val="33CCFF"/>
          <w:spacing w:val="-11"/>
          <w:sz w:val="20"/>
          <w:szCs w:val="20"/>
        </w:rPr>
        <w:t xml:space="preserve">•   </w:t>
      </w:r>
      <w:r>
        <w:rPr>
          <w:color w:val="57585A"/>
          <w:spacing w:val="-11"/>
          <w:sz w:val="20"/>
          <w:szCs w:val="20"/>
        </w:rPr>
        <w:t>The Fénix project, located o</w:t>
      </w:r>
      <w:r>
        <w:rPr>
          <w:color w:val="57585A"/>
          <w:spacing w:val="-12"/>
          <w:sz w:val="20"/>
          <w:szCs w:val="20"/>
        </w:rPr>
        <w:t>ffshore Tierra del Fuego and operated by Total</w:t>
      </w:r>
      <w:r>
        <w:rPr>
          <w:color w:val="57585A"/>
          <w:spacing w:val="-15"/>
          <w:sz w:val="20"/>
          <w:szCs w:val="20"/>
        </w:rPr>
        <w:t xml:space="preserve"> </w:t>
      </w:r>
      <w:r>
        <w:rPr>
          <w:color w:val="57585A"/>
          <w:spacing w:val="-12"/>
          <w:sz w:val="20"/>
          <w:szCs w:val="20"/>
        </w:rPr>
        <w:t>Austral, commenced operations in September 2024,</w:t>
      </w:r>
      <w:r>
        <w:rPr>
          <w:color w:val="57585A"/>
          <w:sz w:val="20"/>
          <w:szCs w:val="20"/>
        </w:rPr>
        <w:t xml:space="preserve"> </w:t>
      </w:r>
      <w:r>
        <w:rPr>
          <w:color w:val="57585A"/>
          <w:spacing w:val="-10"/>
          <w:sz w:val="20"/>
          <w:szCs w:val="20"/>
        </w:rPr>
        <w:t>supporting our bullish 2025 gas production forecast.</w:t>
      </w:r>
      <w:r>
        <w:rPr>
          <w:color w:val="57585A"/>
          <w:spacing w:val="-6"/>
          <w:sz w:val="20"/>
          <w:szCs w:val="20"/>
        </w:rPr>
        <w:t xml:space="preserve"> </w:t>
      </w:r>
      <w:r>
        <w:rPr>
          <w:color w:val="57585A"/>
          <w:spacing w:val="-10"/>
          <w:sz w:val="20"/>
          <w:szCs w:val="20"/>
        </w:rPr>
        <w:t>This project is composed of</w:t>
      </w:r>
      <w:r>
        <w:rPr>
          <w:color w:val="57585A"/>
          <w:spacing w:val="-21"/>
          <w:sz w:val="20"/>
          <w:szCs w:val="20"/>
        </w:rPr>
        <w:t xml:space="preserve"> </w:t>
      </w:r>
      <w:r>
        <w:rPr>
          <w:color w:val="57585A"/>
          <w:spacing w:val="-10"/>
          <w:sz w:val="20"/>
          <w:szCs w:val="20"/>
        </w:rPr>
        <w:t>three horizontal</w:t>
      </w:r>
      <w:r>
        <w:rPr>
          <w:color w:val="57585A"/>
          <w:spacing w:val="-15"/>
          <w:sz w:val="20"/>
          <w:szCs w:val="20"/>
        </w:rPr>
        <w:t xml:space="preserve"> </w:t>
      </w:r>
      <w:r>
        <w:rPr>
          <w:color w:val="57585A"/>
          <w:spacing w:val="-10"/>
          <w:sz w:val="20"/>
          <w:szCs w:val="20"/>
        </w:rPr>
        <w:t>wells,</w:t>
      </w:r>
      <w:r>
        <w:rPr>
          <w:color w:val="57585A"/>
          <w:spacing w:val="-16"/>
          <w:sz w:val="20"/>
          <w:szCs w:val="20"/>
        </w:rPr>
        <w:t xml:space="preserve"> </w:t>
      </w:r>
      <w:r>
        <w:rPr>
          <w:color w:val="57585A"/>
          <w:spacing w:val="-10"/>
          <w:sz w:val="20"/>
          <w:szCs w:val="20"/>
        </w:rPr>
        <w:t>with the production</w:t>
      </w:r>
    </w:p>
    <w:p w14:paraId="097CB466">
      <w:pPr>
        <w:pStyle w:val="4"/>
        <w:spacing w:before="58" w:line="231" w:lineRule="auto"/>
        <w:ind w:left="614"/>
        <w:rPr>
          <w:sz w:val="20"/>
          <w:szCs w:val="20"/>
        </w:rPr>
      </w:pPr>
      <w:r>
        <w:rPr>
          <w:color w:val="57585A"/>
          <w:spacing w:val="-10"/>
          <w:sz w:val="20"/>
          <w:szCs w:val="20"/>
        </w:rPr>
        <w:t>capacity of 10 m3/d of natural gas (70,000boe/d) and relatively low carbon footprint</w:t>
      </w:r>
      <w:r>
        <w:rPr>
          <w:color w:val="57585A"/>
          <w:spacing w:val="-3"/>
          <w:sz w:val="20"/>
          <w:szCs w:val="20"/>
        </w:rPr>
        <w:t xml:space="preserve"> </w:t>
      </w:r>
      <w:r>
        <w:rPr>
          <w:color w:val="57585A"/>
          <w:spacing w:val="-10"/>
          <w:sz w:val="20"/>
          <w:szCs w:val="20"/>
        </w:rPr>
        <w:t>with emissions of 9kg CO2e/boe.</w:t>
      </w:r>
    </w:p>
    <w:p w14:paraId="45BF8047">
      <w:pPr>
        <w:pStyle w:val="4"/>
        <w:spacing w:before="58" w:line="272" w:lineRule="auto"/>
        <w:ind w:left="607" w:right="392" w:hanging="250"/>
        <w:rPr>
          <w:sz w:val="20"/>
          <w:szCs w:val="20"/>
        </w:rPr>
      </w:pPr>
      <w:r>
        <w:rPr>
          <w:color w:val="33CCFF"/>
          <w:spacing w:val="-10"/>
          <w:sz w:val="20"/>
          <w:szCs w:val="20"/>
        </w:rPr>
        <w:t xml:space="preserve">•   </w:t>
      </w:r>
      <w:r>
        <w:rPr>
          <w:color w:val="57585A"/>
          <w:spacing w:val="-10"/>
          <w:sz w:val="20"/>
          <w:szCs w:val="20"/>
        </w:rPr>
        <w:t>However,</w:t>
      </w:r>
      <w:r>
        <w:rPr>
          <w:color w:val="57585A"/>
          <w:spacing w:val="-16"/>
          <w:sz w:val="20"/>
          <w:szCs w:val="20"/>
        </w:rPr>
        <w:t xml:space="preserve"> </w:t>
      </w:r>
      <w:r>
        <w:rPr>
          <w:color w:val="57585A"/>
          <w:spacing w:val="-10"/>
          <w:sz w:val="20"/>
          <w:szCs w:val="20"/>
        </w:rPr>
        <w:t>we no longer expect the Néstor Kirchner Stage 2</w:t>
      </w:r>
      <w:r>
        <w:rPr>
          <w:color w:val="57585A"/>
          <w:spacing w:val="-2"/>
          <w:sz w:val="20"/>
          <w:szCs w:val="20"/>
        </w:rPr>
        <w:t xml:space="preserve"> </w:t>
      </w:r>
      <w:r>
        <w:rPr>
          <w:color w:val="57585A"/>
          <w:spacing w:val="-10"/>
          <w:sz w:val="20"/>
          <w:szCs w:val="20"/>
        </w:rPr>
        <w:t>project to come online over the</w:t>
      </w:r>
      <w:r>
        <w:rPr>
          <w:color w:val="57585A"/>
          <w:spacing w:val="-11"/>
          <w:sz w:val="20"/>
          <w:szCs w:val="20"/>
        </w:rPr>
        <w:t xml:space="preserve"> near term given limited support from</w:t>
      </w:r>
      <w:r>
        <w:rPr>
          <w:color w:val="57585A"/>
          <w:sz w:val="20"/>
          <w:szCs w:val="20"/>
        </w:rPr>
        <w:t xml:space="preserve"> </w:t>
      </w:r>
      <w:r>
        <w:rPr>
          <w:color w:val="57585A"/>
          <w:spacing w:val="-10"/>
          <w:sz w:val="20"/>
          <w:szCs w:val="20"/>
        </w:rPr>
        <w:t xml:space="preserve">the government. The </w:t>
      </w:r>
      <w:r>
        <w:rPr>
          <w:color w:val="57585A"/>
          <w:spacing w:val="-11"/>
          <w:sz w:val="20"/>
          <w:szCs w:val="20"/>
        </w:rPr>
        <w:t>project</w:t>
      </w:r>
      <w:r>
        <w:rPr>
          <w:color w:val="57585A"/>
          <w:spacing w:val="-16"/>
          <w:sz w:val="20"/>
          <w:szCs w:val="20"/>
        </w:rPr>
        <w:t xml:space="preserve"> </w:t>
      </w:r>
      <w:r>
        <w:rPr>
          <w:color w:val="57585A"/>
          <w:spacing w:val="-11"/>
          <w:sz w:val="20"/>
          <w:szCs w:val="20"/>
        </w:rPr>
        <w:t>was a key factor for medium-term upside risk to our forecast. The expansion project is not a priority</w:t>
      </w:r>
      <w:r>
        <w:rPr>
          <w:color w:val="57585A"/>
          <w:sz w:val="20"/>
          <w:szCs w:val="20"/>
        </w:rPr>
        <w:t xml:space="preserve"> </w:t>
      </w:r>
      <w:r>
        <w:rPr>
          <w:color w:val="57585A"/>
          <w:spacing w:val="-10"/>
          <w:sz w:val="20"/>
          <w:szCs w:val="20"/>
        </w:rPr>
        <w:t>for the government of</w:t>
      </w:r>
      <w:r>
        <w:rPr>
          <w:color w:val="57585A"/>
          <w:spacing w:val="-32"/>
          <w:sz w:val="20"/>
          <w:szCs w:val="20"/>
        </w:rPr>
        <w:t xml:space="preserve"> </w:t>
      </w:r>
      <w:r>
        <w:rPr>
          <w:color w:val="57585A"/>
          <w:spacing w:val="-10"/>
          <w:sz w:val="20"/>
          <w:szCs w:val="20"/>
        </w:rPr>
        <w:t>Javier Milei,</w:t>
      </w:r>
      <w:r>
        <w:rPr>
          <w:color w:val="57585A"/>
          <w:spacing w:val="-15"/>
          <w:sz w:val="20"/>
          <w:szCs w:val="20"/>
        </w:rPr>
        <w:t xml:space="preserve"> </w:t>
      </w:r>
      <w:r>
        <w:rPr>
          <w:color w:val="57585A"/>
          <w:spacing w:val="-10"/>
          <w:sz w:val="20"/>
          <w:szCs w:val="20"/>
        </w:rPr>
        <w:t>who is</w:t>
      </w:r>
      <w:r>
        <w:rPr>
          <w:color w:val="57585A"/>
          <w:spacing w:val="-16"/>
          <w:sz w:val="20"/>
          <w:szCs w:val="20"/>
        </w:rPr>
        <w:t xml:space="preserve"> </w:t>
      </w:r>
      <w:r>
        <w:rPr>
          <w:color w:val="57585A"/>
          <w:spacing w:val="-10"/>
          <w:sz w:val="20"/>
          <w:szCs w:val="20"/>
        </w:rPr>
        <w:t>vocal about the need for</w:t>
      </w:r>
      <w:r>
        <w:rPr>
          <w:color w:val="57585A"/>
          <w:spacing w:val="-11"/>
          <w:sz w:val="20"/>
          <w:szCs w:val="20"/>
        </w:rPr>
        <w:t xml:space="preserve"> private financing of</w:t>
      </w:r>
      <w:r>
        <w:rPr>
          <w:color w:val="57585A"/>
          <w:spacing w:val="-21"/>
          <w:sz w:val="20"/>
          <w:szCs w:val="20"/>
        </w:rPr>
        <w:t xml:space="preserve"> </w:t>
      </w:r>
      <w:r>
        <w:rPr>
          <w:color w:val="57585A"/>
          <w:spacing w:val="-11"/>
          <w:sz w:val="20"/>
          <w:szCs w:val="20"/>
        </w:rPr>
        <w:t>the project. Given the heightened</w:t>
      </w:r>
    </w:p>
    <w:p w14:paraId="3FA6F610">
      <w:pPr>
        <w:pStyle w:val="4"/>
        <w:spacing w:before="58" w:line="262" w:lineRule="auto"/>
        <w:ind w:left="617" w:right="798"/>
        <w:rPr>
          <w:sz w:val="20"/>
          <w:szCs w:val="20"/>
        </w:rPr>
      </w:pPr>
      <w:r>
        <w:rPr>
          <w:color w:val="57585A"/>
          <w:spacing w:val="-9"/>
          <w:sz w:val="20"/>
          <w:szCs w:val="20"/>
        </w:rPr>
        <w:t>uncertainty amid economic and p</w:t>
      </w:r>
      <w:r>
        <w:rPr>
          <w:color w:val="57585A"/>
          <w:spacing w:val="-10"/>
          <w:sz w:val="20"/>
          <w:szCs w:val="20"/>
        </w:rPr>
        <w:t>olitical turmoil in 2024,</w:t>
      </w:r>
      <w:r>
        <w:rPr>
          <w:color w:val="57585A"/>
          <w:spacing w:val="-15"/>
          <w:sz w:val="20"/>
          <w:szCs w:val="20"/>
        </w:rPr>
        <w:t xml:space="preserve"> </w:t>
      </w:r>
      <w:r>
        <w:rPr>
          <w:color w:val="57585A"/>
          <w:spacing w:val="-10"/>
          <w:sz w:val="20"/>
          <w:szCs w:val="20"/>
        </w:rPr>
        <w:t>we see limited risk of</w:t>
      </w:r>
      <w:r>
        <w:rPr>
          <w:color w:val="57585A"/>
          <w:spacing w:val="-15"/>
          <w:sz w:val="20"/>
          <w:szCs w:val="20"/>
        </w:rPr>
        <w:t xml:space="preserve"> </w:t>
      </w:r>
      <w:r>
        <w:rPr>
          <w:color w:val="57585A"/>
          <w:spacing w:val="-10"/>
          <w:sz w:val="20"/>
          <w:szCs w:val="20"/>
        </w:rPr>
        <w:t>companies committing private capital to the</w:t>
      </w:r>
      <w:r>
        <w:rPr>
          <w:color w:val="57585A"/>
          <w:sz w:val="20"/>
          <w:szCs w:val="20"/>
        </w:rPr>
        <w:t xml:space="preserve"> </w:t>
      </w:r>
      <w:r>
        <w:rPr>
          <w:color w:val="57585A"/>
          <w:spacing w:val="-9"/>
          <w:sz w:val="20"/>
          <w:szCs w:val="20"/>
        </w:rPr>
        <w:t>pipeline project in the short-term.</w:t>
      </w:r>
    </w:p>
    <w:p w14:paraId="7893F912">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However,</w:t>
      </w:r>
      <w:r>
        <w:rPr>
          <w:color w:val="57585A"/>
          <w:spacing w:val="-16"/>
          <w:sz w:val="20"/>
          <w:szCs w:val="20"/>
        </w:rPr>
        <w:t xml:space="preserve"> </w:t>
      </w:r>
      <w:r>
        <w:rPr>
          <w:color w:val="57585A"/>
          <w:spacing w:val="-11"/>
          <w:sz w:val="20"/>
          <w:szCs w:val="20"/>
        </w:rPr>
        <w:t>we still identify upside risks given</w:t>
      </w:r>
      <w:r>
        <w:rPr>
          <w:color w:val="57585A"/>
          <w:spacing w:val="-16"/>
          <w:sz w:val="20"/>
          <w:szCs w:val="20"/>
        </w:rPr>
        <w:t xml:space="preserve"> </w:t>
      </w:r>
      <w:r>
        <w:rPr>
          <w:color w:val="57585A"/>
          <w:spacing w:val="-11"/>
          <w:sz w:val="20"/>
          <w:szCs w:val="20"/>
        </w:rPr>
        <w:t>Argentina triggered a tender in February 2025 f</w:t>
      </w:r>
      <w:r>
        <w:rPr>
          <w:color w:val="57585A"/>
          <w:spacing w:val="-12"/>
          <w:sz w:val="20"/>
          <w:szCs w:val="20"/>
        </w:rPr>
        <w:t>or a USD500mn gas compression</w:t>
      </w:r>
    </w:p>
    <w:p w14:paraId="7136DE21">
      <w:pPr>
        <w:pStyle w:val="4"/>
        <w:spacing w:before="56" w:line="262" w:lineRule="auto"/>
        <w:ind w:left="618" w:right="452"/>
        <w:rPr>
          <w:sz w:val="20"/>
          <w:szCs w:val="20"/>
        </w:rPr>
      </w:pPr>
      <w:r>
        <w:rPr>
          <w:color w:val="57585A"/>
          <w:spacing w:val="-11"/>
          <w:sz w:val="20"/>
          <w:szCs w:val="20"/>
        </w:rPr>
        <w:t>project on the Gasuducto Presidente Nestor Kirchner. This</w:t>
      </w:r>
      <w:r>
        <w:rPr>
          <w:color w:val="57585A"/>
          <w:spacing w:val="-15"/>
          <w:sz w:val="20"/>
          <w:szCs w:val="20"/>
        </w:rPr>
        <w:t xml:space="preserve"> </w:t>
      </w:r>
      <w:r>
        <w:rPr>
          <w:color w:val="57585A"/>
          <w:spacing w:val="-11"/>
          <w:sz w:val="20"/>
          <w:szCs w:val="20"/>
        </w:rPr>
        <w:t>would aim to boost capa</w:t>
      </w:r>
      <w:r>
        <w:rPr>
          <w:color w:val="57585A"/>
          <w:spacing w:val="-12"/>
          <w:sz w:val="20"/>
          <w:szCs w:val="20"/>
        </w:rPr>
        <w:t>city of</w:t>
      </w:r>
      <w:r>
        <w:rPr>
          <w:color w:val="57585A"/>
          <w:spacing w:val="-22"/>
          <w:sz w:val="20"/>
          <w:szCs w:val="20"/>
        </w:rPr>
        <w:t xml:space="preserve"> </w:t>
      </w:r>
      <w:r>
        <w:rPr>
          <w:color w:val="57585A"/>
          <w:spacing w:val="-12"/>
          <w:sz w:val="20"/>
          <w:szCs w:val="20"/>
        </w:rPr>
        <w:t>the Vaca Muerta debottlenecking gas</w:t>
      </w:r>
      <w:r>
        <w:rPr>
          <w:color w:val="57585A"/>
          <w:sz w:val="20"/>
          <w:szCs w:val="20"/>
        </w:rPr>
        <w:t xml:space="preserve"> </w:t>
      </w:r>
      <w:r>
        <w:rPr>
          <w:color w:val="57585A"/>
          <w:spacing w:val="-10"/>
          <w:sz w:val="20"/>
          <w:szCs w:val="20"/>
        </w:rPr>
        <w:t>pipeline, notably to help substitute</w:t>
      </w:r>
      <w:r>
        <w:rPr>
          <w:color w:val="57585A"/>
          <w:spacing w:val="-15"/>
          <w:sz w:val="20"/>
          <w:szCs w:val="20"/>
        </w:rPr>
        <w:t xml:space="preserve"> </w:t>
      </w:r>
      <w:r>
        <w:rPr>
          <w:color w:val="57585A"/>
          <w:spacing w:val="-10"/>
          <w:sz w:val="20"/>
          <w:szCs w:val="20"/>
        </w:rPr>
        <w:t>w</w:t>
      </w:r>
      <w:r>
        <w:rPr>
          <w:color w:val="57585A"/>
          <w:spacing w:val="-11"/>
          <w:sz w:val="20"/>
          <w:szCs w:val="20"/>
        </w:rPr>
        <w:t>inter imports of LNG. it</w:t>
      </w:r>
      <w:r>
        <w:rPr>
          <w:color w:val="57585A"/>
          <w:spacing w:val="-16"/>
          <w:sz w:val="20"/>
          <w:szCs w:val="20"/>
        </w:rPr>
        <w:t xml:space="preserve"> </w:t>
      </w:r>
      <w:r>
        <w:rPr>
          <w:color w:val="57585A"/>
          <w:spacing w:val="-11"/>
          <w:sz w:val="20"/>
          <w:szCs w:val="20"/>
        </w:rPr>
        <w:t>would involve four new compression plants along the Tratayen-</w:t>
      </w:r>
    </w:p>
    <w:p w14:paraId="2EF99DF5">
      <w:pPr>
        <w:pStyle w:val="4"/>
        <w:spacing w:before="58" w:line="262" w:lineRule="auto"/>
        <w:ind w:left="618" w:right="985" w:hanging="7"/>
        <w:rPr>
          <w:sz w:val="20"/>
          <w:szCs w:val="20"/>
        </w:rPr>
      </w:pPr>
      <w:r>
        <w:rPr>
          <w:color w:val="57585A"/>
          <w:spacing w:val="-11"/>
          <w:sz w:val="20"/>
          <w:szCs w:val="20"/>
        </w:rPr>
        <w:t>Salliquelo stretch. However, it remains uncl</w:t>
      </w:r>
      <w:r>
        <w:rPr>
          <w:color w:val="57585A"/>
          <w:spacing w:val="-12"/>
          <w:sz w:val="20"/>
          <w:szCs w:val="20"/>
        </w:rPr>
        <w:t>ear</w:t>
      </w:r>
      <w:r>
        <w:rPr>
          <w:color w:val="57585A"/>
          <w:spacing w:val="-16"/>
          <w:sz w:val="20"/>
          <w:szCs w:val="20"/>
        </w:rPr>
        <w:t xml:space="preserve"> </w:t>
      </w:r>
      <w:r>
        <w:rPr>
          <w:color w:val="57585A"/>
          <w:spacing w:val="-12"/>
          <w:sz w:val="20"/>
          <w:szCs w:val="20"/>
        </w:rPr>
        <w:t>whether this</w:t>
      </w:r>
      <w:r>
        <w:rPr>
          <w:color w:val="57585A"/>
          <w:spacing w:val="-15"/>
          <w:sz w:val="20"/>
          <w:szCs w:val="20"/>
        </w:rPr>
        <w:t xml:space="preserve"> </w:t>
      </w:r>
      <w:r>
        <w:rPr>
          <w:color w:val="57585A"/>
          <w:spacing w:val="-12"/>
          <w:sz w:val="20"/>
          <w:szCs w:val="20"/>
        </w:rPr>
        <w:t>would replace plans for the second phase of</w:t>
      </w:r>
      <w:r>
        <w:rPr>
          <w:color w:val="57585A"/>
          <w:spacing w:val="-22"/>
          <w:sz w:val="20"/>
          <w:szCs w:val="20"/>
        </w:rPr>
        <w:t xml:space="preserve"> </w:t>
      </w:r>
      <w:r>
        <w:rPr>
          <w:color w:val="57585A"/>
          <w:spacing w:val="-12"/>
          <w:sz w:val="20"/>
          <w:szCs w:val="20"/>
        </w:rPr>
        <w:t>the Vaca Muerta</w:t>
      </w:r>
      <w:r>
        <w:rPr>
          <w:color w:val="57585A"/>
          <w:sz w:val="20"/>
          <w:szCs w:val="20"/>
        </w:rPr>
        <w:t xml:space="preserve"> </w:t>
      </w:r>
      <w:r>
        <w:rPr>
          <w:color w:val="57585A"/>
          <w:spacing w:val="-9"/>
          <w:sz w:val="20"/>
          <w:szCs w:val="20"/>
        </w:rPr>
        <w:t>pipeline that</w:t>
      </w:r>
      <w:r>
        <w:rPr>
          <w:color w:val="57585A"/>
          <w:spacing w:val="-16"/>
          <w:sz w:val="20"/>
          <w:szCs w:val="20"/>
        </w:rPr>
        <w:t xml:space="preserve"> </w:t>
      </w:r>
      <w:r>
        <w:rPr>
          <w:color w:val="57585A"/>
          <w:spacing w:val="-9"/>
          <w:sz w:val="20"/>
          <w:szCs w:val="20"/>
        </w:rPr>
        <w:t xml:space="preserve">was initially planned </w:t>
      </w:r>
      <w:r>
        <w:rPr>
          <w:color w:val="57585A"/>
          <w:spacing w:val="-10"/>
          <w:sz w:val="20"/>
          <w:szCs w:val="20"/>
        </w:rPr>
        <w:t>to boost dispatch to the north.</w:t>
      </w:r>
    </w:p>
    <w:p w14:paraId="0D80F57E">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We also highlight upside risk to our long-term production forecast stemming from a possible constru</w:t>
      </w:r>
      <w:r>
        <w:rPr>
          <w:color w:val="57585A"/>
          <w:spacing w:val="-11"/>
          <w:sz w:val="20"/>
          <w:szCs w:val="20"/>
        </w:rPr>
        <w:t>ction of</w:t>
      </w:r>
      <w:r>
        <w:rPr>
          <w:color w:val="57585A"/>
          <w:spacing w:val="-17"/>
          <w:sz w:val="20"/>
          <w:szCs w:val="20"/>
        </w:rPr>
        <w:t xml:space="preserve"> </w:t>
      </w:r>
      <w:r>
        <w:rPr>
          <w:color w:val="57585A"/>
          <w:spacing w:val="-11"/>
          <w:sz w:val="20"/>
          <w:szCs w:val="20"/>
        </w:rPr>
        <w:t>a large scale LNG</w:t>
      </w:r>
    </w:p>
    <w:p w14:paraId="22076E84">
      <w:pPr>
        <w:pStyle w:val="4"/>
        <w:spacing w:before="56" w:line="231" w:lineRule="auto"/>
        <w:ind w:left="614"/>
        <w:rPr>
          <w:sz w:val="20"/>
          <w:szCs w:val="20"/>
        </w:rPr>
      </w:pPr>
      <w:r>
        <w:rPr>
          <w:color w:val="57585A"/>
          <w:spacing w:val="-12"/>
          <w:sz w:val="20"/>
          <w:szCs w:val="20"/>
        </w:rPr>
        <w:t>export facility. Representatives</w:t>
      </w:r>
      <w:r>
        <w:rPr>
          <w:color w:val="57585A"/>
          <w:spacing w:val="-13"/>
          <w:sz w:val="20"/>
          <w:szCs w:val="20"/>
        </w:rPr>
        <w:t xml:space="preserve"> of Malaysian Petronas and state-led YPF signed an initial land lease with a part of Bahia Blanca</w:t>
      </w:r>
    </w:p>
    <w:p w14:paraId="361E571A">
      <w:pPr>
        <w:pStyle w:val="4"/>
        <w:spacing w:before="58" w:line="272" w:lineRule="auto"/>
        <w:ind w:left="613" w:right="373" w:hanging="9"/>
        <w:rPr>
          <w:sz w:val="20"/>
          <w:szCs w:val="20"/>
        </w:rPr>
      </w:pPr>
      <w:r>
        <w:rPr>
          <w:color w:val="57585A"/>
          <w:spacing w:val="-11"/>
          <w:sz w:val="20"/>
          <w:szCs w:val="20"/>
        </w:rPr>
        <w:t>where companies plan to invest in an LNG export facility</w:t>
      </w:r>
      <w:r>
        <w:rPr>
          <w:color w:val="57585A"/>
          <w:spacing w:val="1"/>
          <w:sz w:val="20"/>
          <w:szCs w:val="20"/>
        </w:rPr>
        <w:t xml:space="preserve"> </w:t>
      </w:r>
      <w:r>
        <w:rPr>
          <w:color w:val="57585A"/>
          <w:spacing w:val="-11"/>
          <w:sz w:val="20"/>
          <w:szCs w:val="20"/>
        </w:rPr>
        <w:t>with a planned initial capacity of 5mtpa,</w:t>
      </w:r>
      <w:r>
        <w:rPr>
          <w:color w:val="57585A"/>
          <w:spacing w:val="-15"/>
          <w:sz w:val="20"/>
          <w:szCs w:val="20"/>
        </w:rPr>
        <w:t xml:space="preserve"> </w:t>
      </w:r>
      <w:r>
        <w:rPr>
          <w:color w:val="57585A"/>
          <w:spacing w:val="-11"/>
          <w:sz w:val="20"/>
          <w:szCs w:val="20"/>
        </w:rPr>
        <w:t>which</w:t>
      </w:r>
      <w:r>
        <w:rPr>
          <w:color w:val="57585A"/>
          <w:spacing w:val="-16"/>
          <w:sz w:val="20"/>
          <w:szCs w:val="20"/>
        </w:rPr>
        <w:t xml:space="preserve"> </w:t>
      </w:r>
      <w:r>
        <w:rPr>
          <w:color w:val="57585A"/>
          <w:spacing w:val="-11"/>
          <w:sz w:val="20"/>
          <w:szCs w:val="20"/>
        </w:rPr>
        <w:t>would then be raised to</w:t>
      </w:r>
      <w:r>
        <w:rPr>
          <w:color w:val="57585A"/>
          <w:sz w:val="20"/>
          <w:szCs w:val="20"/>
        </w:rPr>
        <w:t xml:space="preserve"> </w:t>
      </w:r>
      <w:r>
        <w:rPr>
          <w:color w:val="57585A"/>
          <w:spacing w:val="-10"/>
          <w:sz w:val="20"/>
          <w:szCs w:val="20"/>
        </w:rPr>
        <w:t>25mtpa. Should</w:t>
      </w:r>
      <w:r>
        <w:rPr>
          <w:color w:val="57585A"/>
          <w:spacing w:val="-15"/>
          <w:sz w:val="20"/>
          <w:szCs w:val="20"/>
        </w:rPr>
        <w:t xml:space="preserve"> </w:t>
      </w:r>
      <w:r>
        <w:rPr>
          <w:color w:val="57585A"/>
          <w:spacing w:val="-10"/>
          <w:sz w:val="20"/>
          <w:szCs w:val="20"/>
        </w:rPr>
        <w:t>we see this project materialising during our production forecast,</w:t>
      </w:r>
      <w:r>
        <w:rPr>
          <w:color w:val="57585A"/>
          <w:spacing w:val="-16"/>
          <w:sz w:val="20"/>
          <w:szCs w:val="20"/>
        </w:rPr>
        <w:t xml:space="preserve"> </w:t>
      </w:r>
      <w:r>
        <w:rPr>
          <w:color w:val="57585A"/>
          <w:spacing w:val="-11"/>
          <w:sz w:val="20"/>
          <w:szCs w:val="20"/>
        </w:rPr>
        <w:t>we could see an uptick in production to provide</w:t>
      </w:r>
      <w:r>
        <w:rPr>
          <w:color w:val="57585A"/>
          <w:sz w:val="20"/>
          <w:szCs w:val="20"/>
        </w:rPr>
        <w:t xml:space="preserve"> </w:t>
      </w:r>
      <w:r>
        <w:rPr>
          <w:color w:val="57585A"/>
          <w:spacing w:val="-9"/>
          <w:sz w:val="20"/>
          <w:szCs w:val="20"/>
        </w:rPr>
        <w:t>enough feedstock</w:t>
      </w:r>
      <w:r>
        <w:rPr>
          <w:color w:val="57585A"/>
          <w:spacing w:val="-13"/>
          <w:sz w:val="20"/>
          <w:szCs w:val="20"/>
        </w:rPr>
        <w:t xml:space="preserve"> </w:t>
      </w:r>
      <w:r>
        <w:rPr>
          <w:color w:val="57585A"/>
          <w:spacing w:val="-9"/>
          <w:sz w:val="20"/>
          <w:szCs w:val="20"/>
        </w:rPr>
        <w:t>for</w:t>
      </w:r>
      <w:r>
        <w:rPr>
          <w:color w:val="57585A"/>
          <w:spacing w:val="-12"/>
          <w:sz w:val="20"/>
          <w:szCs w:val="20"/>
        </w:rPr>
        <w:t xml:space="preserve"> </w:t>
      </w:r>
      <w:r>
        <w:rPr>
          <w:color w:val="57585A"/>
          <w:spacing w:val="-9"/>
          <w:sz w:val="20"/>
          <w:szCs w:val="20"/>
        </w:rPr>
        <w:t>the</w:t>
      </w:r>
      <w:r>
        <w:rPr>
          <w:color w:val="57585A"/>
          <w:spacing w:val="-12"/>
          <w:sz w:val="20"/>
          <w:szCs w:val="20"/>
        </w:rPr>
        <w:t xml:space="preserve"> </w:t>
      </w:r>
      <w:r>
        <w:rPr>
          <w:color w:val="57585A"/>
          <w:spacing w:val="-9"/>
          <w:sz w:val="20"/>
          <w:szCs w:val="20"/>
        </w:rPr>
        <w:t>facility.</w:t>
      </w:r>
    </w:p>
    <w:p w14:paraId="3AD1C568">
      <w:pPr>
        <w:spacing w:line="272" w:lineRule="auto"/>
        <w:rPr>
          <w:sz w:val="20"/>
          <w:szCs w:val="20"/>
        </w:rPr>
        <w:sectPr>
          <w:footerReference r:id="rId23" w:type="default"/>
          <w:pgSz w:w="11906" w:h="16838"/>
          <w:pgMar w:top="400" w:right="490" w:bottom="883" w:left="490" w:header="0" w:footer="0" w:gutter="0"/>
          <w:cols w:space="720" w:num="1"/>
        </w:sectPr>
      </w:pPr>
    </w:p>
    <w:p w14:paraId="7B3CAEF1">
      <w:pPr>
        <w:pStyle w:val="4"/>
        <w:spacing w:before="73" w:line="241" w:lineRule="auto"/>
        <w:ind w:left="7372"/>
        <w:rPr>
          <w:sz w:val="20"/>
          <w:szCs w:val="20"/>
        </w:rPr>
      </w:pPr>
      <w:r>
        <w:drawing>
          <wp:anchor distT="0" distB="0" distL="0" distR="0" simplePos="0" relativeHeight="25173708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38112" behindDoc="0" locked="0" layoutInCell="0" allowOverlap="1">
            <wp:simplePos x="0" y="0"/>
            <wp:positionH relativeFrom="page">
              <wp:posOffset>311150</wp:posOffset>
            </wp:positionH>
            <wp:positionV relativeFrom="page">
              <wp:posOffset>0</wp:posOffset>
            </wp:positionV>
            <wp:extent cx="19050" cy="814070"/>
            <wp:effectExtent l="0" t="0" r="0" b="0"/>
            <wp:wrapNone/>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2CC5BE1">
      <w:pPr>
        <w:pStyle w:val="4"/>
        <w:spacing w:line="278" w:lineRule="auto"/>
      </w:pPr>
    </w:p>
    <w:p w14:paraId="21E54A92">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38F6F40">
      <w:pPr>
        <w:pStyle w:val="4"/>
        <w:spacing w:line="454" w:lineRule="auto"/>
      </w:pPr>
    </w:p>
    <w:p w14:paraId="07A156D4">
      <w:pPr>
        <w:pStyle w:val="4"/>
        <w:spacing w:before="69" w:line="324"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4E20E38F">
      <w:pPr>
        <w:pStyle w:val="4"/>
        <w:spacing w:line="299" w:lineRule="auto"/>
      </w:pPr>
    </w:p>
    <w:p w14:paraId="691D40A5">
      <w:pPr>
        <w:pStyle w:val="4"/>
        <w:spacing w:before="58" w:line="283" w:lineRule="auto"/>
        <w:ind w:left="368" w:right="781" w:hanging="8"/>
        <w:rPr>
          <w:sz w:val="20"/>
          <w:szCs w:val="20"/>
        </w:rPr>
      </w:pPr>
      <w:r>
        <w:rPr>
          <w:color w:val="57585A"/>
          <w:spacing w:val="-10"/>
          <w:sz w:val="20"/>
          <w:szCs w:val="20"/>
        </w:rPr>
        <w:t>The natural gas market in</w:t>
      </w:r>
      <w:r>
        <w:rPr>
          <w:color w:val="57585A"/>
          <w:spacing w:val="-16"/>
          <w:sz w:val="20"/>
          <w:szCs w:val="20"/>
        </w:rPr>
        <w:t xml:space="preserve"> </w:t>
      </w:r>
      <w:r>
        <w:rPr>
          <w:color w:val="57585A"/>
          <w:spacing w:val="-10"/>
          <w:sz w:val="20"/>
          <w:szCs w:val="20"/>
        </w:rPr>
        <w:t>Argentina re</w:t>
      </w:r>
      <w:r>
        <w:rPr>
          <w:color w:val="57585A"/>
          <w:spacing w:val="-11"/>
          <w:sz w:val="20"/>
          <w:szCs w:val="20"/>
        </w:rPr>
        <w:t>mains fragmented,</w:t>
      </w:r>
      <w:r>
        <w:rPr>
          <w:color w:val="57585A"/>
          <w:spacing w:val="-16"/>
          <w:sz w:val="20"/>
          <w:szCs w:val="20"/>
        </w:rPr>
        <w:t xml:space="preserve"> </w:t>
      </w:r>
      <w:r>
        <w:rPr>
          <w:color w:val="57585A"/>
          <w:spacing w:val="-11"/>
          <w:sz w:val="20"/>
          <w:szCs w:val="20"/>
        </w:rPr>
        <w:t>with largest producer -</w:t>
      </w:r>
      <w:r>
        <w:rPr>
          <w:color w:val="57585A"/>
          <w:spacing w:val="-15"/>
          <w:sz w:val="20"/>
          <w:szCs w:val="20"/>
        </w:rPr>
        <w:t xml:space="preserve"> </w:t>
      </w:r>
      <w:r>
        <w:rPr>
          <w:color w:val="57585A"/>
          <w:spacing w:val="-11"/>
          <w:sz w:val="20"/>
          <w:szCs w:val="20"/>
        </w:rPr>
        <w:t>YPF - delivering little over one fourth of</w:t>
      </w:r>
      <w:r>
        <w:rPr>
          <w:color w:val="57585A"/>
          <w:spacing w:val="-21"/>
          <w:sz w:val="20"/>
          <w:szCs w:val="20"/>
        </w:rPr>
        <w:t xml:space="preserve"> </w:t>
      </w:r>
      <w:r>
        <w:rPr>
          <w:color w:val="57585A"/>
          <w:spacing w:val="-11"/>
          <w:sz w:val="20"/>
          <w:szCs w:val="20"/>
        </w:rPr>
        <w:t>total</w:t>
      </w:r>
      <w:r>
        <w:rPr>
          <w:color w:val="57585A"/>
          <w:sz w:val="20"/>
          <w:szCs w:val="20"/>
        </w:rPr>
        <w:t xml:space="preserve"> </w:t>
      </w:r>
      <w:r>
        <w:rPr>
          <w:color w:val="57585A"/>
          <w:spacing w:val="-12"/>
          <w:sz w:val="20"/>
          <w:szCs w:val="20"/>
        </w:rPr>
        <w:t>output in 2024. New players have emerged over the last qua</w:t>
      </w:r>
      <w:r>
        <w:rPr>
          <w:color w:val="57585A"/>
          <w:spacing w:val="-13"/>
          <w:sz w:val="20"/>
          <w:szCs w:val="20"/>
        </w:rPr>
        <w:t>rters with Chevron, Shell and Mexico-based Vista Oil &amp; Gas starting</w:t>
      </w:r>
      <w:r>
        <w:rPr>
          <w:color w:val="57585A"/>
          <w:sz w:val="20"/>
          <w:szCs w:val="20"/>
        </w:rPr>
        <w:t xml:space="preserve"> </w:t>
      </w:r>
      <w:r>
        <w:rPr>
          <w:color w:val="57585A"/>
          <w:spacing w:val="-11"/>
          <w:sz w:val="20"/>
          <w:szCs w:val="20"/>
        </w:rPr>
        <w:t>production in Vaca Muerta. We maintain a rather bullish outlook for</w:t>
      </w:r>
      <w:r>
        <w:rPr>
          <w:color w:val="57585A"/>
          <w:spacing w:val="-16"/>
          <w:sz w:val="20"/>
          <w:szCs w:val="20"/>
        </w:rPr>
        <w:t xml:space="preserve"> </w:t>
      </w:r>
      <w:r>
        <w:rPr>
          <w:color w:val="57585A"/>
          <w:spacing w:val="-11"/>
          <w:sz w:val="20"/>
          <w:szCs w:val="20"/>
        </w:rPr>
        <w:t>Argentina's natural gas production. H</w:t>
      </w:r>
      <w:r>
        <w:rPr>
          <w:color w:val="57585A"/>
          <w:spacing w:val="-12"/>
          <w:sz w:val="20"/>
          <w:szCs w:val="20"/>
        </w:rPr>
        <w:t>owever,</w:t>
      </w:r>
      <w:r>
        <w:rPr>
          <w:color w:val="57585A"/>
          <w:spacing w:val="-16"/>
          <w:sz w:val="20"/>
          <w:szCs w:val="20"/>
        </w:rPr>
        <w:t xml:space="preserve"> </w:t>
      </w:r>
      <w:r>
        <w:rPr>
          <w:color w:val="57585A"/>
          <w:spacing w:val="-12"/>
          <w:sz w:val="20"/>
          <w:szCs w:val="20"/>
        </w:rPr>
        <w:t>we highlight</w:t>
      </w:r>
      <w:r>
        <w:rPr>
          <w:color w:val="57585A"/>
          <w:sz w:val="20"/>
          <w:szCs w:val="20"/>
        </w:rPr>
        <w:t xml:space="preserve"> </w:t>
      </w:r>
      <w:r>
        <w:rPr>
          <w:color w:val="57585A"/>
          <w:spacing w:val="-10"/>
          <w:sz w:val="20"/>
          <w:szCs w:val="20"/>
        </w:rPr>
        <w:t>mounting challenges to the needed midstream infrastructure expans</w:t>
      </w:r>
      <w:r>
        <w:rPr>
          <w:color w:val="57585A"/>
          <w:spacing w:val="-11"/>
          <w:sz w:val="20"/>
          <w:szCs w:val="20"/>
        </w:rPr>
        <w:t>ion</w:t>
      </w:r>
      <w:r>
        <w:rPr>
          <w:color w:val="57585A"/>
          <w:spacing w:val="-16"/>
          <w:sz w:val="20"/>
          <w:szCs w:val="20"/>
        </w:rPr>
        <w:t xml:space="preserve"> </w:t>
      </w:r>
      <w:r>
        <w:rPr>
          <w:color w:val="57585A"/>
          <w:spacing w:val="-11"/>
          <w:sz w:val="20"/>
          <w:szCs w:val="20"/>
        </w:rPr>
        <w:t>which, if</w:t>
      </w:r>
      <w:r>
        <w:rPr>
          <w:color w:val="57585A"/>
          <w:spacing w:val="-15"/>
          <w:sz w:val="20"/>
          <w:szCs w:val="20"/>
        </w:rPr>
        <w:t xml:space="preserve"> </w:t>
      </w:r>
      <w:r>
        <w:rPr>
          <w:color w:val="57585A"/>
          <w:spacing w:val="-11"/>
          <w:sz w:val="20"/>
          <w:szCs w:val="20"/>
        </w:rPr>
        <w:t>delayed, could</w:t>
      </w:r>
      <w:r>
        <w:rPr>
          <w:color w:val="57585A"/>
          <w:spacing w:val="-15"/>
          <w:sz w:val="20"/>
          <w:szCs w:val="20"/>
        </w:rPr>
        <w:t xml:space="preserve"> </w:t>
      </w:r>
      <w:r>
        <w:rPr>
          <w:color w:val="57585A"/>
          <w:spacing w:val="-11"/>
          <w:sz w:val="20"/>
          <w:szCs w:val="20"/>
        </w:rPr>
        <w:t>weaken the momentum.</w:t>
      </w:r>
    </w:p>
    <w:p w14:paraId="524CDC0A">
      <w:pPr>
        <w:pStyle w:val="4"/>
        <w:spacing w:line="265" w:lineRule="auto"/>
      </w:pPr>
    </w:p>
    <w:p w14:paraId="20868D51">
      <w:pPr>
        <w:pStyle w:val="4"/>
        <w:spacing w:before="58" w:line="231" w:lineRule="auto"/>
        <w:ind w:left="360"/>
        <w:rPr>
          <w:sz w:val="20"/>
          <w:szCs w:val="20"/>
        </w:rPr>
      </w:pPr>
      <w:r>
        <w:rPr>
          <w:color w:val="57585A"/>
          <w:spacing w:val="-11"/>
          <w:sz w:val="20"/>
          <w:szCs w:val="20"/>
        </w:rPr>
        <w:t>The unconventional output has seen robust growth over the last</w:t>
      </w:r>
      <w:r>
        <w:rPr>
          <w:color w:val="57585A"/>
          <w:spacing w:val="-3"/>
          <w:sz w:val="20"/>
          <w:szCs w:val="20"/>
        </w:rPr>
        <w:t xml:space="preserve"> </w:t>
      </w:r>
      <w:r>
        <w:rPr>
          <w:color w:val="57585A"/>
          <w:spacing w:val="-11"/>
          <w:sz w:val="20"/>
          <w:szCs w:val="20"/>
        </w:rPr>
        <w:t>years, supported by the expansion of</w:t>
      </w:r>
      <w:r>
        <w:rPr>
          <w:color w:val="57585A"/>
          <w:spacing w:val="-15"/>
          <w:sz w:val="20"/>
          <w:szCs w:val="20"/>
        </w:rPr>
        <w:t xml:space="preserve"> </w:t>
      </w:r>
      <w:r>
        <w:rPr>
          <w:color w:val="57585A"/>
          <w:spacing w:val="-11"/>
          <w:sz w:val="20"/>
          <w:szCs w:val="20"/>
        </w:rPr>
        <w:t>exit infrastructure in Vaca</w:t>
      </w:r>
    </w:p>
    <w:p w14:paraId="41509879">
      <w:pPr>
        <w:pStyle w:val="4"/>
        <w:spacing w:before="57" w:line="283" w:lineRule="auto"/>
        <w:ind w:left="363" w:right="379" w:firstLine="12"/>
        <w:rPr>
          <w:sz w:val="20"/>
          <w:szCs w:val="20"/>
        </w:rPr>
      </w:pPr>
      <w:r>
        <w:rPr>
          <w:color w:val="57585A"/>
          <w:spacing w:val="-12"/>
          <w:sz w:val="20"/>
          <w:szCs w:val="20"/>
        </w:rPr>
        <w:t>Muerta and subsidy programs which stabilised natural gas prices</w:t>
      </w:r>
      <w:r>
        <w:rPr>
          <w:color w:val="57585A"/>
          <w:spacing w:val="-13"/>
          <w:sz w:val="20"/>
          <w:szCs w:val="20"/>
        </w:rPr>
        <w:t xml:space="preserve"> for sellers under Gas.Ar scheme. We expect the shale production to</w:t>
      </w:r>
      <w:r>
        <w:rPr>
          <w:color w:val="57585A"/>
          <w:sz w:val="20"/>
          <w:szCs w:val="20"/>
        </w:rPr>
        <w:t xml:space="preserve"> </w:t>
      </w:r>
      <w:r>
        <w:rPr>
          <w:color w:val="57585A"/>
          <w:spacing w:val="-10"/>
          <w:sz w:val="20"/>
          <w:szCs w:val="20"/>
        </w:rPr>
        <w:t>remain the key driver behind natural g</w:t>
      </w:r>
      <w:r>
        <w:rPr>
          <w:color w:val="57585A"/>
          <w:spacing w:val="-11"/>
          <w:sz w:val="20"/>
          <w:szCs w:val="20"/>
        </w:rPr>
        <w:t>as production growth in</w:t>
      </w:r>
      <w:r>
        <w:rPr>
          <w:color w:val="57585A"/>
          <w:spacing w:val="-16"/>
          <w:sz w:val="20"/>
          <w:szCs w:val="20"/>
        </w:rPr>
        <w:t xml:space="preserve"> </w:t>
      </w:r>
      <w:r>
        <w:rPr>
          <w:color w:val="57585A"/>
          <w:spacing w:val="-11"/>
          <w:sz w:val="20"/>
          <w:szCs w:val="20"/>
        </w:rPr>
        <w:t>Argentina over the next decade. We also hold an optimistic outlook</w:t>
      </w:r>
      <w:r>
        <w:rPr>
          <w:color w:val="57585A"/>
          <w:sz w:val="20"/>
          <w:szCs w:val="20"/>
        </w:rPr>
        <w:t xml:space="preserve">   </w:t>
      </w:r>
      <w:r>
        <w:rPr>
          <w:color w:val="57585A"/>
          <w:spacing w:val="-10"/>
          <w:sz w:val="20"/>
          <w:szCs w:val="20"/>
        </w:rPr>
        <w:t>for</w:t>
      </w:r>
      <w:r>
        <w:rPr>
          <w:color w:val="57585A"/>
          <w:spacing w:val="-16"/>
          <w:sz w:val="20"/>
          <w:szCs w:val="20"/>
        </w:rPr>
        <w:t xml:space="preserve"> </w:t>
      </w:r>
      <w:r>
        <w:rPr>
          <w:color w:val="57585A"/>
          <w:spacing w:val="-10"/>
          <w:sz w:val="20"/>
          <w:szCs w:val="20"/>
        </w:rPr>
        <w:t>Argentina's offshore,</w:t>
      </w:r>
      <w:r>
        <w:rPr>
          <w:color w:val="57585A"/>
          <w:spacing w:val="-15"/>
          <w:sz w:val="20"/>
          <w:szCs w:val="20"/>
        </w:rPr>
        <w:t xml:space="preserve"> </w:t>
      </w:r>
      <w:r>
        <w:rPr>
          <w:color w:val="57585A"/>
          <w:spacing w:val="-10"/>
          <w:sz w:val="20"/>
          <w:szCs w:val="20"/>
        </w:rPr>
        <w:t>with the recently started Fenix upstream project set to raise convention</w:t>
      </w:r>
      <w:r>
        <w:rPr>
          <w:color w:val="57585A"/>
          <w:spacing w:val="-11"/>
          <w:sz w:val="20"/>
          <w:szCs w:val="20"/>
        </w:rPr>
        <w:t>al offshore output over the medium</w:t>
      </w:r>
      <w:r>
        <w:rPr>
          <w:color w:val="57585A"/>
          <w:sz w:val="20"/>
          <w:szCs w:val="20"/>
        </w:rPr>
        <w:t xml:space="preserve"> </w:t>
      </w:r>
      <w:r>
        <w:rPr>
          <w:color w:val="57585A"/>
          <w:spacing w:val="-10"/>
          <w:sz w:val="20"/>
          <w:szCs w:val="20"/>
        </w:rPr>
        <w:t>term. Depending on the su</w:t>
      </w:r>
      <w:r>
        <w:rPr>
          <w:color w:val="57585A"/>
          <w:spacing w:val="-11"/>
          <w:sz w:val="20"/>
          <w:szCs w:val="20"/>
        </w:rPr>
        <w:t>ccess of</w:t>
      </w:r>
      <w:r>
        <w:rPr>
          <w:color w:val="57585A"/>
          <w:spacing w:val="-23"/>
          <w:sz w:val="20"/>
          <w:szCs w:val="20"/>
        </w:rPr>
        <w:t xml:space="preserve"> </w:t>
      </w:r>
      <w:r>
        <w:rPr>
          <w:color w:val="57585A"/>
          <w:spacing w:val="-11"/>
          <w:sz w:val="20"/>
          <w:szCs w:val="20"/>
        </w:rPr>
        <w:t>Vaca Muerta's development, the market</w:t>
      </w:r>
      <w:r>
        <w:rPr>
          <w:color w:val="57585A"/>
          <w:spacing w:val="-16"/>
          <w:sz w:val="20"/>
          <w:szCs w:val="20"/>
        </w:rPr>
        <w:t xml:space="preserve"> </w:t>
      </w:r>
      <w:r>
        <w:rPr>
          <w:color w:val="57585A"/>
          <w:spacing w:val="-11"/>
          <w:sz w:val="20"/>
          <w:szCs w:val="20"/>
        </w:rPr>
        <w:t>will not only reverse its decline in production but also</w:t>
      </w:r>
    </w:p>
    <w:p w14:paraId="544D63FA">
      <w:pPr>
        <w:pStyle w:val="4"/>
        <w:spacing w:before="36" w:line="273" w:lineRule="auto"/>
        <w:ind w:left="369" w:right="660" w:firstLine="4"/>
        <w:rPr>
          <w:sz w:val="20"/>
          <w:szCs w:val="20"/>
        </w:rPr>
      </w:pPr>
      <w:r>
        <w:rPr>
          <w:color w:val="57585A"/>
          <w:spacing w:val="-11"/>
          <w:sz w:val="20"/>
          <w:szCs w:val="20"/>
        </w:rPr>
        <w:t>move to a net exporter status over t</w:t>
      </w:r>
      <w:r>
        <w:rPr>
          <w:color w:val="57585A"/>
          <w:spacing w:val="-12"/>
          <w:sz w:val="20"/>
          <w:szCs w:val="20"/>
        </w:rPr>
        <w:t>he next decade. Looking to the long term,</w:t>
      </w:r>
      <w:r>
        <w:rPr>
          <w:color w:val="57585A"/>
          <w:spacing w:val="-15"/>
          <w:sz w:val="20"/>
          <w:szCs w:val="20"/>
        </w:rPr>
        <w:t xml:space="preserve"> </w:t>
      </w:r>
      <w:r>
        <w:rPr>
          <w:color w:val="57585A"/>
          <w:spacing w:val="-12"/>
          <w:sz w:val="20"/>
          <w:szCs w:val="20"/>
        </w:rPr>
        <w:t>we believe</w:t>
      </w:r>
      <w:r>
        <w:rPr>
          <w:color w:val="57585A"/>
          <w:spacing w:val="-16"/>
          <w:sz w:val="20"/>
          <w:szCs w:val="20"/>
        </w:rPr>
        <w:t xml:space="preserve"> </w:t>
      </w:r>
      <w:r>
        <w:rPr>
          <w:color w:val="57585A"/>
          <w:spacing w:val="-12"/>
          <w:sz w:val="20"/>
          <w:szCs w:val="20"/>
        </w:rPr>
        <w:t>Argentina's</w:t>
      </w:r>
      <w:r>
        <w:rPr>
          <w:color w:val="57585A"/>
          <w:spacing w:val="-16"/>
          <w:sz w:val="20"/>
          <w:szCs w:val="20"/>
        </w:rPr>
        <w:t xml:space="preserve"> </w:t>
      </w:r>
      <w:r>
        <w:rPr>
          <w:color w:val="57585A"/>
          <w:spacing w:val="-12"/>
          <w:sz w:val="20"/>
          <w:szCs w:val="20"/>
        </w:rPr>
        <w:t>vast reserves could act as a</w:t>
      </w:r>
      <w:r>
        <w:rPr>
          <w:color w:val="57585A"/>
          <w:sz w:val="20"/>
          <w:szCs w:val="20"/>
        </w:rPr>
        <w:t xml:space="preserve"> </w:t>
      </w:r>
      <w:r>
        <w:rPr>
          <w:color w:val="57585A"/>
          <w:spacing w:val="-10"/>
          <w:sz w:val="20"/>
          <w:szCs w:val="20"/>
        </w:rPr>
        <w:t>critical game changer, al</w:t>
      </w:r>
      <w:r>
        <w:rPr>
          <w:color w:val="57585A"/>
          <w:spacing w:val="-11"/>
          <w:sz w:val="20"/>
          <w:szCs w:val="20"/>
        </w:rPr>
        <w:t>tering its role in the region and beyond.</w:t>
      </w:r>
    </w:p>
    <w:p w14:paraId="7A182D6C">
      <w:pPr>
        <w:pStyle w:val="4"/>
        <w:spacing w:line="295" w:lineRule="auto"/>
      </w:pPr>
    </w:p>
    <w:p w14:paraId="5BD65A8C">
      <w:pPr>
        <w:pStyle w:val="4"/>
        <w:spacing w:line="295" w:lineRule="auto"/>
      </w:pPr>
    </w:p>
    <w:p w14:paraId="0A90A34E">
      <w:pPr>
        <w:pStyle w:val="4"/>
        <w:spacing w:before="70" w:line="236" w:lineRule="auto"/>
        <w:ind w:left="2603"/>
        <w:outlineLvl w:val="1"/>
        <w:rPr>
          <w:sz w:val="24"/>
          <w:szCs w:val="24"/>
        </w:rPr>
      </w:pPr>
      <w:r>
        <w:rPr>
          <w:color w:val="174174"/>
          <w:spacing w:val="-7"/>
          <w:sz w:val="24"/>
          <w:szCs w:val="24"/>
        </w:rPr>
        <w:t>Unconventional Output Outstr</w:t>
      </w:r>
      <w:r>
        <w:rPr>
          <w:color w:val="174174"/>
          <w:spacing w:val="-8"/>
          <w:sz w:val="24"/>
          <w:szCs w:val="24"/>
        </w:rPr>
        <w:t>ips Conventional Production</w:t>
      </w:r>
    </w:p>
    <w:p w14:paraId="695D44AB">
      <w:pPr>
        <w:pStyle w:val="4"/>
        <w:spacing w:before="30" w:line="231" w:lineRule="auto"/>
        <w:ind w:left="3030"/>
        <w:outlineLvl w:val="1"/>
        <w:rPr>
          <w:sz w:val="20"/>
          <w:szCs w:val="20"/>
        </w:rPr>
      </w:pPr>
      <w:r>
        <w:rPr>
          <w:color w:val="333333"/>
          <w:spacing w:val="-12"/>
          <w:sz w:val="20"/>
          <w:szCs w:val="20"/>
        </w:rPr>
        <w:t xml:space="preserve">Argentina - Natural Gas Production </w:t>
      </w:r>
      <w:r>
        <w:rPr>
          <w:color w:val="333333"/>
          <w:spacing w:val="-13"/>
          <w:sz w:val="20"/>
          <w:szCs w:val="20"/>
        </w:rPr>
        <w:t>Per Type, bcm (2018-2024)</w:t>
      </w:r>
    </w:p>
    <w:p w14:paraId="49543E47">
      <w:pPr>
        <w:spacing w:before="97" w:line="4500" w:lineRule="exact"/>
        <w:ind w:firstLine="1862"/>
      </w:pPr>
      <w:r>
        <w:rPr>
          <w:position w:val="-90"/>
        </w:rPr>
        <w:drawing>
          <wp:inline distT="0" distB="0" distL="0" distR="0">
            <wp:extent cx="4572000" cy="285750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17"/>
                    <a:stretch>
                      <a:fillRect/>
                    </a:stretch>
                  </pic:blipFill>
                  <pic:spPr>
                    <a:xfrm>
                      <a:off x="0" y="0"/>
                      <a:ext cx="4572000" cy="2857500"/>
                    </a:xfrm>
                    <a:prstGeom prst="rect">
                      <a:avLst/>
                    </a:prstGeom>
                  </pic:spPr>
                </pic:pic>
              </a:graphicData>
            </a:graphic>
          </wp:inline>
        </w:drawing>
      </w:r>
    </w:p>
    <w:p w14:paraId="78EE1130">
      <w:pPr>
        <w:pStyle w:val="4"/>
        <w:spacing w:before="149" w:line="233" w:lineRule="auto"/>
        <w:ind w:left="1871"/>
        <w:rPr>
          <w:sz w:val="15"/>
          <w:szCs w:val="15"/>
        </w:rPr>
      </w:pPr>
      <w:r>
        <w:drawing>
          <wp:anchor distT="0" distB="0" distL="0" distR="0" simplePos="0" relativeHeight="251736064"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2"/>
          <w:sz w:val="15"/>
          <w:szCs w:val="15"/>
        </w:rPr>
        <w:t>Source:</w:t>
      </w:r>
      <w:r>
        <w:rPr>
          <w:i/>
          <w:iCs/>
          <w:color w:val="333333"/>
          <w:spacing w:val="-10"/>
          <w:sz w:val="15"/>
          <w:szCs w:val="15"/>
        </w:rPr>
        <w:t xml:space="preserve"> </w:t>
      </w:r>
      <w:r>
        <w:rPr>
          <w:i/>
          <w:iCs/>
          <w:color w:val="333333"/>
          <w:spacing w:val="-5"/>
          <w:w w:val="92"/>
          <w:sz w:val="15"/>
          <w:szCs w:val="15"/>
        </w:rPr>
        <w:t>Secretaria de</w:t>
      </w:r>
      <w:r>
        <w:rPr>
          <w:i/>
          <w:iCs/>
          <w:color w:val="333333"/>
          <w:spacing w:val="-6"/>
          <w:w w:val="92"/>
          <w:sz w:val="15"/>
          <w:szCs w:val="15"/>
        </w:rPr>
        <w:t xml:space="preserve"> Energia, BMI</w:t>
      </w:r>
    </w:p>
    <w:p w14:paraId="1FB99389">
      <w:pPr>
        <w:pStyle w:val="4"/>
        <w:spacing w:line="364" w:lineRule="auto"/>
      </w:pPr>
    </w:p>
    <w:p w14:paraId="479D0934">
      <w:pPr>
        <w:pStyle w:val="4"/>
        <w:spacing w:before="58" w:line="270" w:lineRule="exact"/>
        <w:ind w:left="375"/>
        <w:rPr>
          <w:sz w:val="20"/>
          <w:szCs w:val="20"/>
        </w:rPr>
      </w:pPr>
      <w:r>
        <w:rPr>
          <w:b/>
          <w:bCs/>
          <w:color w:val="57585A"/>
          <w:spacing w:val="-9"/>
          <w:position w:val="1"/>
          <w:sz w:val="20"/>
          <w:szCs w:val="20"/>
        </w:rPr>
        <w:t>Bullish Short-Term Gas</w:t>
      </w:r>
      <w:r>
        <w:rPr>
          <w:b/>
          <w:bCs/>
          <w:color w:val="57585A"/>
          <w:spacing w:val="-10"/>
          <w:position w:val="1"/>
          <w:sz w:val="20"/>
          <w:szCs w:val="20"/>
        </w:rPr>
        <w:t xml:space="preserve"> Production Growth Outlook</w:t>
      </w:r>
    </w:p>
    <w:p w14:paraId="4EBCA59C">
      <w:pPr>
        <w:pStyle w:val="4"/>
        <w:spacing w:line="242" w:lineRule="auto"/>
      </w:pPr>
    </w:p>
    <w:p w14:paraId="6D9F6E6F">
      <w:pPr>
        <w:pStyle w:val="4"/>
        <w:spacing w:before="59" w:line="279" w:lineRule="auto"/>
        <w:ind w:left="359" w:right="396" w:firstLine="1"/>
        <w:rPr>
          <w:sz w:val="20"/>
          <w:szCs w:val="20"/>
        </w:rPr>
      </w:pPr>
      <w:r>
        <w:rPr>
          <w:color w:val="57585A"/>
          <w:spacing w:val="-11"/>
          <w:sz w:val="20"/>
          <w:szCs w:val="20"/>
        </w:rPr>
        <w:t>We hold our forecast of</w:t>
      </w:r>
      <w:r>
        <w:rPr>
          <w:color w:val="57585A"/>
          <w:spacing w:val="-17"/>
          <w:sz w:val="20"/>
          <w:szCs w:val="20"/>
        </w:rPr>
        <w:t xml:space="preserve"> </w:t>
      </w:r>
      <w:r>
        <w:rPr>
          <w:color w:val="57585A"/>
          <w:spacing w:val="-11"/>
          <w:sz w:val="20"/>
          <w:szCs w:val="20"/>
        </w:rPr>
        <w:t>accelerating natural gas production growth in</w:t>
      </w:r>
      <w:r>
        <w:rPr>
          <w:color w:val="57585A"/>
          <w:spacing w:val="-15"/>
          <w:sz w:val="20"/>
          <w:szCs w:val="20"/>
        </w:rPr>
        <w:t xml:space="preserve"> </w:t>
      </w:r>
      <w:r>
        <w:rPr>
          <w:color w:val="57585A"/>
          <w:spacing w:val="-11"/>
          <w:sz w:val="20"/>
          <w:szCs w:val="20"/>
        </w:rPr>
        <w:t>Argentina in 2025. We expect output to increase by 7</w:t>
      </w:r>
      <w:r>
        <w:rPr>
          <w:color w:val="57585A"/>
          <w:spacing w:val="-12"/>
          <w:sz w:val="20"/>
          <w:szCs w:val="20"/>
        </w:rPr>
        <w:t>.6%</w:t>
      </w:r>
      <w:r>
        <w:rPr>
          <w:color w:val="57585A"/>
          <w:spacing w:val="-16"/>
          <w:sz w:val="20"/>
          <w:szCs w:val="20"/>
        </w:rPr>
        <w:t xml:space="preserve"> </w:t>
      </w:r>
      <w:r>
        <w:rPr>
          <w:color w:val="57585A"/>
          <w:spacing w:val="-12"/>
          <w:sz w:val="20"/>
          <w:szCs w:val="20"/>
        </w:rPr>
        <w:t>y-o-</w:t>
      </w:r>
      <w:r>
        <w:rPr>
          <w:color w:val="57585A"/>
          <w:sz w:val="20"/>
          <w:szCs w:val="20"/>
        </w:rPr>
        <w:t xml:space="preserve"> </w:t>
      </w:r>
      <w:r>
        <w:rPr>
          <w:color w:val="57585A"/>
          <w:spacing w:val="-11"/>
          <w:sz w:val="20"/>
          <w:szCs w:val="20"/>
        </w:rPr>
        <w:t>y in 2025 to 49.5bcm, after an estimated increase of 5.2%</w:t>
      </w:r>
      <w:r>
        <w:rPr>
          <w:color w:val="57585A"/>
          <w:spacing w:val="-10"/>
          <w:sz w:val="20"/>
          <w:szCs w:val="20"/>
        </w:rPr>
        <w:t xml:space="preserve"> </w:t>
      </w:r>
      <w:r>
        <w:rPr>
          <w:color w:val="57585A"/>
          <w:spacing w:val="-11"/>
          <w:sz w:val="20"/>
          <w:szCs w:val="20"/>
        </w:rPr>
        <w:t>y-o-y growth in 2024 to 46.0bcm. Our bullish forecast is supported by the</w:t>
      </w:r>
      <w:r>
        <w:rPr>
          <w:color w:val="57585A"/>
          <w:sz w:val="20"/>
          <w:szCs w:val="20"/>
        </w:rPr>
        <w:t xml:space="preserve"> </w:t>
      </w:r>
      <w:r>
        <w:rPr>
          <w:color w:val="57585A"/>
          <w:spacing w:val="-10"/>
          <w:sz w:val="20"/>
          <w:szCs w:val="20"/>
        </w:rPr>
        <w:t>increased demand from</w:t>
      </w:r>
      <w:r>
        <w:rPr>
          <w:color w:val="57585A"/>
          <w:spacing w:val="-16"/>
          <w:sz w:val="20"/>
          <w:szCs w:val="20"/>
        </w:rPr>
        <w:t xml:space="preserve"> </w:t>
      </w:r>
      <w:r>
        <w:rPr>
          <w:color w:val="57585A"/>
          <w:spacing w:val="-10"/>
          <w:sz w:val="20"/>
          <w:szCs w:val="20"/>
        </w:rPr>
        <w:t>Argentine northern provinces amid the completion of</w:t>
      </w:r>
      <w:r>
        <w:rPr>
          <w:color w:val="57585A"/>
          <w:spacing w:val="-21"/>
          <w:sz w:val="20"/>
          <w:szCs w:val="20"/>
        </w:rPr>
        <w:t xml:space="preserve"> </w:t>
      </w:r>
      <w:r>
        <w:rPr>
          <w:color w:val="57585A"/>
          <w:spacing w:val="-10"/>
          <w:sz w:val="20"/>
          <w:szCs w:val="20"/>
        </w:rPr>
        <w:t>the N</w:t>
      </w:r>
      <w:r>
        <w:rPr>
          <w:color w:val="57585A"/>
          <w:spacing w:val="-11"/>
          <w:sz w:val="20"/>
          <w:szCs w:val="20"/>
        </w:rPr>
        <w:t>orthern Pipeline Reversal project in 2025,</w:t>
      </w:r>
    </w:p>
    <w:p w14:paraId="407E4029">
      <w:pPr>
        <w:pStyle w:val="4"/>
        <w:spacing w:before="37" w:line="231" w:lineRule="auto"/>
        <w:ind w:left="369"/>
        <w:rPr>
          <w:sz w:val="20"/>
          <w:szCs w:val="20"/>
        </w:rPr>
      </w:pPr>
      <w:r>
        <w:rPr>
          <w:color w:val="57585A"/>
          <w:spacing w:val="-9"/>
          <w:sz w:val="20"/>
          <w:szCs w:val="20"/>
        </w:rPr>
        <w:t>coupled</w:t>
      </w:r>
      <w:r>
        <w:rPr>
          <w:color w:val="57585A"/>
          <w:spacing w:val="-16"/>
          <w:sz w:val="20"/>
          <w:szCs w:val="20"/>
        </w:rPr>
        <w:t xml:space="preserve"> </w:t>
      </w:r>
      <w:r>
        <w:rPr>
          <w:color w:val="57585A"/>
          <w:spacing w:val="-9"/>
          <w:sz w:val="20"/>
          <w:szCs w:val="20"/>
        </w:rPr>
        <w:t>with new production coming from the off</w:t>
      </w:r>
      <w:r>
        <w:rPr>
          <w:color w:val="57585A"/>
          <w:spacing w:val="-10"/>
          <w:sz w:val="20"/>
          <w:szCs w:val="20"/>
        </w:rPr>
        <w:t>shore Fenix project and continued growth in unconventional gas production.</w:t>
      </w:r>
    </w:p>
    <w:p w14:paraId="6F6060C2">
      <w:pPr>
        <w:pStyle w:val="4"/>
        <w:spacing w:line="287" w:lineRule="auto"/>
      </w:pPr>
    </w:p>
    <w:p w14:paraId="59A25C7A">
      <w:pPr>
        <w:pStyle w:val="4"/>
        <w:spacing w:before="58" w:line="231" w:lineRule="auto"/>
        <w:ind w:left="369"/>
        <w:rPr>
          <w:sz w:val="20"/>
          <w:szCs w:val="20"/>
        </w:rPr>
      </w:pPr>
      <w:r>
        <w:rPr>
          <w:color w:val="57585A"/>
          <w:spacing w:val="-11"/>
          <w:sz w:val="20"/>
          <w:szCs w:val="20"/>
        </w:rPr>
        <w:t>One of</w:t>
      </w:r>
      <w:r>
        <w:rPr>
          <w:color w:val="57585A"/>
          <w:spacing w:val="-21"/>
          <w:sz w:val="20"/>
          <w:szCs w:val="20"/>
        </w:rPr>
        <w:t xml:space="preserve"> </w:t>
      </w:r>
      <w:r>
        <w:rPr>
          <w:color w:val="57585A"/>
          <w:spacing w:val="-11"/>
          <w:sz w:val="20"/>
          <w:szCs w:val="20"/>
        </w:rPr>
        <w:t>the key growth drivers is the commencement of production at the Fénix offshore project developed by TotalEner</w:t>
      </w:r>
      <w:r>
        <w:rPr>
          <w:color w:val="57585A"/>
          <w:spacing w:val="-12"/>
          <w:sz w:val="20"/>
          <w:szCs w:val="20"/>
        </w:rPr>
        <w:t>gies,</w:t>
      </w:r>
    </w:p>
    <w:p w14:paraId="2C14AE9D">
      <w:pPr>
        <w:pStyle w:val="4"/>
        <w:spacing w:before="58" w:line="231" w:lineRule="auto"/>
        <w:ind w:left="373"/>
        <w:rPr>
          <w:sz w:val="20"/>
          <w:szCs w:val="20"/>
        </w:rPr>
      </w:pPr>
      <w:r>
        <w:rPr>
          <w:color w:val="57585A"/>
          <w:spacing w:val="-10"/>
          <w:sz w:val="20"/>
          <w:szCs w:val="20"/>
        </w:rPr>
        <w:t>located in the CMA-1 conce</w:t>
      </w:r>
      <w:r>
        <w:rPr>
          <w:color w:val="57585A"/>
          <w:spacing w:val="-11"/>
          <w:sz w:val="20"/>
          <w:szCs w:val="20"/>
        </w:rPr>
        <w:t>ssion in the offshore Tierra del Fuego region. The operator announced the start-up of</w:t>
      </w:r>
      <w:r>
        <w:rPr>
          <w:color w:val="57585A"/>
          <w:spacing w:val="-21"/>
          <w:sz w:val="20"/>
          <w:szCs w:val="20"/>
        </w:rPr>
        <w:t xml:space="preserve"> </w:t>
      </w:r>
      <w:r>
        <w:rPr>
          <w:color w:val="57585A"/>
          <w:spacing w:val="-11"/>
          <w:sz w:val="20"/>
          <w:szCs w:val="20"/>
        </w:rPr>
        <w:t>the project in</w:t>
      </w:r>
    </w:p>
    <w:p w14:paraId="66B4EF1B">
      <w:pPr>
        <w:pStyle w:val="4"/>
        <w:spacing w:before="59" w:line="231" w:lineRule="auto"/>
        <w:ind w:left="366"/>
        <w:rPr>
          <w:sz w:val="20"/>
          <w:szCs w:val="20"/>
        </w:rPr>
      </w:pPr>
      <w:r>
        <w:rPr>
          <w:color w:val="57585A"/>
          <w:spacing w:val="-10"/>
          <w:sz w:val="20"/>
          <w:szCs w:val="20"/>
        </w:rPr>
        <w:t>September 2024 and from preliminary governmental data it appears tha</w:t>
      </w:r>
      <w:r>
        <w:rPr>
          <w:color w:val="57585A"/>
          <w:spacing w:val="-11"/>
          <w:sz w:val="20"/>
          <w:szCs w:val="20"/>
        </w:rPr>
        <w:t>t the project added approximately 0.1bcm per month to</w:t>
      </w:r>
    </w:p>
    <w:p w14:paraId="52D4AB4A">
      <w:pPr>
        <w:pStyle w:val="4"/>
        <w:spacing w:before="58" w:line="273" w:lineRule="auto"/>
        <w:ind w:left="363" w:right="388"/>
        <w:rPr>
          <w:sz w:val="20"/>
          <w:szCs w:val="20"/>
        </w:rPr>
      </w:pPr>
      <w:r>
        <w:rPr>
          <w:color w:val="57585A"/>
          <w:spacing w:val="-11"/>
          <w:sz w:val="20"/>
          <w:szCs w:val="20"/>
        </w:rPr>
        <w:t>the Carina-Fénix-Orion-Orion Norte-Orion Oeste field in October and November 2024, raising aggreg</w:t>
      </w:r>
      <w:r>
        <w:rPr>
          <w:color w:val="57585A"/>
          <w:spacing w:val="-12"/>
          <w:sz w:val="20"/>
          <w:szCs w:val="20"/>
        </w:rPr>
        <w:t>ate field output from 0.3bcm</w:t>
      </w:r>
      <w:r>
        <w:rPr>
          <w:color w:val="57585A"/>
          <w:sz w:val="20"/>
          <w:szCs w:val="20"/>
        </w:rPr>
        <w:t xml:space="preserve">   </w:t>
      </w:r>
      <w:r>
        <w:rPr>
          <w:color w:val="57585A"/>
          <w:spacing w:val="-11"/>
          <w:sz w:val="20"/>
          <w:szCs w:val="20"/>
        </w:rPr>
        <w:t>to 0.4bcm.</w:t>
      </w:r>
      <w:r>
        <w:rPr>
          <w:color w:val="57585A"/>
          <w:spacing w:val="-4"/>
          <w:sz w:val="20"/>
          <w:szCs w:val="20"/>
        </w:rPr>
        <w:t xml:space="preserve"> </w:t>
      </w:r>
      <w:r>
        <w:rPr>
          <w:color w:val="57585A"/>
          <w:spacing w:val="-11"/>
          <w:sz w:val="20"/>
          <w:szCs w:val="20"/>
        </w:rPr>
        <w:t>According to TotalEnergies updates, the Fénix field is estimated to contribute up to 10mcm/d, approximately 0.3bcm per</w:t>
      </w:r>
    </w:p>
    <w:p w14:paraId="786F52A7">
      <w:pPr>
        <w:spacing w:line="273" w:lineRule="auto"/>
        <w:rPr>
          <w:sz w:val="20"/>
          <w:szCs w:val="20"/>
        </w:rPr>
        <w:sectPr>
          <w:footerReference r:id="rId24" w:type="default"/>
          <w:pgSz w:w="11906" w:h="16838"/>
          <w:pgMar w:top="400" w:right="490" w:bottom="883" w:left="490" w:header="0" w:footer="0" w:gutter="0"/>
          <w:cols w:space="720" w:num="1"/>
        </w:sectPr>
      </w:pPr>
    </w:p>
    <w:p w14:paraId="4DD39783">
      <w:pPr>
        <w:pStyle w:val="4"/>
        <w:spacing w:before="73" w:line="241" w:lineRule="auto"/>
        <w:ind w:left="7372"/>
        <w:rPr>
          <w:sz w:val="20"/>
          <w:szCs w:val="20"/>
        </w:rPr>
      </w:pPr>
      <w:r>
        <w:drawing>
          <wp:anchor distT="0" distB="0" distL="0" distR="0" simplePos="0" relativeHeight="25174118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42208" behindDoc="0" locked="0" layoutInCell="0" allowOverlap="1">
            <wp:simplePos x="0" y="0"/>
            <wp:positionH relativeFrom="page">
              <wp:posOffset>311150</wp:posOffset>
            </wp:positionH>
            <wp:positionV relativeFrom="page">
              <wp:posOffset>0</wp:posOffset>
            </wp:positionV>
            <wp:extent cx="19050" cy="814070"/>
            <wp:effectExtent l="0" t="0" r="0" b="0"/>
            <wp:wrapNone/>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589B55D">
      <w:pPr>
        <w:pStyle w:val="4"/>
        <w:spacing w:line="278" w:lineRule="auto"/>
      </w:pPr>
    </w:p>
    <w:p w14:paraId="3CB68F82">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49BE5A3">
      <w:pPr>
        <w:pStyle w:val="4"/>
        <w:spacing w:line="470" w:lineRule="auto"/>
      </w:pPr>
    </w:p>
    <w:p w14:paraId="174211EA">
      <w:pPr>
        <w:pStyle w:val="4"/>
        <w:spacing w:before="58" w:line="273" w:lineRule="auto"/>
        <w:ind w:left="366" w:right="432" w:firstLine="6"/>
        <w:rPr>
          <w:sz w:val="20"/>
          <w:szCs w:val="20"/>
        </w:rPr>
      </w:pPr>
      <w:r>
        <w:rPr>
          <w:color w:val="57585A"/>
          <w:spacing w:val="-11"/>
          <w:sz w:val="20"/>
          <w:szCs w:val="20"/>
        </w:rPr>
        <w:t>month at its peak. The broader field has already solidified its position among the larges</w:t>
      </w:r>
      <w:r>
        <w:rPr>
          <w:color w:val="57585A"/>
          <w:spacing w:val="-12"/>
          <w:sz w:val="20"/>
          <w:szCs w:val="20"/>
        </w:rPr>
        <w:t>t gas producing fields in</w:t>
      </w:r>
      <w:r>
        <w:rPr>
          <w:color w:val="57585A"/>
          <w:spacing w:val="-15"/>
          <w:sz w:val="20"/>
          <w:szCs w:val="20"/>
        </w:rPr>
        <w:t xml:space="preserve"> </w:t>
      </w:r>
      <w:r>
        <w:rPr>
          <w:color w:val="57585A"/>
          <w:spacing w:val="-12"/>
          <w:sz w:val="20"/>
          <w:szCs w:val="20"/>
        </w:rPr>
        <w:t>Argentina, alongside</w:t>
      </w:r>
      <w:r>
        <w:rPr>
          <w:color w:val="57585A"/>
          <w:sz w:val="20"/>
          <w:szCs w:val="20"/>
        </w:rPr>
        <w:t xml:space="preserve"> </w:t>
      </w:r>
      <w:r>
        <w:rPr>
          <w:color w:val="57585A"/>
          <w:spacing w:val="-12"/>
          <w:sz w:val="20"/>
          <w:szCs w:val="20"/>
        </w:rPr>
        <w:t>shale gas projects in Aguada Pichana Este Vaca Muerta and Forti</w:t>
      </w:r>
      <w:r>
        <w:rPr>
          <w:color w:val="57585A"/>
          <w:spacing w:val="-13"/>
          <w:sz w:val="20"/>
          <w:szCs w:val="20"/>
        </w:rPr>
        <w:t>n de Piedra. We expect a further ramp up of production from the</w:t>
      </w:r>
    </w:p>
    <w:p w14:paraId="12058C48">
      <w:pPr>
        <w:pStyle w:val="4"/>
        <w:spacing w:before="36" w:line="231" w:lineRule="auto"/>
        <w:ind w:left="376"/>
        <w:rPr>
          <w:sz w:val="20"/>
          <w:szCs w:val="20"/>
        </w:rPr>
      </w:pPr>
      <w:r>
        <w:rPr>
          <w:color w:val="57585A"/>
          <w:spacing w:val="-10"/>
          <w:sz w:val="20"/>
          <w:szCs w:val="20"/>
        </w:rPr>
        <w:t>Fenix project in 2025</w:t>
      </w:r>
      <w:r>
        <w:rPr>
          <w:color w:val="57585A"/>
          <w:spacing w:val="-11"/>
          <w:sz w:val="20"/>
          <w:szCs w:val="20"/>
        </w:rPr>
        <w:t xml:space="preserve"> and 2026, supporting our bullish gas output forecast.</w:t>
      </w:r>
    </w:p>
    <w:p w14:paraId="389FD947">
      <w:pPr>
        <w:pStyle w:val="4"/>
        <w:spacing w:line="287" w:lineRule="auto"/>
      </w:pPr>
    </w:p>
    <w:p w14:paraId="0BA591D9">
      <w:pPr>
        <w:pStyle w:val="4"/>
        <w:spacing w:before="57" w:line="231" w:lineRule="auto"/>
        <w:ind w:left="369"/>
        <w:rPr>
          <w:sz w:val="20"/>
          <w:szCs w:val="20"/>
        </w:rPr>
      </w:pPr>
      <w:r>
        <w:rPr>
          <w:color w:val="57585A"/>
          <w:spacing w:val="-11"/>
          <w:sz w:val="20"/>
          <w:szCs w:val="20"/>
        </w:rPr>
        <w:t>On top of</w:t>
      </w:r>
      <w:r>
        <w:rPr>
          <w:color w:val="57585A"/>
          <w:spacing w:val="-15"/>
          <w:sz w:val="20"/>
          <w:szCs w:val="20"/>
        </w:rPr>
        <w:t xml:space="preserve"> </w:t>
      </w:r>
      <w:r>
        <w:rPr>
          <w:color w:val="57585A"/>
          <w:spacing w:val="-11"/>
          <w:sz w:val="20"/>
          <w:szCs w:val="20"/>
        </w:rPr>
        <w:t>that,</w:t>
      </w:r>
      <w:r>
        <w:rPr>
          <w:color w:val="57585A"/>
          <w:spacing w:val="-16"/>
          <w:sz w:val="20"/>
          <w:szCs w:val="20"/>
        </w:rPr>
        <w:t xml:space="preserve"> </w:t>
      </w:r>
      <w:r>
        <w:rPr>
          <w:color w:val="57585A"/>
          <w:spacing w:val="-11"/>
          <w:sz w:val="20"/>
          <w:szCs w:val="20"/>
        </w:rPr>
        <w:t>YPF continues to invest in gas midstream projects</w:t>
      </w:r>
      <w:r>
        <w:rPr>
          <w:color w:val="57585A"/>
          <w:spacing w:val="-16"/>
          <w:sz w:val="20"/>
          <w:szCs w:val="20"/>
        </w:rPr>
        <w:t xml:space="preserve"> </w:t>
      </w:r>
      <w:r>
        <w:rPr>
          <w:color w:val="57585A"/>
          <w:spacing w:val="-11"/>
          <w:sz w:val="20"/>
          <w:szCs w:val="20"/>
        </w:rPr>
        <w:t>which</w:t>
      </w:r>
      <w:r>
        <w:rPr>
          <w:color w:val="57585A"/>
          <w:spacing w:val="-15"/>
          <w:sz w:val="20"/>
          <w:szCs w:val="20"/>
        </w:rPr>
        <w:t xml:space="preserve"> </w:t>
      </w:r>
      <w:r>
        <w:rPr>
          <w:color w:val="57585A"/>
          <w:spacing w:val="-11"/>
          <w:sz w:val="20"/>
          <w:szCs w:val="20"/>
        </w:rPr>
        <w:t>will further support the NOC's strategy to raise</w:t>
      </w:r>
    </w:p>
    <w:p w14:paraId="37FC1C6D">
      <w:pPr>
        <w:pStyle w:val="4"/>
        <w:spacing w:before="60" w:line="279" w:lineRule="auto"/>
        <w:ind w:left="372" w:right="1095"/>
        <w:rPr>
          <w:sz w:val="20"/>
          <w:szCs w:val="20"/>
        </w:rPr>
      </w:pPr>
      <w:r>
        <w:rPr>
          <w:color w:val="57585A"/>
          <w:spacing w:val="-11"/>
          <w:sz w:val="20"/>
          <w:szCs w:val="20"/>
        </w:rPr>
        <w:t>unconventional natural gas output.</w:t>
      </w:r>
      <w:r>
        <w:rPr>
          <w:color w:val="57585A"/>
          <w:spacing w:val="-16"/>
          <w:sz w:val="20"/>
          <w:szCs w:val="20"/>
        </w:rPr>
        <w:t xml:space="preserve"> </w:t>
      </w:r>
      <w:r>
        <w:rPr>
          <w:color w:val="57585A"/>
          <w:spacing w:val="-11"/>
          <w:sz w:val="20"/>
          <w:szCs w:val="20"/>
        </w:rPr>
        <w:t>YPF remai</w:t>
      </w:r>
      <w:r>
        <w:rPr>
          <w:color w:val="57585A"/>
          <w:spacing w:val="-12"/>
          <w:sz w:val="20"/>
          <w:szCs w:val="20"/>
        </w:rPr>
        <w:t>ns the largest gas producer in</w:t>
      </w:r>
      <w:r>
        <w:rPr>
          <w:color w:val="57585A"/>
          <w:spacing w:val="-15"/>
          <w:sz w:val="20"/>
          <w:szCs w:val="20"/>
        </w:rPr>
        <w:t xml:space="preserve"> </w:t>
      </w:r>
      <w:r>
        <w:rPr>
          <w:color w:val="57585A"/>
          <w:spacing w:val="-12"/>
          <w:sz w:val="20"/>
          <w:szCs w:val="20"/>
        </w:rPr>
        <w:t>Argentina and its capex is expected to linger at</w:t>
      </w:r>
      <w:r>
        <w:rPr>
          <w:color w:val="57585A"/>
          <w:sz w:val="20"/>
          <w:szCs w:val="20"/>
        </w:rPr>
        <w:t xml:space="preserve"> </w:t>
      </w:r>
      <w:r>
        <w:rPr>
          <w:color w:val="57585A"/>
          <w:spacing w:val="-12"/>
          <w:sz w:val="20"/>
          <w:szCs w:val="20"/>
        </w:rPr>
        <w:t>USD5.5-5.7bn between 2024-2026, substantially above</w:t>
      </w:r>
      <w:r>
        <w:rPr>
          <w:color w:val="57585A"/>
          <w:spacing w:val="-13"/>
          <w:sz w:val="20"/>
          <w:szCs w:val="20"/>
        </w:rPr>
        <w:t xml:space="preserve"> historical average levels of USD3.6bn for 2016-2023. We have also</w:t>
      </w:r>
      <w:r>
        <w:rPr>
          <w:color w:val="57585A"/>
          <w:sz w:val="20"/>
          <w:szCs w:val="20"/>
        </w:rPr>
        <w:t xml:space="preserve"> </w:t>
      </w:r>
      <w:r>
        <w:rPr>
          <w:color w:val="57585A"/>
          <w:spacing w:val="-10"/>
          <w:sz w:val="20"/>
          <w:szCs w:val="20"/>
        </w:rPr>
        <w:t>highlighted improving sentiment towards unconventional gas proj</w:t>
      </w:r>
      <w:r>
        <w:rPr>
          <w:color w:val="57585A"/>
          <w:spacing w:val="-11"/>
          <w:sz w:val="20"/>
          <w:szCs w:val="20"/>
        </w:rPr>
        <w:t>ects among majors active in</w:t>
      </w:r>
      <w:r>
        <w:rPr>
          <w:color w:val="57585A"/>
          <w:spacing w:val="-15"/>
          <w:sz w:val="20"/>
          <w:szCs w:val="20"/>
        </w:rPr>
        <w:t xml:space="preserve"> </w:t>
      </w:r>
      <w:r>
        <w:rPr>
          <w:color w:val="57585A"/>
          <w:spacing w:val="-11"/>
          <w:sz w:val="20"/>
          <w:szCs w:val="20"/>
        </w:rPr>
        <w:t>Argentina. In terms of 2024</w:t>
      </w:r>
    </w:p>
    <w:p w14:paraId="5BD6265F">
      <w:pPr>
        <w:pStyle w:val="4"/>
        <w:spacing w:before="37" w:line="273" w:lineRule="auto"/>
        <w:ind w:left="359" w:right="365" w:firstLine="13"/>
        <w:rPr>
          <w:sz w:val="20"/>
          <w:szCs w:val="20"/>
        </w:rPr>
      </w:pPr>
      <w:r>
        <w:rPr>
          <w:color w:val="57585A"/>
          <w:spacing w:val="-10"/>
          <w:sz w:val="20"/>
          <w:szCs w:val="20"/>
        </w:rPr>
        <w:t>production, initial data sug</w:t>
      </w:r>
      <w:r>
        <w:rPr>
          <w:color w:val="57585A"/>
          <w:spacing w:val="-11"/>
          <w:sz w:val="20"/>
          <w:szCs w:val="20"/>
        </w:rPr>
        <w:t>gests a strong gas production growth rate of 5.2%</w:t>
      </w:r>
      <w:r>
        <w:rPr>
          <w:color w:val="57585A"/>
          <w:spacing w:val="-16"/>
          <w:sz w:val="20"/>
          <w:szCs w:val="20"/>
        </w:rPr>
        <w:t xml:space="preserve"> </w:t>
      </w:r>
      <w:r>
        <w:rPr>
          <w:color w:val="57585A"/>
          <w:spacing w:val="-11"/>
          <w:sz w:val="20"/>
          <w:szCs w:val="20"/>
        </w:rPr>
        <w:t>y-o-y growth in 2024 to 46.0bcm,</w:t>
      </w:r>
      <w:r>
        <w:rPr>
          <w:color w:val="57585A"/>
          <w:spacing w:val="-15"/>
          <w:sz w:val="20"/>
          <w:szCs w:val="20"/>
        </w:rPr>
        <w:t xml:space="preserve"> </w:t>
      </w:r>
      <w:r>
        <w:rPr>
          <w:color w:val="57585A"/>
          <w:spacing w:val="-11"/>
          <w:sz w:val="20"/>
          <w:szCs w:val="20"/>
        </w:rPr>
        <w:t>with notably a 13.6%</w:t>
      </w:r>
      <w:r>
        <w:rPr>
          <w:color w:val="57585A"/>
          <w:sz w:val="20"/>
          <w:szCs w:val="20"/>
        </w:rPr>
        <w:t xml:space="preserve"> </w:t>
      </w:r>
      <w:r>
        <w:rPr>
          <w:color w:val="57585A"/>
          <w:spacing w:val="-9"/>
          <w:sz w:val="20"/>
          <w:szCs w:val="20"/>
        </w:rPr>
        <w:t>y-o-y increase in production of unconventional output.</w:t>
      </w:r>
    </w:p>
    <w:p w14:paraId="66CEF58E">
      <w:pPr>
        <w:pStyle w:val="4"/>
        <w:spacing w:line="265" w:lineRule="auto"/>
      </w:pPr>
    </w:p>
    <w:p w14:paraId="7075B171">
      <w:pPr>
        <w:pStyle w:val="4"/>
        <w:spacing w:before="58" w:line="231" w:lineRule="auto"/>
        <w:ind w:left="359"/>
        <w:rPr>
          <w:sz w:val="20"/>
          <w:szCs w:val="20"/>
        </w:rPr>
      </w:pPr>
      <w:r>
        <w:rPr>
          <w:color w:val="57585A"/>
          <w:spacing w:val="-10"/>
          <w:sz w:val="20"/>
          <w:szCs w:val="20"/>
        </w:rPr>
        <w:t>Argentina is also seeing continued momentum in midstream infrastructure projects,</w:t>
      </w:r>
      <w:r>
        <w:rPr>
          <w:color w:val="57585A"/>
          <w:spacing w:val="-15"/>
          <w:sz w:val="20"/>
          <w:szCs w:val="20"/>
        </w:rPr>
        <w:t xml:space="preserve"> </w:t>
      </w:r>
      <w:r>
        <w:rPr>
          <w:color w:val="57585A"/>
          <w:spacing w:val="-10"/>
          <w:sz w:val="20"/>
          <w:szCs w:val="20"/>
        </w:rPr>
        <w:t>which is cruc</w:t>
      </w:r>
      <w:r>
        <w:rPr>
          <w:color w:val="57585A"/>
          <w:spacing w:val="-11"/>
          <w:sz w:val="20"/>
          <w:szCs w:val="20"/>
        </w:rPr>
        <w:t>ial for the expansion of</w:t>
      </w:r>
      <w:r>
        <w:rPr>
          <w:color w:val="57585A"/>
          <w:spacing w:val="-21"/>
          <w:sz w:val="20"/>
          <w:szCs w:val="20"/>
        </w:rPr>
        <w:t xml:space="preserve"> </w:t>
      </w:r>
      <w:r>
        <w:rPr>
          <w:color w:val="57585A"/>
          <w:spacing w:val="-11"/>
          <w:sz w:val="20"/>
          <w:szCs w:val="20"/>
        </w:rPr>
        <w:t>the</w:t>
      </w:r>
    </w:p>
    <w:p w14:paraId="3F781994">
      <w:pPr>
        <w:pStyle w:val="4"/>
        <w:spacing w:before="59" w:line="273" w:lineRule="auto"/>
        <w:ind w:left="373" w:right="386" w:hanging="4"/>
        <w:rPr>
          <w:sz w:val="20"/>
          <w:szCs w:val="20"/>
        </w:rPr>
      </w:pPr>
      <w:r>
        <w:rPr>
          <w:color w:val="57585A"/>
          <w:spacing w:val="-11"/>
          <w:sz w:val="20"/>
          <w:szCs w:val="20"/>
        </w:rPr>
        <w:t>domestic natural gas market. We note that the expansion of midstream capacity for natural gas, initially through the Nestor Kirchner</w:t>
      </w:r>
      <w:r>
        <w:rPr>
          <w:color w:val="57585A"/>
          <w:spacing w:val="3"/>
          <w:sz w:val="20"/>
          <w:szCs w:val="20"/>
        </w:rPr>
        <w:t xml:space="preserve"> </w:t>
      </w:r>
      <w:r>
        <w:rPr>
          <w:color w:val="57585A"/>
          <w:spacing w:val="-11"/>
          <w:sz w:val="20"/>
          <w:szCs w:val="20"/>
        </w:rPr>
        <w:t>pipeline and now</w:t>
      </w:r>
      <w:r>
        <w:rPr>
          <w:color w:val="57585A"/>
          <w:spacing w:val="-15"/>
          <w:sz w:val="20"/>
          <w:szCs w:val="20"/>
        </w:rPr>
        <w:t xml:space="preserve"> </w:t>
      </w:r>
      <w:r>
        <w:rPr>
          <w:color w:val="57585A"/>
          <w:spacing w:val="-11"/>
          <w:sz w:val="20"/>
          <w:szCs w:val="20"/>
        </w:rPr>
        <w:t>with the Northern Pipeline reversal, supports increasingly bullish s</w:t>
      </w:r>
      <w:r>
        <w:rPr>
          <w:color w:val="57585A"/>
          <w:spacing w:val="-12"/>
          <w:sz w:val="20"/>
          <w:szCs w:val="20"/>
        </w:rPr>
        <w:t>entiment among gas producers in Vaca Muerta.</w:t>
      </w:r>
    </w:p>
    <w:p w14:paraId="24826B47">
      <w:pPr>
        <w:pStyle w:val="4"/>
        <w:spacing w:line="265" w:lineRule="auto"/>
      </w:pPr>
    </w:p>
    <w:p w14:paraId="1630CC09">
      <w:pPr>
        <w:pStyle w:val="4"/>
        <w:spacing w:before="58" w:line="231" w:lineRule="auto"/>
        <w:ind w:left="376"/>
        <w:rPr>
          <w:sz w:val="20"/>
          <w:szCs w:val="20"/>
        </w:rPr>
      </w:pPr>
      <w:r>
        <w:rPr>
          <w:color w:val="57585A"/>
          <w:spacing w:val="-11"/>
          <w:sz w:val="20"/>
          <w:szCs w:val="20"/>
        </w:rPr>
        <w:t>In 2023,</w:t>
      </w:r>
      <w:r>
        <w:rPr>
          <w:color w:val="57585A"/>
          <w:spacing w:val="-16"/>
          <w:sz w:val="20"/>
          <w:szCs w:val="20"/>
        </w:rPr>
        <w:t xml:space="preserve"> </w:t>
      </w:r>
      <w:r>
        <w:rPr>
          <w:color w:val="57585A"/>
          <w:spacing w:val="-11"/>
          <w:sz w:val="20"/>
          <w:szCs w:val="20"/>
        </w:rPr>
        <w:t>Argentina's government inaugurated the long-awaited Néstor Kirchner Gas Pipeline, connecting gas-rich</w:t>
      </w:r>
      <w:r>
        <w:rPr>
          <w:color w:val="57585A"/>
          <w:spacing w:val="-12"/>
          <w:sz w:val="20"/>
          <w:szCs w:val="20"/>
        </w:rPr>
        <w:t xml:space="preserve"> Neuquén</w:t>
      </w:r>
      <w:r>
        <w:rPr>
          <w:color w:val="57585A"/>
          <w:spacing w:val="-15"/>
          <w:sz w:val="20"/>
          <w:szCs w:val="20"/>
        </w:rPr>
        <w:t xml:space="preserve"> </w:t>
      </w:r>
      <w:r>
        <w:rPr>
          <w:color w:val="57585A"/>
          <w:spacing w:val="-12"/>
          <w:sz w:val="20"/>
          <w:szCs w:val="20"/>
        </w:rPr>
        <w:t>with</w:t>
      </w:r>
    </w:p>
    <w:p w14:paraId="2CEB83E6">
      <w:pPr>
        <w:pStyle w:val="4"/>
        <w:spacing w:before="60" w:line="279" w:lineRule="auto"/>
        <w:ind w:left="369" w:right="410" w:firstLine="7"/>
        <w:rPr>
          <w:sz w:val="20"/>
          <w:szCs w:val="20"/>
        </w:rPr>
      </w:pPr>
      <w:r>
        <w:rPr>
          <w:color w:val="57585A"/>
          <w:spacing w:val="-11"/>
          <w:sz w:val="20"/>
          <w:szCs w:val="20"/>
        </w:rPr>
        <w:t>Buenos</w:t>
      </w:r>
      <w:r>
        <w:rPr>
          <w:color w:val="57585A"/>
          <w:spacing w:val="-15"/>
          <w:sz w:val="20"/>
          <w:szCs w:val="20"/>
        </w:rPr>
        <w:t xml:space="preserve"> </w:t>
      </w:r>
      <w:r>
        <w:rPr>
          <w:color w:val="57585A"/>
          <w:spacing w:val="-11"/>
          <w:sz w:val="20"/>
          <w:szCs w:val="20"/>
        </w:rPr>
        <w:t>Aires Province. Crucially, the completion of</w:t>
      </w:r>
      <w:r>
        <w:rPr>
          <w:color w:val="57585A"/>
          <w:spacing w:val="-21"/>
          <w:sz w:val="20"/>
          <w:szCs w:val="20"/>
        </w:rPr>
        <w:t xml:space="preserve"> </w:t>
      </w:r>
      <w:r>
        <w:rPr>
          <w:color w:val="57585A"/>
          <w:spacing w:val="-11"/>
          <w:sz w:val="20"/>
          <w:szCs w:val="20"/>
        </w:rPr>
        <w:t>the Northern Reversal project, slated for 2025,</w:t>
      </w:r>
      <w:r>
        <w:rPr>
          <w:color w:val="57585A"/>
          <w:spacing w:val="-16"/>
          <w:sz w:val="20"/>
          <w:szCs w:val="20"/>
        </w:rPr>
        <w:t xml:space="preserve"> </w:t>
      </w:r>
      <w:r>
        <w:rPr>
          <w:color w:val="57585A"/>
          <w:spacing w:val="-11"/>
          <w:sz w:val="20"/>
          <w:szCs w:val="20"/>
        </w:rPr>
        <w:t>will allow for the transpo</w:t>
      </w:r>
      <w:r>
        <w:rPr>
          <w:color w:val="57585A"/>
          <w:spacing w:val="-12"/>
          <w:sz w:val="20"/>
          <w:szCs w:val="20"/>
        </w:rPr>
        <w:t>rtation of</w:t>
      </w:r>
      <w:r>
        <w:rPr>
          <w:color w:val="57585A"/>
          <w:sz w:val="20"/>
          <w:szCs w:val="20"/>
        </w:rPr>
        <w:t xml:space="preserve"> </w:t>
      </w:r>
      <w:r>
        <w:rPr>
          <w:color w:val="57585A"/>
          <w:spacing w:val="-11"/>
          <w:sz w:val="20"/>
          <w:szCs w:val="20"/>
        </w:rPr>
        <w:t>domestic gas to</w:t>
      </w:r>
      <w:r>
        <w:rPr>
          <w:color w:val="57585A"/>
          <w:spacing w:val="-15"/>
          <w:sz w:val="20"/>
          <w:szCs w:val="20"/>
        </w:rPr>
        <w:t xml:space="preserve"> </w:t>
      </w:r>
      <w:r>
        <w:rPr>
          <w:color w:val="57585A"/>
          <w:spacing w:val="-11"/>
          <w:sz w:val="20"/>
          <w:szCs w:val="20"/>
        </w:rPr>
        <w:t>Argentina's northern provinces, replacing legacy Bolivia's imports. In November 2024, the</w:t>
      </w:r>
      <w:r>
        <w:rPr>
          <w:color w:val="57585A"/>
          <w:spacing w:val="-16"/>
          <w:sz w:val="20"/>
          <w:szCs w:val="20"/>
        </w:rPr>
        <w:t xml:space="preserve"> </w:t>
      </w:r>
      <w:r>
        <w:rPr>
          <w:color w:val="57585A"/>
          <w:spacing w:val="-11"/>
          <w:sz w:val="20"/>
          <w:szCs w:val="20"/>
        </w:rPr>
        <w:t>Argentine gover</w:t>
      </w:r>
      <w:r>
        <w:rPr>
          <w:color w:val="57585A"/>
          <w:spacing w:val="-12"/>
          <w:sz w:val="20"/>
          <w:szCs w:val="20"/>
        </w:rPr>
        <w:t>nment</w:t>
      </w:r>
      <w:r>
        <w:rPr>
          <w:color w:val="57585A"/>
          <w:sz w:val="20"/>
          <w:szCs w:val="20"/>
        </w:rPr>
        <w:t xml:space="preserve">   </w:t>
      </w:r>
      <w:r>
        <w:rPr>
          <w:color w:val="57585A"/>
          <w:spacing w:val="-11"/>
          <w:sz w:val="20"/>
          <w:szCs w:val="20"/>
        </w:rPr>
        <w:t>inaugurated the</w:t>
      </w:r>
      <w:r>
        <w:rPr>
          <w:color w:val="57585A"/>
          <w:spacing w:val="-15"/>
          <w:sz w:val="20"/>
          <w:szCs w:val="20"/>
        </w:rPr>
        <w:t xml:space="preserve"> </w:t>
      </w:r>
      <w:r>
        <w:rPr>
          <w:color w:val="57585A"/>
          <w:spacing w:val="-11"/>
          <w:sz w:val="20"/>
          <w:szCs w:val="20"/>
        </w:rPr>
        <w:t>Tío Pujio-La Carlota Federal Integration Pipeline,</w:t>
      </w:r>
      <w:r>
        <w:rPr>
          <w:color w:val="57585A"/>
          <w:spacing w:val="-16"/>
          <w:sz w:val="20"/>
          <w:szCs w:val="20"/>
        </w:rPr>
        <w:t xml:space="preserve"> </w:t>
      </w:r>
      <w:r>
        <w:rPr>
          <w:color w:val="57585A"/>
          <w:spacing w:val="-11"/>
          <w:sz w:val="20"/>
          <w:szCs w:val="20"/>
        </w:rPr>
        <w:t>which l</w:t>
      </w:r>
      <w:r>
        <w:rPr>
          <w:color w:val="57585A"/>
          <w:spacing w:val="-12"/>
          <w:sz w:val="20"/>
          <w:szCs w:val="20"/>
        </w:rPr>
        <w:t>inks the Central and Northern Pipeline, and</w:t>
      </w:r>
      <w:r>
        <w:rPr>
          <w:color w:val="57585A"/>
          <w:spacing w:val="-6"/>
          <w:sz w:val="20"/>
          <w:szCs w:val="20"/>
        </w:rPr>
        <w:t xml:space="preserve"> </w:t>
      </w:r>
      <w:r>
        <w:rPr>
          <w:color w:val="57585A"/>
          <w:spacing w:val="-12"/>
          <w:sz w:val="20"/>
          <w:szCs w:val="20"/>
        </w:rPr>
        <w:t>constitutes a</w:t>
      </w:r>
    </w:p>
    <w:p w14:paraId="1BB700FC">
      <w:pPr>
        <w:pStyle w:val="4"/>
        <w:spacing w:before="34" w:line="285" w:lineRule="auto"/>
        <w:ind w:left="363" w:right="558" w:firstLine="10"/>
        <w:rPr>
          <w:sz w:val="20"/>
          <w:szCs w:val="20"/>
        </w:rPr>
      </w:pPr>
      <w:r>
        <w:rPr>
          <w:color w:val="57585A"/>
          <w:spacing w:val="-11"/>
          <w:sz w:val="20"/>
          <w:szCs w:val="20"/>
        </w:rPr>
        <w:t>key part of</w:t>
      </w:r>
      <w:r>
        <w:rPr>
          <w:color w:val="57585A"/>
          <w:spacing w:val="-21"/>
          <w:sz w:val="20"/>
          <w:szCs w:val="20"/>
        </w:rPr>
        <w:t xml:space="preserve"> </w:t>
      </w:r>
      <w:r>
        <w:rPr>
          <w:color w:val="57585A"/>
          <w:spacing w:val="-11"/>
          <w:sz w:val="20"/>
          <w:szCs w:val="20"/>
        </w:rPr>
        <w:t>the broader Northern Pipeline Reversal Project. This development</w:t>
      </w:r>
      <w:r>
        <w:rPr>
          <w:color w:val="57585A"/>
          <w:spacing w:val="-16"/>
          <w:sz w:val="20"/>
          <w:szCs w:val="20"/>
        </w:rPr>
        <w:t xml:space="preserve"> </w:t>
      </w:r>
      <w:r>
        <w:rPr>
          <w:color w:val="57585A"/>
          <w:spacing w:val="-11"/>
          <w:sz w:val="20"/>
          <w:szCs w:val="20"/>
        </w:rPr>
        <w:t>will allow</w:t>
      </w:r>
      <w:r>
        <w:rPr>
          <w:color w:val="57585A"/>
          <w:spacing w:val="-15"/>
          <w:sz w:val="20"/>
          <w:szCs w:val="20"/>
        </w:rPr>
        <w:t xml:space="preserve"> </w:t>
      </w:r>
      <w:r>
        <w:rPr>
          <w:color w:val="57585A"/>
          <w:spacing w:val="-11"/>
          <w:sz w:val="20"/>
          <w:szCs w:val="20"/>
        </w:rPr>
        <w:t>Argentina</w:t>
      </w:r>
      <w:r>
        <w:rPr>
          <w:color w:val="57585A"/>
          <w:spacing w:val="-12"/>
          <w:sz w:val="20"/>
          <w:szCs w:val="20"/>
        </w:rPr>
        <w:t xml:space="preserve"> to supply domestically-sourced</w:t>
      </w:r>
      <w:r>
        <w:rPr>
          <w:color w:val="57585A"/>
          <w:sz w:val="20"/>
          <w:szCs w:val="20"/>
        </w:rPr>
        <w:t xml:space="preserve"> </w:t>
      </w:r>
      <w:r>
        <w:rPr>
          <w:color w:val="57585A"/>
          <w:spacing w:val="-10"/>
          <w:sz w:val="20"/>
          <w:szCs w:val="20"/>
        </w:rPr>
        <w:t>natural gas to its northern-most provin</w:t>
      </w:r>
      <w:r>
        <w:rPr>
          <w:color w:val="57585A"/>
          <w:spacing w:val="-11"/>
          <w:sz w:val="20"/>
          <w:szCs w:val="20"/>
        </w:rPr>
        <w:t>ces, replacing imported gas from Bolivia.</w:t>
      </w:r>
      <w:r>
        <w:rPr>
          <w:color w:val="57585A"/>
          <w:spacing w:val="-16"/>
          <w:sz w:val="20"/>
          <w:szCs w:val="20"/>
        </w:rPr>
        <w:t xml:space="preserve"> </w:t>
      </w:r>
      <w:r>
        <w:rPr>
          <w:color w:val="57585A"/>
          <w:spacing w:val="-11"/>
          <w:sz w:val="20"/>
          <w:szCs w:val="20"/>
        </w:rPr>
        <w:t>According to media reports, the final step in the</w:t>
      </w:r>
      <w:r>
        <w:rPr>
          <w:color w:val="57585A"/>
          <w:sz w:val="20"/>
          <w:szCs w:val="20"/>
        </w:rPr>
        <w:t xml:space="preserve">  </w:t>
      </w:r>
      <w:r>
        <w:rPr>
          <w:color w:val="57585A"/>
          <w:spacing w:val="-10"/>
          <w:sz w:val="20"/>
          <w:szCs w:val="20"/>
        </w:rPr>
        <w:t>project is the completion of</w:t>
      </w:r>
      <w:r>
        <w:rPr>
          <w:color w:val="57585A"/>
          <w:spacing w:val="-14"/>
          <w:sz w:val="20"/>
          <w:szCs w:val="20"/>
        </w:rPr>
        <w:t xml:space="preserve"> </w:t>
      </w:r>
      <w:r>
        <w:rPr>
          <w:color w:val="57585A"/>
          <w:spacing w:val="-10"/>
          <w:sz w:val="20"/>
          <w:szCs w:val="20"/>
        </w:rPr>
        <w:t>automation of</w:t>
      </w:r>
      <w:r>
        <w:rPr>
          <w:color w:val="57585A"/>
          <w:spacing w:val="-21"/>
          <w:sz w:val="20"/>
          <w:szCs w:val="20"/>
        </w:rPr>
        <w:t xml:space="preserve"> </w:t>
      </w:r>
      <w:r>
        <w:rPr>
          <w:color w:val="57585A"/>
          <w:spacing w:val="-10"/>
          <w:sz w:val="20"/>
          <w:szCs w:val="20"/>
        </w:rPr>
        <w:t>four existing compressor stations,</w:t>
      </w:r>
      <w:r>
        <w:rPr>
          <w:color w:val="57585A"/>
          <w:spacing w:val="-16"/>
          <w:sz w:val="20"/>
          <w:szCs w:val="20"/>
        </w:rPr>
        <w:t xml:space="preserve"> </w:t>
      </w:r>
      <w:r>
        <w:rPr>
          <w:color w:val="57585A"/>
          <w:spacing w:val="-10"/>
          <w:sz w:val="20"/>
          <w:szCs w:val="20"/>
        </w:rPr>
        <w:t>with llikely start-up in H2 2025. In the first phase, the</w:t>
      </w:r>
      <w:r>
        <w:rPr>
          <w:color w:val="57585A"/>
          <w:sz w:val="20"/>
          <w:szCs w:val="20"/>
        </w:rPr>
        <w:t xml:space="preserve"> </w:t>
      </w:r>
      <w:r>
        <w:rPr>
          <w:color w:val="57585A"/>
          <w:spacing w:val="-10"/>
          <w:sz w:val="20"/>
          <w:szCs w:val="20"/>
        </w:rPr>
        <w:t>project</w:t>
      </w:r>
      <w:r>
        <w:rPr>
          <w:color w:val="57585A"/>
          <w:spacing w:val="-15"/>
          <w:sz w:val="20"/>
          <w:szCs w:val="20"/>
        </w:rPr>
        <w:t xml:space="preserve"> </w:t>
      </w:r>
      <w:r>
        <w:rPr>
          <w:color w:val="57585A"/>
          <w:spacing w:val="-10"/>
          <w:sz w:val="20"/>
          <w:szCs w:val="20"/>
        </w:rPr>
        <w:t>will allow the transport of 5mcm/d</w:t>
      </w:r>
      <w:r>
        <w:rPr>
          <w:color w:val="57585A"/>
          <w:spacing w:val="-12"/>
          <w:sz w:val="20"/>
          <w:szCs w:val="20"/>
        </w:rPr>
        <w:t xml:space="preserve"> </w:t>
      </w:r>
      <w:r>
        <w:rPr>
          <w:color w:val="57585A"/>
          <w:spacing w:val="-10"/>
          <w:sz w:val="20"/>
          <w:szCs w:val="20"/>
        </w:rPr>
        <w:t>to seven provinces,</w:t>
      </w:r>
      <w:r>
        <w:rPr>
          <w:color w:val="57585A"/>
          <w:spacing w:val="-16"/>
          <w:sz w:val="20"/>
          <w:szCs w:val="20"/>
        </w:rPr>
        <w:t xml:space="preserve"> </w:t>
      </w:r>
      <w:r>
        <w:rPr>
          <w:color w:val="57585A"/>
          <w:spacing w:val="-10"/>
          <w:sz w:val="20"/>
          <w:szCs w:val="20"/>
        </w:rPr>
        <w:t>with a possibility to increase the capacity</w:t>
      </w:r>
      <w:r>
        <w:rPr>
          <w:color w:val="57585A"/>
          <w:spacing w:val="-12"/>
          <w:sz w:val="20"/>
          <w:szCs w:val="20"/>
        </w:rPr>
        <w:t xml:space="preserve"> </w:t>
      </w:r>
      <w:r>
        <w:rPr>
          <w:color w:val="57585A"/>
          <w:spacing w:val="-10"/>
          <w:sz w:val="20"/>
          <w:szCs w:val="20"/>
        </w:rPr>
        <w:t xml:space="preserve">to </w:t>
      </w:r>
      <w:r>
        <w:rPr>
          <w:color w:val="57585A"/>
          <w:spacing w:val="-11"/>
          <w:sz w:val="20"/>
          <w:szCs w:val="20"/>
        </w:rPr>
        <w:t>9mcm/d.</w:t>
      </w:r>
      <w:r>
        <w:rPr>
          <w:color w:val="57585A"/>
          <w:spacing w:val="-14"/>
          <w:sz w:val="20"/>
          <w:szCs w:val="20"/>
        </w:rPr>
        <w:t xml:space="preserve"> </w:t>
      </w:r>
      <w:r>
        <w:rPr>
          <w:color w:val="57585A"/>
          <w:spacing w:val="-11"/>
          <w:sz w:val="20"/>
          <w:szCs w:val="20"/>
        </w:rPr>
        <w:t>We also note</w:t>
      </w:r>
      <w:r>
        <w:rPr>
          <w:color w:val="57585A"/>
          <w:sz w:val="20"/>
          <w:szCs w:val="20"/>
        </w:rPr>
        <w:t xml:space="preserve"> </w:t>
      </w:r>
      <w:r>
        <w:rPr>
          <w:color w:val="57585A"/>
          <w:spacing w:val="-10"/>
          <w:sz w:val="20"/>
          <w:szCs w:val="20"/>
        </w:rPr>
        <w:t>the possibility of</w:t>
      </w:r>
      <w:r>
        <w:rPr>
          <w:color w:val="57585A"/>
          <w:spacing w:val="-21"/>
          <w:sz w:val="20"/>
          <w:szCs w:val="20"/>
        </w:rPr>
        <w:t xml:space="preserve"> </w:t>
      </w:r>
      <w:r>
        <w:rPr>
          <w:color w:val="57585A"/>
          <w:spacing w:val="-10"/>
          <w:sz w:val="20"/>
          <w:szCs w:val="20"/>
        </w:rPr>
        <w:t xml:space="preserve">this project supporting future exports to Bolivia or </w:t>
      </w:r>
      <w:r>
        <w:rPr>
          <w:color w:val="57585A"/>
          <w:spacing w:val="-11"/>
          <w:sz w:val="20"/>
          <w:szCs w:val="20"/>
        </w:rPr>
        <w:t>Brazil, raising upside risks for our long-term net gas export</w:t>
      </w:r>
    </w:p>
    <w:p w14:paraId="1BFB71F0">
      <w:pPr>
        <w:pStyle w:val="4"/>
        <w:spacing w:before="37" w:line="261" w:lineRule="exact"/>
        <w:ind w:left="363"/>
        <w:rPr>
          <w:sz w:val="20"/>
          <w:szCs w:val="20"/>
        </w:rPr>
      </w:pPr>
      <w:r>
        <w:rPr>
          <w:color w:val="57585A"/>
          <w:spacing w:val="-10"/>
          <w:position w:val="1"/>
          <w:sz w:val="20"/>
          <w:szCs w:val="20"/>
        </w:rPr>
        <w:t>forecast.</w:t>
      </w:r>
    </w:p>
    <w:p w14:paraId="5BEE1103">
      <w:pPr>
        <w:spacing w:line="261" w:lineRule="exact"/>
        <w:rPr>
          <w:sz w:val="20"/>
          <w:szCs w:val="20"/>
        </w:rPr>
        <w:sectPr>
          <w:footerReference r:id="rId25" w:type="default"/>
          <w:pgSz w:w="11906" w:h="16838"/>
          <w:pgMar w:top="400" w:right="490" w:bottom="883" w:left="490" w:header="0" w:footer="0" w:gutter="0"/>
          <w:cols w:space="720" w:num="1"/>
        </w:sectPr>
      </w:pPr>
    </w:p>
    <w:p w14:paraId="6CCFAC76">
      <w:pPr>
        <w:pStyle w:val="4"/>
        <w:spacing w:before="73" w:line="241" w:lineRule="auto"/>
        <w:ind w:left="7372"/>
        <w:rPr>
          <w:sz w:val="20"/>
          <w:szCs w:val="20"/>
        </w:rPr>
      </w:pPr>
      <w:r>
        <w:drawing>
          <wp:anchor distT="0" distB="0" distL="0" distR="0" simplePos="0" relativeHeight="25174630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47328" behindDoc="0" locked="0" layoutInCell="0" allowOverlap="1">
            <wp:simplePos x="0" y="0"/>
            <wp:positionH relativeFrom="page">
              <wp:posOffset>311150</wp:posOffset>
            </wp:positionH>
            <wp:positionV relativeFrom="page">
              <wp:posOffset>0</wp:posOffset>
            </wp:positionV>
            <wp:extent cx="19050" cy="814070"/>
            <wp:effectExtent l="0" t="0" r="0" b="0"/>
            <wp:wrapNone/>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008357B">
      <w:pPr>
        <w:pStyle w:val="4"/>
        <w:spacing w:line="278" w:lineRule="auto"/>
      </w:pPr>
    </w:p>
    <w:p w14:paraId="2BBB25FF">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C400BC8">
      <w:pPr>
        <w:pStyle w:val="4"/>
        <w:spacing w:line="437" w:lineRule="auto"/>
      </w:pPr>
    </w:p>
    <w:p w14:paraId="4716DE96">
      <w:pPr>
        <w:pStyle w:val="4"/>
        <w:spacing w:before="69" w:line="234" w:lineRule="auto"/>
        <w:ind w:left="2876"/>
        <w:rPr>
          <w:sz w:val="24"/>
          <w:szCs w:val="24"/>
        </w:rPr>
      </w:pPr>
      <w:r>
        <w:rPr>
          <w:color w:val="174174"/>
          <w:spacing w:val="-9"/>
          <w:sz w:val="24"/>
          <w:szCs w:val="24"/>
        </w:rPr>
        <w:t>Momentum In Natural Gas Infrastructure In Argentina</w:t>
      </w:r>
    </w:p>
    <w:p w14:paraId="6B9DB76E">
      <w:pPr>
        <w:pStyle w:val="4"/>
        <w:spacing w:before="32" w:line="231" w:lineRule="auto"/>
        <w:ind w:left="3386"/>
        <w:rPr>
          <w:sz w:val="20"/>
          <w:szCs w:val="20"/>
        </w:rPr>
      </w:pPr>
      <w:r>
        <w:rPr>
          <w:color w:val="333333"/>
          <w:spacing w:val="-12"/>
          <w:sz w:val="20"/>
          <w:szCs w:val="20"/>
        </w:rPr>
        <w:t>Argentina - Key Midstream Gas Infrastructure Pro</w:t>
      </w:r>
      <w:r>
        <w:rPr>
          <w:color w:val="333333"/>
          <w:spacing w:val="-13"/>
          <w:sz w:val="20"/>
          <w:szCs w:val="20"/>
        </w:rPr>
        <w:t>jects</w:t>
      </w:r>
    </w:p>
    <w:p w14:paraId="532F08C4">
      <w:pPr>
        <w:spacing w:before="96" w:line="8520" w:lineRule="exact"/>
        <w:ind w:firstLine="2124"/>
      </w:pPr>
      <w:r>
        <w:rPr>
          <w:position w:val="-170"/>
        </w:rPr>
        <w:drawing>
          <wp:inline distT="0" distB="0" distL="0" distR="0">
            <wp:extent cx="4238625" cy="5409565"/>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18"/>
                    <a:stretch>
                      <a:fillRect/>
                    </a:stretch>
                  </pic:blipFill>
                  <pic:spPr>
                    <a:xfrm>
                      <a:off x="0" y="0"/>
                      <a:ext cx="4238625" cy="5410199"/>
                    </a:xfrm>
                    <a:prstGeom prst="rect">
                      <a:avLst/>
                    </a:prstGeom>
                  </pic:spPr>
                </pic:pic>
              </a:graphicData>
            </a:graphic>
          </wp:inline>
        </w:drawing>
      </w:r>
    </w:p>
    <w:p w14:paraId="0F493E60">
      <w:pPr>
        <w:pStyle w:val="4"/>
        <w:spacing w:before="149" w:line="233" w:lineRule="auto"/>
        <w:ind w:left="2133"/>
        <w:rPr>
          <w:sz w:val="15"/>
          <w:szCs w:val="15"/>
        </w:rPr>
      </w:pPr>
      <w:r>
        <w:drawing>
          <wp:anchor distT="0" distB="0" distL="0" distR="0" simplePos="0" relativeHeight="251745280" behindDoc="1" locked="0" layoutInCell="1" allowOverlap="1">
            <wp:simplePos x="0" y="0"/>
            <wp:positionH relativeFrom="column">
              <wp:posOffset>1348740</wp:posOffset>
            </wp:positionH>
            <wp:positionV relativeFrom="paragraph">
              <wp:posOffset>87630</wp:posOffset>
            </wp:positionV>
            <wp:extent cx="4238625" cy="9525"/>
            <wp:effectExtent l="0" t="0" r="0" b="0"/>
            <wp:wrapNone/>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19"/>
                    <a:stretch>
                      <a:fillRect/>
                    </a:stretch>
                  </pic:blipFill>
                  <pic:spPr>
                    <a:xfrm>
                      <a:off x="0" y="0"/>
                      <a:ext cx="4238625" cy="9525"/>
                    </a:xfrm>
                    <a:prstGeom prst="rect">
                      <a:avLst/>
                    </a:prstGeom>
                  </pic:spPr>
                </pic:pic>
              </a:graphicData>
            </a:graphic>
          </wp:anchor>
        </w:drawing>
      </w:r>
      <w:r>
        <w:rPr>
          <w:i/>
          <w:iCs/>
          <w:color w:val="333333"/>
          <w:spacing w:val="-5"/>
          <w:w w:val="92"/>
          <w:sz w:val="15"/>
          <w:szCs w:val="15"/>
        </w:rPr>
        <w:t>Source:</w:t>
      </w:r>
      <w:r>
        <w:rPr>
          <w:i/>
          <w:iCs/>
          <w:color w:val="333333"/>
          <w:spacing w:val="-10"/>
          <w:sz w:val="15"/>
          <w:szCs w:val="15"/>
        </w:rPr>
        <w:t xml:space="preserve"> </w:t>
      </w:r>
      <w:r>
        <w:rPr>
          <w:i/>
          <w:iCs/>
          <w:color w:val="333333"/>
          <w:spacing w:val="-5"/>
          <w:w w:val="92"/>
          <w:sz w:val="15"/>
          <w:szCs w:val="15"/>
        </w:rPr>
        <w:t>Secretaria de</w:t>
      </w:r>
      <w:r>
        <w:rPr>
          <w:i/>
          <w:iCs/>
          <w:color w:val="333333"/>
          <w:spacing w:val="-6"/>
          <w:w w:val="92"/>
          <w:sz w:val="15"/>
          <w:szCs w:val="15"/>
        </w:rPr>
        <w:t xml:space="preserve"> Energia, BMI</w:t>
      </w:r>
    </w:p>
    <w:p w14:paraId="0EA73D3F">
      <w:pPr>
        <w:pStyle w:val="4"/>
        <w:spacing w:line="364" w:lineRule="auto"/>
      </w:pPr>
    </w:p>
    <w:p w14:paraId="6529BFFE">
      <w:pPr>
        <w:pStyle w:val="4"/>
        <w:spacing w:before="58" w:line="241" w:lineRule="auto"/>
        <w:ind w:left="374"/>
        <w:rPr>
          <w:sz w:val="20"/>
          <w:szCs w:val="20"/>
        </w:rPr>
      </w:pPr>
      <w:r>
        <w:rPr>
          <w:b/>
          <w:bCs/>
          <w:color w:val="57585A"/>
          <w:spacing w:val="-11"/>
          <w:sz w:val="20"/>
          <w:szCs w:val="20"/>
        </w:rPr>
        <w:t>Upside Risks</w:t>
      </w:r>
      <w:r>
        <w:rPr>
          <w:b/>
          <w:bCs/>
          <w:color w:val="57585A"/>
          <w:spacing w:val="-15"/>
          <w:sz w:val="20"/>
          <w:szCs w:val="20"/>
        </w:rPr>
        <w:t xml:space="preserve"> </w:t>
      </w:r>
      <w:r>
        <w:rPr>
          <w:b/>
          <w:bCs/>
          <w:color w:val="57585A"/>
          <w:spacing w:val="-11"/>
          <w:sz w:val="20"/>
          <w:szCs w:val="20"/>
        </w:rPr>
        <w:t>To Our Long-Term Fore</w:t>
      </w:r>
      <w:r>
        <w:rPr>
          <w:b/>
          <w:bCs/>
          <w:color w:val="57585A"/>
          <w:spacing w:val="-12"/>
          <w:sz w:val="20"/>
          <w:szCs w:val="20"/>
        </w:rPr>
        <w:t>casts</w:t>
      </w:r>
    </w:p>
    <w:p w14:paraId="4FDC951D">
      <w:pPr>
        <w:pStyle w:val="4"/>
        <w:spacing w:line="279" w:lineRule="auto"/>
      </w:pPr>
    </w:p>
    <w:p w14:paraId="38E49FEB">
      <w:pPr>
        <w:pStyle w:val="4"/>
        <w:spacing w:before="58" w:line="283" w:lineRule="auto"/>
        <w:ind w:left="369" w:right="465" w:hanging="8"/>
        <w:jc w:val="both"/>
        <w:rPr>
          <w:sz w:val="20"/>
          <w:szCs w:val="20"/>
        </w:rPr>
      </w:pPr>
      <w:r>
        <w:rPr>
          <w:color w:val="57585A"/>
          <w:spacing w:val="-10"/>
          <w:sz w:val="20"/>
          <w:szCs w:val="20"/>
        </w:rPr>
        <w:t>We remain bullish on</w:t>
      </w:r>
      <w:r>
        <w:rPr>
          <w:color w:val="57585A"/>
          <w:spacing w:val="-16"/>
          <w:sz w:val="20"/>
          <w:szCs w:val="20"/>
        </w:rPr>
        <w:t xml:space="preserve"> </w:t>
      </w:r>
      <w:r>
        <w:rPr>
          <w:color w:val="57585A"/>
          <w:spacing w:val="-10"/>
          <w:sz w:val="20"/>
          <w:szCs w:val="20"/>
        </w:rPr>
        <w:t>Arge</w:t>
      </w:r>
      <w:r>
        <w:rPr>
          <w:color w:val="57585A"/>
          <w:spacing w:val="-11"/>
          <w:sz w:val="20"/>
          <w:szCs w:val="20"/>
        </w:rPr>
        <w:t>ntina's long-term gas production outlook,</w:t>
      </w:r>
      <w:r>
        <w:rPr>
          <w:color w:val="57585A"/>
          <w:spacing w:val="-16"/>
          <w:sz w:val="20"/>
          <w:szCs w:val="20"/>
        </w:rPr>
        <w:t xml:space="preserve"> </w:t>
      </w:r>
      <w:r>
        <w:rPr>
          <w:color w:val="57585A"/>
          <w:spacing w:val="-11"/>
          <w:sz w:val="20"/>
          <w:szCs w:val="20"/>
        </w:rPr>
        <w:t>with our forecasts indicating annual average growth of</w:t>
      </w:r>
      <w:r>
        <w:rPr>
          <w:color w:val="57585A"/>
          <w:spacing w:val="-16"/>
          <w:sz w:val="20"/>
          <w:szCs w:val="20"/>
        </w:rPr>
        <w:t xml:space="preserve"> </w:t>
      </w:r>
      <w:r>
        <w:rPr>
          <w:color w:val="57585A"/>
          <w:spacing w:val="-11"/>
          <w:sz w:val="20"/>
          <w:szCs w:val="20"/>
        </w:rPr>
        <w:t>3.9%</w:t>
      </w:r>
      <w:r>
        <w:rPr>
          <w:color w:val="57585A"/>
          <w:spacing w:val="-15"/>
          <w:sz w:val="20"/>
          <w:szCs w:val="20"/>
        </w:rPr>
        <w:t xml:space="preserve"> </w:t>
      </w:r>
      <w:r>
        <w:rPr>
          <w:color w:val="57585A"/>
          <w:spacing w:val="-11"/>
          <w:sz w:val="20"/>
          <w:szCs w:val="20"/>
        </w:rPr>
        <w:t>y-</w:t>
      </w:r>
      <w:r>
        <w:rPr>
          <w:color w:val="57585A"/>
          <w:sz w:val="20"/>
          <w:szCs w:val="20"/>
        </w:rPr>
        <w:t xml:space="preserve"> </w:t>
      </w:r>
      <w:r>
        <w:rPr>
          <w:color w:val="57585A"/>
          <w:spacing w:val="-10"/>
          <w:sz w:val="20"/>
          <w:szCs w:val="20"/>
        </w:rPr>
        <w:t>o-y to 2034,</w:t>
      </w:r>
      <w:r>
        <w:rPr>
          <w:color w:val="57585A"/>
          <w:spacing w:val="-16"/>
          <w:sz w:val="20"/>
          <w:szCs w:val="20"/>
        </w:rPr>
        <w:t xml:space="preserve"> </w:t>
      </w:r>
      <w:r>
        <w:rPr>
          <w:color w:val="57585A"/>
          <w:spacing w:val="-10"/>
          <w:sz w:val="20"/>
          <w:szCs w:val="20"/>
        </w:rPr>
        <w:t>with gas output rising from 49.5bcm in 2025 to some 67.1bcm by 2034.</w:t>
      </w:r>
      <w:r>
        <w:rPr>
          <w:color w:val="57585A"/>
          <w:spacing w:val="-14"/>
          <w:sz w:val="20"/>
          <w:szCs w:val="20"/>
        </w:rPr>
        <w:t xml:space="preserve"> </w:t>
      </w:r>
      <w:r>
        <w:rPr>
          <w:color w:val="57585A"/>
          <w:spacing w:val="-10"/>
          <w:sz w:val="20"/>
          <w:szCs w:val="20"/>
        </w:rPr>
        <w:t>Th</w:t>
      </w:r>
      <w:r>
        <w:rPr>
          <w:color w:val="57585A"/>
          <w:spacing w:val="-11"/>
          <w:sz w:val="20"/>
          <w:szCs w:val="20"/>
        </w:rPr>
        <w:t>is growth outlook is led by our expectation</w:t>
      </w:r>
      <w:r>
        <w:rPr>
          <w:color w:val="57585A"/>
          <w:sz w:val="20"/>
          <w:szCs w:val="20"/>
        </w:rPr>
        <w:t xml:space="preserve"> </w:t>
      </w:r>
      <w:r>
        <w:rPr>
          <w:color w:val="57585A"/>
          <w:spacing w:val="-10"/>
          <w:sz w:val="20"/>
          <w:szCs w:val="20"/>
        </w:rPr>
        <w:t>of</w:t>
      </w:r>
      <w:r>
        <w:rPr>
          <w:color w:val="57585A"/>
          <w:spacing w:val="-15"/>
          <w:sz w:val="20"/>
          <w:szCs w:val="20"/>
        </w:rPr>
        <w:t xml:space="preserve"> </w:t>
      </w:r>
      <w:r>
        <w:rPr>
          <w:color w:val="57585A"/>
          <w:spacing w:val="-10"/>
          <w:sz w:val="20"/>
          <w:szCs w:val="20"/>
        </w:rPr>
        <w:t>continued production gains in the unconventional gas segment, in addition to some developments in the offshore</w:t>
      </w:r>
      <w:r>
        <w:rPr>
          <w:color w:val="57585A"/>
          <w:spacing w:val="-11"/>
          <w:sz w:val="20"/>
          <w:szCs w:val="20"/>
        </w:rPr>
        <w:t xml:space="preserve"> sector, both</w:t>
      </w:r>
      <w:r>
        <w:rPr>
          <w:color w:val="57585A"/>
          <w:sz w:val="20"/>
          <w:szCs w:val="20"/>
        </w:rPr>
        <w:t xml:space="preserve">  </w:t>
      </w:r>
      <w:r>
        <w:rPr>
          <w:color w:val="57585A"/>
          <w:spacing w:val="-11"/>
          <w:sz w:val="20"/>
          <w:szCs w:val="20"/>
        </w:rPr>
        <w:t>led by strong domestic demand for gas and opportunities for gas exports.</w:t>
      </w:r>
    </w:p>
    <w:p w14:paraId="10C9CAC7">
      <w:pPr>
        <w:pStyle w:val="4"/>
        <w:spacing w:line="266" w:lineRule="auto"/>
      </w:pPr>
    </w:p>
    <w:p w14:paraId="5F689E6A">
      <w:pPr>
        <w:pStyle w:val="4"/>
        <w:spacing w:before="59" w:line="279" w:lineRule="auto"/>
        <w:ind w:left="367" w:right="383" w:hanging="6"/>
        <w:rPr>
          <w:sz w:val="20"/>
          <w:szCs w:val="20"/>
        </w:rPr>
      </w:pPr>
      <w:r>
        <w:rPr>
          <w:color w:val="57585A"/>
          <w:spacing w:val="-10"/>
          <w:sz w:val="20"/>
          <w:szCs w:val="20"/>
        </w:rPr>
        <w:t>We maintain that our current outlook f</w:t>
      </w:r>
      <w:r>
        <w:rPr>
          <w:color w:val="57585A"/>
          <w:spacing w:val="-11"/>
          <w:sz w:val="20"/>
          <w:szCs w:val="20"/>
        </w:rPr>
        <w:t>or gas production remains conservative. We notably recognize upside risks to our long-term</w:t>
      </w:r>
      <w:r>
        <w:rPr>
          <w:color w:val="57585A"/>
          <w:sz w:val="20"/>
          <w:szCs w:val="20"/>
        </w:rPr>
        <w:t xml:space="preserve"> </w:t>
      </w:r>
      <w:r>
        <w:rPr>
          <w:color w:val="57585A"/>
          <w:spacing w:val="-11"/>
          <w:sz w:val="20"/>
          <w:szCs w:val="20"/>
        </w:rPr>
        <w:t xml:space="preserve">gas production and net exports forecasts stemming from advancing </w:t>
      </w:r>
      <w:r>
        <w:rPr>
          <w:color w:val="57585A"/>
          <w:spacing w:val="-12"/>
          <w:sz w:val="20"/>
          <w:szCs w:val="20"/>
        </w:rPr>
        <w:t>talks about a large-scale LNG facility. In our current forecast,</w:t>
      </w:r>
      <w:r>
        <w:rPr>
          <w:color w:val="57585A"/>
          <w:spacing w:val="-16"/>
          <w:sz w:val="20"/>
          <w:szCs w:val="20"/>
        </w:rPr>
        <w:t xml:space="preserve"> </w:t>
      </w:r>
      <w:r>
        <w:rPr>
          <w:color w:val="57585A"/>
          <w:spacing w:val="-12"/>
          <w:sz w:val="20"/>
          <w:szCs w:val="20"/>
        </w:rPr>
        <w:t>we</w:t>
      </w:r>
      <w:r>
        <w:rPr>
          <w:color w:val="57585A"/>
          <w:sz w:val="20"/>
          <w:szCs w:val="20"/>
        </w:rPr>
        <w:t xml:space="preserve"> </w:t>
      </w:r>
      <w:r>
        <w:rPr>
          <w:color w:val="57585A"/>
          <w:spacing w:val="-12"/>
          <w:sz w:val="20"/>
          <w:szCs w:val="20"/>
        </w:rPr>
        <w:t xml:space="preserve">have only incorporated small-scale LNG export facilities. One </w:t>
      </w:r>
      <w:r>
        <w:rPr>
          <w:color w:val="57585A"/>
          <w:spacing w:val="-13"/>
          <w:sz w:val="20"/>
          <w:szCs w:val="20"/>
        </w:rPr>
        <w:t>project, led by Pan American Energy, in cooperation with YPF and</w:t>
      </w:r>
    </w:p>
    <w:p w14:paraId="3046CF53">
      <w:pPr>
        <w:pStyle w:val="4"/>
        <w:spacing w:before="37" w:line="231" w:lineRule="auto"/>
        <w:ind w:left="376"/>
        <w:rPr>
          <w:sz w:val="20"/>
          <w:szCs w:val="20"/>
        </w:rPr>
      </w:pPr>
      <w:r>
        <w:rPr>
          <w:color w:val="57585A"/>
          <w:spacing w:val="-11"/>
          <w:sz w:val="20"/>
          <w:szCs w:val="20"/>
        </w:rPr>
        <w:t>Pampa Energy among others, is set to commence operations in 2027/2028 adding approximately 4.1bcm of</w:t>
      </w:r>
      <w:r>
        <w:rPr>
          <w:color w:val="57585A"/>
          <w:spacing w:val="-16"/>
          <w:sz w:val="20"/>
          <w:szCs w:val="20"/>
        </w:rPr>
        <w:t xml:space="preserve"> </w:t>
      </w:r>
      <w:r>
        <w:rPr>
          <w:color w:val="57585A"/>
          <w:spacing w:val="-11"/>
          <w:sz w:val="20"/>
          <w:szCs w:val="20"/>
        </w:rPr>
        <w:t>export capacit</w:t>
      </w:r>
      <w:r>
        <w:rPr>
          <w:color w:val="57585A"/>
          <w:spacing w:val="-12"/>
          <w:sz w:val="20"/>
          <w:szCs w:val="20"/>
        </w:rPr>
        <w:t>y,</w:t>
      </w:r>
    </w:p>
    <w:p w14:paraId="6155CCD1">
      <w:pPr>
        <w:pStyle w:val="4"/>
        <w:spacing w:before="58" w:line="231" w:lineRule="auto"/>
        <w:ind w:left="373"/>
        <w:rPr>
          <w:sz w:val="20"/>
          <w:szCs w:val="20"/>
        </w:rPr>
      </w:pPr>
      <w:r>
        <w:rPr>
          <w:color w:val="57585A"/>
          <w:spacing w:val="-10"/>
          <w:sz w:val="20"/>
          <w:szCs w:val="20"/>
        </w:rPr>
        <w:t>however</w:t>
      </w:r>
      <w:r>
        <w:rPr>
          <w:color w:val="57585A"/>
          <w:spacing w:val="-15"/>
          <w:sz w:val="20"/>
          <w:szCs w:val="20"/>
        </w:rPr>
        <w:t xml:space="preserve"> </w:t>
      </w:r>
      <w:r>
        <w:rPr>
          <w:color w:val="57585A"/>
          <w:spacing w:val="-10"/>
          <w:sz w:val="20"/>
          <w:szCs w:val="20"/>
        </w:rPr>
        <w:t>we do not expect it to use its full capacity immediately after commenci</w:t>
      </w:r>
      <w:r>
        <w:rPr>
          <w:color w:val="57585A"/>
          <w:spacing w:val="-11"/>
          <w:sz w:val="20"/>
          <w:szCs w:val="20"/>
        </w:rPr>
        <w:t>ng operations.</w:t>
      </w:r>
      <w:r>
        <w:rPr>
          <w:color w:val="57585A"/>
          <w:spacing w:val="-16"/>
          <w:sz w:val="20"/>
          <w:szCs w:val="20"/>
        </w:rPr>
        <w:t xml:space="preserve"> </w:t>
      </w:r>
      <w:r>
        <w:rPr>
          <w:color w:val="57585A"/>
          <w:spacing w:val="-11"/>
          <w:sz w:val="20"/>
          <w:szCs w:val="20"/>
        </w:rPr>
        <w:t>Another small-scale project is</w:t>
      </w:r>
    </w:p>
    <w:p w14:paraId="122696BB">
      <w:pPr>
        <w:pStyle w:val="4"/>
        <w:spacing w:before="59" w:line="273" w:lineRule="auto"/>
        <w:ind w:left="359" w:right="500" w:firstLine="9"/>
        <w:rPr>
          <w:sz w:val="20"/>
          <w:szCs w:val="20"/>
        </w:rPr>
      </w:pPr>
      <w:r>
        <w:rPr>
          <w:color w:val="57585A"/>
          <w:spacing w:val="-11"/>
          <w:sz w:val="20"/>
          <w:szCs w:val="20"/>
        </w:rPr>
        <w:t>considered by Tecpetrol, however there have been li</w:t>
      </w:r>
      <w:r>
        <w:rPr>
          <w:color w:val="57585A"/>
          <w:spacing w:val="-12"/>
          <w:sz w:val="20"/>
          <w:szCs w:val="20"/>
        </w:rPr>
        <w:t>mited updates on this one. We note that both projects are in the pre-FID stage</w:t>
      </w:r>
      <w:r>
        <w:rPr>
          <w:color w:val="57585A"/>
          <w:sz w:val="20"/>
          <w:szCs w:val="20"/>
        </w:rPr>
        <w:t xml:space="preserve"> </w:t>
      </w:r>
      <w:r>
        <w:rPr>
          <w:color w:val="57585A"/>
          <w:spacing w:val="-11"/>
          <w:sz w:val="20"/>
          <w:szCs w:val="20"/>
        </w:rPr>
        <w:t>which raises some downside risk</w:t>
      </w:r>
      <w:r>
        <w:rPr>
          <w:color w:val="57585A"/>
          <w:spacing w:val="-12"/>
          <w:sz w:val="20"/>
          <w:szCs w:val="20"/>
        </w:rPr>
        <w:t>s to our long-term LNG export forecast.</w:t>
      </w:r>
    </w:p>
    <w:p w14:paraId="6EDD0558">
      <w:pPr>
        <w:spacing w:line="273" w:lineRule="auto"/>
        <w:rPr>
          <w:sz w:val="20"/>
          <w:szCs w:val="20"/>
        </w:rPr>
        <w:sectPr>
          <w:footerReference r:id="rId26" w:type="default"/>
          <w:pgSz w:w="11906" w:h="16838"/>
          <w:pgMar w:top="400" w:right="490" w:bottom="883" w:left="490" w:header="0" w:footer="0" w:gutter="0"/>
          <w:cols w:space="720" w:num="1"/>
        </w:sectPr>
      </w:pPr>
    </w:p>
    <w:p w14:paraId="2595817D">
      <w:pPr>
        <w:pStyle w:val="4"/>
        <w:spacing w:before="73" w:line="241" w:lineRule="auto"/>
        <w:ind w:left="7372"/>
        <w:rPr>
          <w:sz w:val="20"/>
          <w:szCs w:val="20"/>
        </w:rPr>
      </w:pPr>
      <w:r>
        <w:drawing>
          <wp:anchor distT="0" distB="0" distL="0" distR="0" simplePos="0" relativeHeight="25175142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52448" behindDoc="0" locked="0" layoutInCell="0" allowOverlap="1">
            <wp:simplePos x="0" y="0"/>
            <wp:positionH relativeFrom="page">
              <wp:posOffset>311150</wp:posOffset>
            </wp:positionH>
            <wp:positionV relativeFrom="page">
              <wp:posOffset>0</wp:posOffset>
            </wp:positionV>
            <wp:extent cx="19050" cy="814070"/>
            <wp:effectExtent l="0" t="0" r="0" b="0"/>
            <wp:wrapNone/>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A838F13">
      <w:pPr>
        <w:pStyle w:val="4"/>
        <w:spacing w:line="278" w:lineRule="auto"/>
      </w:pPr>
    </w:p>
    <w:p w14:paraId="23372E5D">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4457C1D">
      <w:pPr>
        <w:pStyle w:val="4"/>
        <w:spacing w:line="470" w:lineRule="auto"/>
      </w:pPr>
    </w:p>
    <w:p w14:paraId="4192F5E3">
      <w:pPr>
        <w:pStyle w:val="4"/>
        <w:spacing w:before="58" w:line="273" w:lineRule="auto"/>
        <w:ind w:left="370" w:right="525" w:hanging="11"/>
        <w:rPr>
          <w:sz w:val="20"/>
          <w:szCs w:val="20"/>
        </w:rPr>
      </w:pPr>
      <w:r>
        <w:rPr>
          <w:color w:val="57585A"/>
          <w:spacing w:val="-10"/>
          <w:sz w:val="20"/>
          <w:szCs w:val="20"/>
        </w:rPr>
        <w:t>At the same time,</w:t>
      </w:r>
      <w:r>
        <w:rPr>
          <w:color w:val="57585A"/>
          <w:spacing w:val="-16"/>
          <w:sz w:val="20"/>
          <w:szCs w:val="20"/>
        </w:rPr>
        <w:t xml:space="preserve"> </w:t>
      </w:r>
      <w:r>
        <w:rPr>
          <w:color w:val="57585A"/>
          <w:spacing w:val="-10"/>
          <w:sz w:val="20"/>
          <w:szCs w:val="20"/>
        </w:rPr>
        <w:t>we highlight upside risks to our</w:t>
      </w:r>
      <w:r>
        <w:rPr>
          <w:color w:val="57585A"/>
          <w:spacing w:val="-11"/>
          <w:sz w:val="20"/>
          <w:szCs w:val="20"/>
        </w:rPr>
        <w:t xml:space="preserve"> long-term outlook for</w:t>
      </w:r>
      <w:r>
        <w:rPr>
          <w:color w:val="57585A"/>
          <w:spacing w:val="-16"/>
          <w:sz w:val="20"/>
          <w:szCs w:val="20"/>
        </w:rPr>
        <w:t xml:space="preserve"> </w:t>
      </w:r>
      <w:r>
        <w:rPr>
          <w:color w:val="57585A"/>
          <w:spacing w:val="-11"/>
          <w:sz w:val="20"/>
          <w:szCs w:val="20"/>
        </w:rPr>
        <w:t>Argentina’s gas production and net exports. Media reports</w:t>
      </w:r>
      <w:r>
        <w:rPr>
          <w:color w:val="57585A"/>
          <w:sz w:val="20"/>
          <w:szCs w:val="20"/>
        </w:rPr>
        <w:t xml:space="preserve"> </w:t>
      </w:r>
      <w:r>
        <w:rPr>
          <w:color w:val="57585A"/>
          <w:spacing w:val="-12"/>
          <w:sz w:val="20"/>
          <w:szCs w:val="20"/>
        </w:rPr>
        <w:t>indicated some progress in talks about a large-scale LNG export facility</w:t>
      </w:r>
      <w:r>
        <w:rPr>
          <w:color w:val="57585A"/>
          <w:spacing w:val="-13"/>
          <w:sz w:val="20"/>
          <w:szCs w:val="20"/>
        </w:rPr>
        <w:t xml:space="preserve"> between YPF and Shell, after the Malaysian state-led</w:t>
      </w:r>
    </w:p>
    <w:p w14:paraId="1662F4C2">
      <w:pPr>
        <w:pStyle w:val="4"/>
        <w:spacing w:before="36" w:line="273" w:lineRule="auto"/>
        <w:ind w:left="369" w:right="594" w:firstLine="6"/>
        <w:rPr>
          <w:sz w:val="20"/>
          <w:szCs w:val="20"/>
        </w:rPr>
      </w:pPr>
      <w:r>
        <w:rPr>
          <w:color w:val="57585A"/>
          <w:spacing w:val="-11"/>
          <w:sz w:val="20"/>
          <w:szCs w:val="20"/>
        </w:rPr>
        <w:t>Petronas decided to step away from</w:t>
      </w:r>
      <w:r>
        <w:rPr>
          <w:color w:val="57585A"/>
          <w:spacing w:val="-3"/>
          <w:sz w:val="20"/>
          <w:szCs w:val="20"/>
        </w:rPr>
        <w:t xml:space="preserve"> </w:t>
      </w:r>
      <w:r>
        <w:rPr>
          <w:color w:val="57585A"/>
          <w:spacing w:val="-11"/>
          <w:sz w:val="20"/>
          <w:szCs w:val="20"/>
        </w:rPr>
        <w:t>this initiative.</w:t>
      </w:r>
      <w:r>
        <w:rPr>
          <w:color w:val="57585A"/>
          <w:spacing w:val="-16"/>
          <w:sz w:val="20"/>
          <w:szCs w:val="20"/>
        </w:rPr>
        <w:t xml:space="preserve"> </w:t>
      </w:r>
      <w:r>
        <w:rPr>
          <w:color w:val="57585A"/>
          <w:spacing w:val="-11"/>
          <w:sz w:val="20"/>
          <w:szCs w:val="20"/>
        </w:rPr>
        <w:t>Argentina’s NOC and Shell</w:t>
      </w:r>
      <w:r>
        <w:rPr>
          <w:color w:val="57585A"/>
          <w:spacing w:val="-15"/>
          <w:sz w:val="20"/>
          <w:szCs w:val="20"/>
        </w:rPr>
        <w:t xml:space="preserve"> </w:t>
      </w:r>
      <w:r>
        <w:rPr>
          <w:color w:val="57585A"/>
          <w:spacing w:val="-11"/>
          <w:sz w:val="20"/>
          <w:szCs w:val="20"/>
        </w:rPr>
        <w:t>will now collaborate to push the project to the front-</w:t>
      </w:r>
      <w:r>
        <w:rPr>
          <w:color w:val="57585A"/>
          <w:sz w:val="20"/>
          <w:szCs w:val="20"/>
        </w:rPr>
        <w:t xml:space="preserve"> </w:t>
      </w:r>
      <w:r>
        <w:rPr>
          <w:color w:val="57585A"/>
          <w:spacing w:val="-10"/>
          <w:sz w:val="20"/>
          <w:szCs w:val="20"/>
        </w:rPr>
        <w:t>end engineering design stage. In the initial pha</w:t>
      </w:r>
      <w:r>
        <w:rPr>
          <w:color w:val="57585A"/>
          <w:spacing w:val="-11"/>
          <w:sz w:val="20"/>
          <w:szCs w:val="20"/>
        </w:rPr>
        <w:t>se, this project</w:t>
      </w:r>
      <w:r>
        <w:rPr>
          <w:color w:val="57585A"/>
          <w:spacing w:val="-15"/>
          <w:sz w:val="20"/>
          <w:szCs w:val="20"/>
        </w:rPr>
        <w:t xml:space="preserve"> </w:t>
      </w:r>
      <w:r>
        <w:rPr>
          <w:color w:val="57585A"/>
          <w:spacing w:val="-11"/>
          <w:sz w:val="20"/>
          <w:szCs w:val="20"/>
        </w:rPr>
        <w:t>would allow the export of up to 10bcm of LNG,</w:t>
      </w:r>
      <w:r>
        <w:rPr>
          <w:color w:val="57585A"/>
          <w:spacing w:val="-16"/>
          <w:sz w:val="20"/>
          <w:szCs w:val="20"/>
        </w:rPr>
        <w:t xml:space="preserve"> </w:t>
      </w:r>
      <w:r>
        <w:rPr>
          <w:color w:val="57585A"/>
          <w:spacing w:val="-11"/>
          <w:sz w:val="20"/>
          <w:szCs w:val="20"/>
        </w:rPr>
        <w:t>which constitutes</w:t>
      </w:r>
    </w:p>
    <w:p w14:paraId="3193B176">
      <w:pPr>
        <w:pStyle w:val="4"/>
        <w:spacing w:before="36" w:line="294" w:lineRule="auto"/>
        <w:ind w:left="373" w:right="568"/>
        <w:rPr>
          <w:sz w:val="20"/>
          <w:szCs w:val="20"/>
        </w:rPr>
      </w:pPr>
      <w:r>
        <w:rPr>
          <w:color w:val="57585A"/>
          <w:spacing w:val="-10"/>
          <w:sz w:val="20"/>
          <w:szCs w:val="20"/>
        </w:rPr>
        <w:t>material upside risk to our long-term LNG net export and gas producti</w:t>
      </w:r>
      <w:r>
        <w:rPr>
          <w:color w:val="57585A"/>
          <w:spacing w:val="-11"/>
          <w:sz w:val="20"/>
          <w:szCs w:val="20"/>
        </w:rPr>
        <w:t>on forecast for</w:t>
      </w:r>
      <w:r>
        <w:rPr>
          <w:color w:val="57585A"/>
          <w:spacing w:val="-15"/>
          <w:sz w:val="20"/>
          <w:szCs w:val="20"/>
        </w:rPr>
        <w:t xml:space="preserve"> </w:t>
      </w:r>
      <w:r>
        <w:rPr>
          <w:color w:val="57585A"/>
          <w:spacing w:val="-11"/>
          <w:sz w:val="20"/>
          <w:szCs w:val="20"/>
        </w:rPr>
        <w:t>Argentina, should it be completed</w:t>
      </w:r>
      <w:r>
        <w:rPr>
          <w:color w:val="57585A"/>
          <w:spacing w:val="-16"/>
          <w:sz w:val="20"/>
          <w:szCs w:val="20"/>
        </w:rPr>
        <w:t xml:space="preserve"> </w:t>
      </w:r>
      <w:r>
        <w:rPr>
          <w:color w:val="57585A"/>
          <w:spacing w:val="-11"/>
          <w:sz w:val="20"/>
          <w:szCs w:val="20"/>
        </w:rPr>
        <w:t>within the</w:t>
      </w:r>
      <w:r>
        <w:rPr>
          <w:color w:val="57585A"/>
          <w:sz w:val="20"/>
          <w:szCs w:val="20"/>
        </w:rPr>
        <w:t xml:space="preserve"> </w:t>
      </w:r>
      <w:r>
        <w:rPr>
          <w:color w:val="57585A"/>
          <w:spacing w:val="-13"/>
          <w:sz w:val="20"/>
          <w:szCs w:val="20"/>
        </w:rPr>
        <w:t>next decade.</w:t>
      </w:r>
    </w:p>
    <w:p w14:paraId="5D5E3035">
      <w:pPr>
        <w:pStyle w:val="4"/>
        <w:spacing w:before="285" w:line="231" w:lineRule="auto"/>
        <w:ind w:left="361"/>
        <w:rPr>
          <w:sz w:val="20"/>
          <w:szCs w:val="20"/>
        </w:rPr>
      </w:pPr>
      <w:r>
        <w:rPr>
          <w:color w:val="57585A"/>
          <w:spacing w:val="-11"/>
          <w:sz w:val="20"/>
          <w:szCs w:val="20"/>
        </w:rPr>
        <w:t>We note that the supportive stance towards</w:t>
      </w:r>
      <w:r>
        <w:rPr>
          <w:color w:val="57585A"/>
          <w:spacing w:val="-12"/>
          <w:sz w:val="20"/>
          <w:szCs w:val="20"/>
        </w:rPr>
        <w:t xml:space="preserve"> </w:t>
      </w:r>
      <w:r>
        <w:rPr>
          <w:color w:val="57585A"/>
          <w:spacing w:val="-11"/>
          <w:sz w:val="20"/>
          <w:szCs w:val="20"/>
        </w:rPr>
        <w:t>the oil and gas industry expressed by the current government of</w:t>
      </w:r>
      <w:r>
        <w:rPr>
          <w:color w:val="57585A"/>
          <w:spacing w:val="-32"/>
          <w:sz w:val="20"/>
          <w:szCs w:val="20"/>
        </w:rPr>
        <w:t xml:space="preserve"> </w:t>
      </w:r>
      <w:r>
        <w:rPr>
          <w:color w:val="57585A"/>
          <w:spacing w:val="-11"/>
          <w:sz w:val="20"/>
          <w:szCs w:val="20"/>
        </w:rPr>
        <w:t>Javier</w:t>
      </w:r>
      <w:r>
        <w:rPr>
          <w:color w:val="57585A"/>
          <w:spacing w:val="-12"/>
          <w:sz w:val="20"/>
          <w:szCs w:val="20"/>
        </w:rPr>
        <w:t xml:space="preserve"> Milei in</w:t>
      </w:r>
    </w:p>
    <w:p w14:paraId="5734FFD9">
      <w:pPr>
        <w:pStyle w:val="4"/>
        <w:spacing w:before="58" w:line="273" w:lineRule="auto"/>
        <w:ind w:left="368" w:right="511" w:hanging="9"/>
        <w:rPr>
          <w:sz w:val="20"/>
          <w:szCs w:val="20"/>
        </w:rPr>
      </w:pPr>
      <w:r>
        <w:rPr>
          <w:color w:val="57585A"/>
          <w:spacing w:val="-11"/>
          <w:sz w:val="20"/>
          <w:szCs w:val="20"/>
        </w:rPr>
        <w:t>Argentina limits downside risks to the forecasts, however,</w:t>
      </w:r>
      <w:r>
        <w:rPr>
          <w:color w:val="57585A"/>
          <w:spacing w:val="-15"/>
          <w:sz w:val="20"/>
          <w:szCs w:val="20"/>
        </w:rPr>
        <w:t xml:space="preserve"> </w:t>
      </w:r>
      <w:r>
        <w:rPr>
          <w:color w:val="57585A"/>
          <w:spacing w:val="-11"/>
          <w:sz w:val="20"/>
          <w:szCs w:val="20"/>
        </w:rPr>
        <w:t>we recognise some risks stemming from the lower oil price envi</w:t>
      </w:r>
      <w:r>
        <w:rPr>
          <w:color w:val="57585A"/>
          <w:spacing w:val="-12"/>
          <w:sz w:val="20"/>
          <w:szCs w:val="20"/>
        </w:rPr>
        <w:t>ronment</w:t>
      </w:r>
      <w:r>
        <w:rPr>
          <w:color w:val="57585A"/>
          <w:sz w:val="20"/>
          <w:szCs w:val="20"/>
        </w:rPr>
        <w:t xml:space="preserve"> </w:t>
      </w:r>
      <w:r>
        <w:rPr>
          <w:color w:val="57585A"/>
          <w:spacing w:val="-10"/>
          <w:sz w:val="20"/>
          <w:szCs w:val="20"/>
        </w:rPr>
        <w:t>expected for the next</w:t>
      </w:r>
      <w:r>
        <w:rPr>
          <w:color w:val="57585A"/>
          <w:spacing w:val="-16"/>
          <w:sz w:val="20"/>
          <w:szCs w:val="20"/>
        </w:rPr>
        <w:t xml:space="preserve"> </w:t>
      </w:r>
      <w:r>
        <w:rPr>
          <w:color w:val="57585A"/>
          <w:spacing w:val="-10"/>
          <w:sz w:val="20"/>
          <w:szCs w:val="20"/>
        </w:rPr>
        <w:t>yea</w:t>
      </w:r>
      <w:r>
        <w:rPr>
          <w:color w:val="57585A"/>
          <w:spacing w:val="-11"/>
          <w:sz w:val="20"/>
          <w:szCs w:val="20"/>
        </w:rPr>
        <w:t>rs</w:t>
      </w:r>
      <w:r>
        <w:rPr>
          <w:color w:val="57585A"/>
          <w:spacing w:val="-15"/>
          <w:sz w:val="20"/>
          <w:szCs w:val="20"/>
        </w:rPr>
        <w:t xml:space="preserve"> </w:t>
      </w:r>
      <w:r>
        <w:rPr>
          <w:color w:val="57585A"/>
          <w:spacing w:val="-11"/>
          <w:sz w:val="20"/>
          <w:szCs w:val="20"/>
        </w:rPr>
        <w:t>which could</w:t>
      </w:r>
      <w:r>
        <w:rPr>
          <w:color w:val="57585A"/>
          <w:spacing w:val="-16"/>
          <w:sz w:val="20"/>
          <w:szCs w:val="20"/>
        </w:rPr>
        <w:t xml:space="preserve"> </w:t>
      </w:r>
      <w:r>
        <w:rPr>
          <w:color w:val="57585A"/>
          <w:spacing w:val="-11"/>
          <w:sz w:val="20"/>
          <w:szCs w:val="20"/>
        </w:rPr>
        <w:t>weaken the upstream and midstream investor sentiment globally.</w:t>
      </w:r>
    </w:p>
    <w:p w14:paraId="5F19CC6A">
      <w:pPr>
        <w:pStyle w:val="4"/>
        <w:spacing w:line="295" w:lineRule="auto"/>
      </w:pPr>
    </w:p>
    <w:p w14:paraId="4A800628">
      <w:pPr>
        <w:pStyle w:val="4"/>
        <w:spacing w:line="295" w:lineRule="auto"/>
      </w:pPr>
    </w:p>
    <w:p w14:paraId="0C24BA6B">
      <w:pPr>
        <w:pStyle w:val="4"/>
        <w:spacing w:before="70" w:line="234" w:lineRule="auto"/>
        <w:ind w:left="2662"/>
        <w:outlineLvl w:val="1"/>
        <w:rPr>
          <w:sz w:val="24"/>
          <w:szCs w:val="24"/>
        </w:rPr>
      </w:pPr>
      <w:r>
        <w:rPr>
          <w:color w:val="174174"/>
          <w:spacing w:val="-10"/>
          <w:sz w:val="24"/>
          <w:szCs w:val="24"/>
        </w:rPr>
        <w:t>Gas Production Growth Hinges O</w:t>
      </w:r>
      <w:r>
        <w:rPr>
          <w:color w:val="174174"/>
          <w:spacing w:val="-11"/>
          <w:sz w:val="24"/>
          <w:szCs w:val="24"/>
        </w:rPr>
        <w:t>n Infrastructure Progress</w:t>
      </w:r>
    </w:p>
    <w:p w14:paraId="1E1FA558">
      <w:pPr>
        <w:pStyle w:val="4"/>
        <w:spacing w:before="33" w:line="231" w:lineRule="auto"/>
        <w:ind w:left="3550"/>
        <w:outlineLvl w:val="1"/>
        <w:rPr>
          <w:sz w:val="20"/>
          <w:szCs w:val="20"/>
        </w:rPr>
      </w:pPr>
      <w:r>
        <w:rPr>
          <w:color w:val="333333"/>
          <w:spacing w:val="-12"/>
          <w:sz w:val="20"/>
          <w:szCs w:val="20"/>
        </w:rPr>
        <w:t>Argentina - Gas Production Forecast (2023-2034)</w:t>
      </w:r>
    </w:p>
    <w:p w14:paraId="02D203E8">
      <w:pPr>
        <w:spacing w:before="96" w:line="4500" w:lineRule="exact"/>
        <w:ind w:firstLine="1862"/>
      </w:pPr>
      <w:r>
        <w:rPr>
          <w:position w:val="-90"/>
        </w:rPr>
        <w:drawing>
          <wp:inline distT="0" distB="0" distL="0" distR="0">
            <wp:extent cx="4572000" cy="285750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20"/>
                    <a:stretch>
                      <a:fillRect/>
                    </a:stretch>
                  </pic:blipFill>
                  <pic:spPr>
                    <a:xfrm>
                      <a:off x="0" y="0"/>
                      <a:ext cx="4572000" cy="2857500"/>
                    </a:xfrm>
                    <a:prstGeom prst="rect">
                      <a:avLst/>
                    </a:prstGeom>
                  </pic:spPr>
                </pic:pic>
              </a:graphicData>
            </a:graphic>
          </wp:inline>
        </w:drawing>
      </w:r>
    </w:p>
    <w:p w14:paraId="74E2E41C">
      <w:pPr>
        <w:pStyle w:val="4"/>
        <w:spacing w:before="149" w:line="177" w:lineRule="exact"/>
        <w:ind w:left="1876"/>
        <w:rPr>
          <w:sz w:val="15"/>
          <w:szCs w:val="15"/>
        </w:rPr>
      </w:pPr>
      <w:r>
        <w:drawing>
          <wp:anchor distT="0" distB="0" distL="0" distR="0" simplePos="0" relativeHeight="251750400"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w:t>
      </w:r>
      <w:r>
        <w:rPr>
          <w:i/>
          <w:iCs/>
          <w:color w:val="333333"/>
          <w:spacing w:val="-4"/>
          <w:w w:val="92"/>
          <w:position w:val="1"/>
          <w:sz w:val="15"/>
          <w:szCs w:val="15"/>
        </w:rPr>
        <w:t>orecast. Source: EIA, BMI</w:t>
      </w:r>
    </w:p>
    <w:p w14:paraId="4B09176B">
      <w:pPr>
        <w:pStyle w:val="4"/>
        <w:spacing w:line="400" w:lineRule="auto"/>
      </w:pPr>
    </w:p>
    <w:p w14:paraId="40C7A1A3">
      <w:pPr>
        <w:pStyle w:val="4"/>
        <w:spacing w:before="58" w:line="187" w:lineRule="auto"/>
        <w:ind w:left="375"/>
        <w:rPr>
          <w:sz w:val="20"/>
          <w:szCs w:val="20"/>
        </w:rPr>
      </w:pPr>
      <w:r>
        <w:rPr>
          <w:b/>
          <w:bCs/>
          <w:color w:val="57585A"/>
          <w:spacing w:val="-12"/>
          <w:sz w:val="20"/>
          <w:szCs w:val="20"/>
        </w:rPr>
        <w:t>Risks</w:t>
      </w:r>
      <w:r>
        <w:rPr>
          <w:b/>
          <w:bCs/>
          <w:color w:val="57585A"/>
          <w:spacing w:val="-3"/>
          <w:sz w:val="20"/>
          <w:szCs w:val="20"/>
        </w:rPr>
        <w:t xml:space="preserve"> </w:t>
      </w:r>
      <w:r>
        <w:rPr>
          <w:b/>
          <w:bCs/>
          <w:color w:val="57585A"/>
          <w:spacing w:val="-12"/>
          <w:sz w:val="20"/>
          <w:szCs w:val="20"/>
        </w:rPr>
        <w:t>To Outlook</w:t>
      </w:r>
    </w:p>
    <w:p w14:paraId="3881DA80">
      <w:pPr>
        <w:pStyle w:val="4"/>
        <w:spacing w:line="286" w:lineRule="auto"/>
      </w:pPr>
    </w:p>
    <w:p w14:paraId="2AFA7E72">
      <w:pPr>
        <w:pStyle w:val="4"/>
        <w:spacing w:before="59" w:line="273" w:lineRule="auto"/>
        <w:ind w:left="372" w:right="409" w:hanging="12"/>
        <w:rPr>
          <w:sz w:val="20"/>
          <w:szCs w:val="20"/>
        </w:rPr>
      </w:pPr>
      <w:r>
        <w:rPr>
          <w:color w:val="57585A"/>
          <w:spacing w:val="-10"/>
          <w:sz w:val="20"/>
          <w:szCs w:val="20"/>
        </w:rPr>
        <w:t>The key risks to</w:t>
      </w:r>
      <w:r>
        <w:rPr>
          <w:color w:val="57585A"/>
          <w:spacing w:val="-16"/>
          <w:sz w:val="20"/>
          <w:szCs w:val="20"/>
        </w:rPr>
        <w:t xml:space="preserve"> </w:t>
      </w:r>
      <w:r>
        <w:rPr>
          <w:color w:val="57585A"/>
          <w:spacing w:val="-10"/>
          <w:sz w:val="20"/>
          <w:szCs w:val="20"/>
        </w:rPr>
        <w:t>Argentina'</w:t>
      </w:r>
      <w:r>
        <w:rPr>
          <w:color w:val="57585A"/>
          <w:spacing w:val="-11"/>
          <w:sz w:val="20"/>
          <w:szCs w:val="20"/>
        </w:rPr>
        <w:t>s shale sector are political uncertainty, macroeconomic instability and commodity price</w:t>
      </w:r>
      <w:r>
        <w:rPr>
          <w:color w:val="57585A"/>
          <w:spacing w:val="-15"/>
          <w:sz w:val="20"/>
          <w:szCs w:val="20"/>
        </w:rPr>
        <w:t xml:space="preserve"> </w:t>
      </w:r>
      <w:r>
        <w:rPr>
          <w:color w:val="57585A"/>
          <w:spacing w:val="-11"/>
          <w:sz w:val="20"/>
          <w:szCs w:val="20"/>
        </w:rPr>
        <w:t>volatility. We note</w:t>
      </w:r>
      <w:r>
        <w:rPr>
          <w:color w:val="57585A"/>
          <w:sz w:val="20"/>
          <w:szCs w:val="20"/>
        </w:rPr>
        <w:t xml:space="preserve"> </w:t>
      </w:r>
      <w:r>
        <w:rPr>
          <w:color w:val="57585A"/>
          <w:spacing w:val="-11"/>
          <w:sz w:val="20"/>
          <w:szCs w:val="20"/>
        </w:rPr>
        <w:t>lingering above groun</w:t>
      </w:r>
      <w:r>
        <w:rPr>
          <w:color w:val="57585A"/>
          <w:spacing w:val="-12"/>
          <w:sz w:val="20"/>
          <w:szCs w:val="20"/>
        </w:rPr>
        <w:t>d risks</w:t>
      </w:r>
      <w:r>
        <w:rPr>
          <w:color w:val="57585A"/>
          <w:spacing w:val="-16"/>
          <w:sz w:val="20"/>
          <w:szCs w:val="20"/>
        </w:rPr>
        <w:t xml:space="preserve"> </w:t>
      </w:r>
      <w:r>
        <w:rPr>
          <w:color w:val="57585A"/>
          <w:spacing w:val="-12"/>
          <w:sz w:val="20"/>
          <w:szCs w:val="20"/>
        </w:rPr>
        <w:t>which could</w:t>
      </w:r>
      <w:r>
        <w:rPr>
          <w:color w:val="57585A"/>
          <w:spacing w:val="-15"/>
          <w:sz w:val="20"/>
          <w:szCs w:val="20"/>
        </w:rPr>
        <w:t xml:space="preserve"> </w:t>
      </w:r>
      <w:r>
        <w:rPr>
          <w:color w:val="57585A"/>
          <w:spacing w:val="-12"/>
          <w:sz w:val="20"/>
          <w:szCs w:val="20"/>
        </w:rPr>
        <w:t>weaken investor sentiment.</w:t>
      </w:r>
      <w:r>
        <w:rPr>
          <w:color w:val="57585A"/>
          <w:spacing w:val="-16"/>
          <w:sz w:val="20"/>
          <w:szCs w:val="20"/>
        </w:rPr>
        <w:t xml:space="preserve"> </w:t>
      </w:r>
      <w:r>
        <w:rPr>
          <w:color w:val="57585A"/>
          <w:spacing w:val="-12"/>
          <w:sz w:val="20"/>
          <w:szCs w:val="20"/>
        </w:rPr>
        <w:t>As expected, IOCs are ramping up shale production as they</w:t>
      </w:r>
    </w:p>
    <w:p w14:paraId="43584B18">
      <w:pPr>
        <w:pStyle w:val="4"/>
        <w:spacing w:before="36" w:line="273" w:lineRule="auto"/>
        <w:ind w:left="369" w:right="404" w:firstLine="4"/>
        <w:rPr>
          <w:sz w:val="20"/>
          <w:szCs w:val="20"/>
        </w:rPr>
      </w:pPr>
      <w:r>
        <w:rPr>
          <w:color w:val="57585A"/>
          <w:spacing w:val="-11"/>
          <w:sz w:val="20"/>
          <w:szCs w:val="20"/>
        </w:rPr>
        <w:t>benefit from increased midstream capacity and favourable bu</w:t>
      </w:r>
      <w:r>
        <w:rPr>
          <w:color w:val="57585A"/>
          <w:spacing w:val="-12"/>
          <w:sz w:val="20"/>
          <w:szCs w:val="20"/>
        </w:rPr>
        <w:t>siness environment, facilitated by President</w:t>
      </w:r>
      <w:r>
        <w:rPr>
          <w:color w:val="57585A"/>
          <w:spacing w:val="-23"/>
          <w:sz w:val="20"/>
          <w:szCs w:val="20"/>
        </w:rPr>
        <w:t xml:space="preserve"> </w:t>
      </w:r>
      <w:r>
        <w:rPr>
          <w:color w:val="57585A"/>
          <w:spacing w:val="-12"/>
          <w:sz w:val="20"/>
          <w:szCs w:val="20"/>
        </w:rPr>
        <w:t>Javier Milei,</w:t>
      </w:r>
      <w:r>
        <w:rPr>
          <w:color w:val="57585A"/>
          <w:spacing w:val="-16"/>
          <w:sz w:val="20"/>
          <w:szCs w:val="20"/>
        </w:rPr>
        <w:t xml:space="preserve"> </w:t>
      </w:r>
      <w:r>
        <w:rPr>
          <w:color w:val="57585A"/>
          <w:spacing w:val="-12"/>
          <w:sz w:val="20"/>
          <w:szCs w:val="20"/>
        </w:rPr>
        <w:t>who took over</w:t>
      </w:r>
      <w:r>
        <w:rPr>
          <w:color w:val="57585A"/>
          <w:sz w:val="20"/>
          <w:szCs w:val="20"/>
        </w:rPr>
        <w:t xml:space="preserve"> </w:t>
      </w:r>
      <w:r>
        <w:rPr>
          <w:color w:val="57585A"/>
          <w:spacing w:val="-11"/>
          <w:sz w:val="20"/>
          <w:szCs w:val="20"/>
        </w:rPr>
        <w:t>office in</w:t>
      </w:r>
      <w:r>
        <w:rPr>
          <w:color w:val="57585A"/>
          <w:spacing w:val="-23"/>
          <w:sz w:val="20"/>
          <w:szCs w:val="20"/>
        </w:rPr>
        <w:t xml:space="preserve"> </w:t>
      </w:r>
      <w:r>
        <w:rPr>
          <w:color w:val="57585A"/>
          <w:spacing w:val="-11"/>
          <w:sz w:val="20"/>
          <w:szCs w:val="20"/>
        </w:rPr>
        <w:t>January 2024. However,</w:t>
      </w:r>
      <w:r>
        <w:rPr>
          <w:color w:val="57585A"/>
          <w:spacing w:val="-16"/>
          <w:sz w:val="20"/>
          <w:szCs w:val="20"/>
        </w:rPr>
        <w:t xml:space="preserve"> </w:t>
      </w:r>
      <w:r>
        <w:rPr>
          <w:color w:val="57585A"/>
          <w:spacing w:val="-11"/>
          <w:sz w:val="20"/>
          <w:szCs w:val="20"/>
        </w:rPr>
        <w:t>we note that some above ground challenges continue to</w:t>
      </w:r>
      <w:r>
        <w:rPr>
          <w:color w:val="57585A"/>
          <w:spacing w:val="-15"/>
          <w:sz w:val="20"/>
          <w:szCs w:val="20"/>
        </w:rPr>
        <w:t xml:space="preserve"> </w:t>
      </w:r>
      <w:r>
        <w:rPr>
          <w:color w:val="57585A"/>
          <w:spacing w:val="-11"/>
          <w:sz w:val="20"/>
          <w:szCs w:val="20"/>
        </w:rPr>
        <w:t>weaken the sentime</w:t>
      </w:r>
      <w:r>
        <w:rPr>
          <w:color w:val="57585A"/>
          <w:spacing w:val="-12"/>
          <w:sz w:val="20"/>
          <w:szCs w:val="20"/>
        </w:rPr>
        <w:t>nt and could</w:t>
      </w:r>
    </w:p>
    <w:p w14:paraId="01B20940">
      <w:pPr>
        <w:pStyle w:val="4"/>
        <w:spacing w:before="37" w:line="231" w:lineRule="auto"/>
        <w:ind w:left="367"/>
        <w:rPr>
          <w:sz w:val="20"/>
          <w:szCs w:val="20"/>
        </w:rPr>
      </w:pPr>
      <w:r>
        <w:rPr>
          <w:color w:val="57585A"/>
          <w:spacing w:val="-11"/>
          <w:sz w:val="20"/>
          <w:szCs w:val="20"/>
        </w:rPr>
        <w:t>adversely impact future oil and gas upstream investment.</w:t>
      </w:r>
    </w:p>
    <w:p w14:paraId="1D8EDD03">
      <w:pPr>
        <w:pStyle w:val="4"/>
        <w:spacing w:line="287" w:lineRule="auto"/>
      </w:pPr>
    </w:p>
    <w:p w14:paraId="152D8888">
      <w:pPr>
        <w:pStyle w:val="4"/>
        <w:spacing w:before="58" w:line="273" w:lineRule="auto"/>
        <w:ind w:left="362" w:right="440" w:hanging="3"/>
        <w:rPr>
          <w:sz w:val="20"/>
          <w:szCs w:val="20"/>
        </w:rPr>
      </w:pPr>
      <w:r>
        <w:rPr>
          <w:color w:val="57585A"/>
          <w:spacing w:val="-10"/>
          <w:sz w:val="20"/>
          <w:szCs w:val="20"/>
        </w:rPr>
        <w:t>Although</w:t>
      </w:r>
      <w:r>
        <w:rPr>
          <w:color w:val="57585A"/>
          <w:spacing w:val="-15"/>
          <w:sz w:val="20"/>
          <w:szCs w:val="20"/>
        </w:rPr>
        <w:t xml:space="preserve"> </w:t>
      </w:r>
      <w:r>
        <w:rPr>
          <w:color w:val="57585A"/>
          <w:spacing w:val="-10"/>
          <w:sz w:val="20"/>
          <w:szCs w:val="20"/>
        </w:rPr>
        <w:t>we remain bullish in our outlook on oil and gas sector investment in</w:t>
      </w:r>
      <w:r>
        <w:rPr>
          <w:color w:val="57585A"/>
          <w:spacing w:val="-16"/>
          <w:sz w:val="20"/>
          <w:szCs w:val="20"/>
        </w:rPr>
        <w:t xml:space="preserve"> </w:t>
      </w:r>
      <w:r>
        <w:rPr>
          <w:color w:val="57585A"/>
          <w:spacing w:val="-10"/>
          <w:sz w:val="20"/>
          <w:szCs w:val="20"/>
        </w:rPr>
        <w:t>Argentina,</w:t>
      </w:r>
      <w:r>
        <w:rPr>
          <w:color w:val="57585A"/>
          <w:spacing w:val="-15"/>
          <w:sz w:val="20"/>
          <w:szCs w:val="20"/>
        </w:rPr>
        <w:t xml:space="preserve"> </w:t>
      </w:r>
      <w:r>
        <w:rPr>
          <w:color w:val="57585A"/>
          <w:spacing w:val="-10"/>
          <w:sz w:val="20"/>
          <w:szCs w:val="20"/>
        </w:rPr>
        <w:t>we note</w:t>
      </w:r>
      <w:r>
        <w:rPr>
          <w:color w:val="57585A"/>
          <w:spacing w:val="-11"/>
          <w:sz w:val="20"/>
          <w:szCs w:val="20"/>
        </w:rPr>
        <w:t xml:space="preserve"> that above-ground risks continue</w:t>
      </w:r>
      <w:r>
        <w:rPr>
          <w:color w:val="57585A"/>
          <w:sz w:val="20"/>
          <w:szCs w:val="20"/>
        </w:rPr>
        <w:t xml:space="preserve"> </w:t>
      </w:r>
      <w:r>
        <w:rPr>
          <w:color w:val="57585A"/>
          <w:spacing w:val="-11"/>
          <w:sz w:val="20"/>
          <w:szCs w:val="20"/>
        </w:rPr>
        <w:t xml:space="preserve">to hinder investment. For example, media reports indicated that Petronas raised some doubts about its investment </w:t>
      </w:r>
      <w:r>
        <w:rPr>
          <w:color w:val="57585A"/>
          <w:spacing w:val="-12"/>
          <w:sz w:val="20"/>
          <w:szCs w:val="20"/>
        </w:rPr>
        <w:t>in the</w:t>
      </w:r>
      <w:r>
        <w:rPr>
          <w:color w:val="57585A"/>
          <w:spacing w:val="-1"/>
          <w:sz w:val="20"/>
          <w:szCs w:val="20"/>
        </w:rPr>
        <w:t xml:space="preserve"> </w:t>
      </w:r>
      <w:r>
        <w:rPr>
          <w:color w:val="57585A"/>
          <w:spacing w:val="-12"/>
          <w:sz w:val="20"/>
          <w:szCs w:val="20"/>
        </w:rPr>
        <w:t>largest</w:t>
      </w:r>
    </w:p>
    <w:p w14:paraId="11AECF4F">
      <w:pPr>
        <w:pStyle w:val="4"/>
        <w:spacing w:before="37" w:line="231" w:lineRule="auto"/>
        <w:ind w:left="366"/>
        <w:rPr>
          <w:sz w:val="20"/>
          <w:szCs w:val="20"/>
        </w:rPr>
      </w:pPr>
      <w:r>
        <w:rPr>
          <w:color w:val="57585A"/>
          <w:spacing w:val="-11"/>
          <w:sz w:val="20"/>
          <w:szCs w:val="20"/>
        </w:rPr>
        <w:t>scale LNG export terminal in</w:t>
      </w:r>
      <w:r>
        <w:rPr>
          <w:color w:val="57585A"/>
          <w:spacing w:val="-16"/>
          <w:sz w:val="20"/>
          <w:szCs w:val="20"/>
        </w:rPr>
        <w:t xml:space="preserve"> </w:t>
      </w:r>
      <w:r>
        <w:rPr>
          <w:color w:val="57585A"/>
          <w:spacing w:val="-11"/>
          <w:sz w:val="20"/>
          <w:szCs w:val="20"/>
        </w:rPr>
        <w:t>Argentina, a project planned initially</w:t>
      </w:r>
      <w:r>
        <w:rPr>
          <w:color w:val="57585A"/>
          <w:spacing w:val="-12"/>
          <w:sz w:val="20"/>
          <w:szCs w:val="20"/>
        </w:rPr>
        <w:t xml:space="preserve"> in cooperation</w:t>
      </w:r>
      <w:r>
        <w:rPr>
          <w:color w:val="57585A"/>
          <w:spacing w:val="-15"/>
          <w:sz w:val="20"/>
          <w:szCs w:val="20"/>
        </w:rPr>
        <w:t xml:space="preserve"> </w:t>
      </w:r>
      <w:r>
        <w:rPr>
          <w:color w:val="57585A"/>
          <w:spacing w:val="-12"/>
          <w:sz w:val="20"/>
          <w:szCs w:val="20"/>
        </w:rPr>
        <w:t>with state-led</w:t>
      </w:r>
      <w:r>
        <w:rPr>
          <w:color w:val="57585A"/>
          <w:spacing w:val="-16"/>
          <w:sz w:val="20"/>
          <w:szCs w:val="20"/>
        </w:rPr>
        <w:t xml:space="preserve"> </w:t>
      </w:r>
      <w:r>
        <w:rPr>
          <w:color w:val="57585A"/>
          <w:spacing w:val="-12"/>
          <w:sz w:val="20"/>
          <w:szCs w:val="20"/>
        </w:rPr>
        <w:t>YPF. The decision has not been</w:t>
      </w:r>
    </w:p>
    <w:p w14:paraId="40B86425">
      <w:pPr>
        <w:pStyle w:val="4"/>
        <w:spacing w:before="59" w:line="273" w:lineRule="auto"/>
        <w:ind w:left="371" w:right="559" w:hanging="4"/>
        <w:rPr>
          <w:sz w:val="20"/>
          <w:szCs w:val="20"/>
        </w:rPr>
      </w:pPr>
      <w:r>
        <w:rPr>
          <w:color w:val="57585A"/>
          <w:spacing w:val="-11"/>
          <w:sz w:val="20"/>
          <w:szCs w:val="20"/>
        </w:rPr>
        <w:t>approved</w:t>
      </w:r>
      <w:r>
        <w:rPr>
          <w:color w:val="57585A"/>
          <w:spacing w:val="-15"/>
          <w:sz w:val="20"/>
          <w:szCs w:val="20"/>
        </w:rPr>
        <w:t xml:space="preserve"> </w:t>
      </w:r>
      <w:r>
        <w:rPr>
          <w:color w:val="57585A"/>
          <w:spacing w:val="-11"/>
          <w:sz w:val="20"/>
          <w:szCs w:val="20"/>
        </w:rPr>
        <w:t>yet, and the company is</w:t>
      </w:r>
      <w:r>
        <w:rPr>
          <w:color w:val="57585A"/>
          <w:spacing w:val="-16"/>
          <w:sz w:val="20"/>
          <w:szCs w:val="20"/>
        </w:rPr>
        <w:t xml:space="preserve"> </w:t>
      </w:r>
      <w:r>
        <w:rPr>
          <w:color w:val="57585A"/>
          <w:spacing w:val="-11"/>
          <w:sz w:val="20"/>
          <w:szCs w:val="20"/>
        </w:rPr>
        <w:t>yet to dec</w:t>
      </w:r>
      <w:r>
        <w:rPr>
          <w:color w:val="57585A"/>
          <w:spacing w:val="-12"/>
          <w:sz w:val="20"/>
          <w:szCs w:val="20"/>
        </w:rPr>
        <w:t>ide about FLNG design funding. We note however lingering risks to the hydrocarbons</w:t>
      </w:r>
      <w:r>
        <w:rPr>
          <w:color w:val="57585A"/>
          <w:sz w:val="20"/>
          <w:szCs w:val="20"/>
        </w:rPr>
        <w:t xml:space="preserve"> </w:t>
      </w:r>
      <w:r>
        <w:rPr>
          <w:color w:val="57585A"/>
          <w:spacing w:val="-10"/>
          <w:sz w:val="20"/>
          <w:szCs w:val="20"/>
        </w:rPr>
        <w:t>investments and infrastructure projects.</w:t>
      </w:r>
    </w:p>
    <w:p w14:paraId="27C8FD95">
      <w:pPr>
        <w:spacing w:line="273" w:lineRule="auto"/>
        <w:rPr>
          <w:sz w:val="20"/>
          <w:szCs w:val="20"/>
        </w:rPr>
        <w:sectPr>
          <w:footerReference r:id="rId27" w:type="default"/>
          <w:pgSz w:w="11906" w:h="16838"/>
          <w:pgMar w:top="400" w:right="490" w:bottom="883" w:left="490" w:header="0" w:footer="0" w:gutter="0"/>
          <w:cols w:space="720" w:num="1"/>
        </w:sectPr>
      </w:pPr>
    </w:p>
    <w:p w14:paraId="3DAAAFE8">
      <w:pPr>
        <w:pStyle w:val="4"/>
        <w:spacing w:before="73" w:line="241" w:lineRule="auto"/>
        <w:ind w:left="7372"/>
        <w:rPr>
          <w:sz w:val="20"/>
          <w:szCs w:val="20"/>
        </w:rPr>
      </w:pPr>
      <w:r>
        <w:drawing>
          <wp:anchor distT="0" distB="0" distL="0" distR="0" simplePos="0" relativeHeight="25175552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56544" behindDoc="0" locked="0" layoutInCell="0" allowOverlap="1">
            <wp:simplePos x="0" y="0"/>
            <wp:positionH relativeFrom="page">
              <wp:posOffset>311150</wp:posOffset>
            </wp:positionH>
            <wp:positionV relativeFrom="page">
              <wp:posOffset>0</wp:posOffset>
            </wp:positionV>
            <wp:extent cx="19050" cy="814070"/>
            <wp:effectExtent l="0" t="0" r="0" b="0"/>
            <wp:wrapNone/>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114A891">
      <w:pPr>
        <w:pStyle w:val="4"/>
        <w:spacing w:line="278" w:lineRule="auto"/>
      </w:pPr>
    </w:p>
    <w:p w14:paraId="48D32EB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C29124F">
      <w:pPr>
        <w:pStyle w:val="4"/>
      </w:pPr>
    </w:p>
    <w:p w14:paraId="5A02B05E">
      <w:pPr>
        <w:pStyle w:val="4"/>
      </w:pPr>
    </w:p>
    <w:p w14:paraId="597D3C13">
      <w:pPr>
        <w:pStyle w:val="4"/>
        <w:spacing w:before="69" w:line="234" w:lineRule="auto"/>
        <w:ind w:left="419"/>
        <w:outlineLvl w:val="1"/>
        <w:rPr>
          <w:sz w:val="24"/>
          <w:szCs w:val="24"/>
        </w:rPr>
      </w:pPr>
      <w:r>
        <w:rPr>
          <w:color w:val="174174"/>
          <w:spacing w:val="-9"/>
          <w:sz w:val="24"/>
          <w:szCs w:val="24"/>
        </w:rPr>
        <w:t>Gas Production (Argentina 2023</w:t>
      </w:r>
      <w:r>
        <w:rPr>
          <w:color w:val="174174"/>
          <w:spacing w:val="-10"/>
          <w:sz w:val="24"/>
          <w:szCs w:val="24"/>
        </w:rPr>
        <w:t>-2028)</w:t>
      </w:r>
    </w:p>
    <w:p w14:paraId="7725434A">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5460"/>
        <w:gridCol w:w="761"/>
        <w:gridCol w:w="815"/>
        <w:gridCol w:w="792"/>
        <w:gridCol w:w="792"/>
        <w:gridCol w:w="792"/>
        <w:gridCol w:w="792"/>
      </w:tblGrid>
      <w:tr w14:paraId="227ACB23">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5460" w:type="dxa"/>
            <w:tcBorders>
              <w:left w:val="nil"/>
            </w:tcBorders>
            <w:vAlign w:val="top"/>
          </w:tcPr>
          <w:p w14:paraId="40D8D552">
            <w:pPr>
              <w:pStyle w:val="8"/>
              <w:spacing w:before="75" w:line="243" w:lineRule="exact"/>
              <w:ind w:left="13"/>
            </w:pPr>
            <w:r>
              <w:rPr>
                <w:b/>
                <w:bCs/>
                <w:color w:val="5F6A72"/>
                <w:spacing w:val="-6"/>
                <w:position w:val="1"/>
              </w:rPr>
              <w:t>Indicator</w:t>
            </w:r>
          </w:p>
        </w:tc>
        <w:tc>
          <w:tcPr>
            <w:tcW w:w="761" w:type="dxa"/>
            <w:tcBorders>
              <w:right w:val="nil"/>
            </w:tcBorders>
            <w:vAlign w:val="top"/>
          </w:tcPr>
          <w:p w14:paraId="5EFCBCE7">
            <w:pPr>
              <w:pStyle w:val="8"/>
              <w:spacing w:before="75" w:line="243" w:lineRule="exact"/>
              <w:ind w:left="270"/>
            </w:pPr>
            <w:r>
              <w:rPr>
                <w:b/>
                <w:bCs/>
                <w:color w:val="5F6A72"/>
                <w:spacing w:val="-4"/>
                <w:position w:val="1"/>
              </w:rPr>
              <w:t>2023</w:t>
            </w:r>
          </w:p>
        </w:tc>
        <w:tc>
          <w:tcPr>
            <w:tcW w:w="815" w:type="dxa"/>
            <w:tcBorders>
              <w:left w:val="nil"/>
              <w:right w:val="nil"/>
            </w:tcBorders>
            <w:vAlign w:val="top"/>
          </w:tcPr>
          <w:p w14:paraId="36C28825">
            <w:pPr>
              <w:pStyle w:val="8"/>
              <w:spacing w:before="75" w:line="243" w:lineRule="exact"/>
              <w:ind w:left="259"/>
            </w:pPr>
            <w:r>
              <w:rPr>
                <w:b/>
                <w:bCs/>
                <w:color w:val="5F6A72"/>
                <w:spacing w:val="-4"/>
                <w:position w:val="1"/>
              </w:rPr>
              <w:t>2024e</w:t>
            </w:r>
          </w:p>
        </w:tc>
        <w:tc>
          <w:tcPr>
            <w:tcW w:w="792" w:type="dxa"/>
            <w:tcBorders>
              <w:left w:val="nil"/>
              <w:right w:val="nil"/>
            </w:tcBorders>
            <w:vAlign w:val="top"/>
          </w:tcPr>
          <w:p w14:paraId="19A365D0">
            <w:pPr>
              <w:pStyle w:val="8"/>
              <w:spacing w:before="75" w:line="243" w:lineRule="exact"/>
              <w:ind w:left="272"/>
            </w:pPr>
            <w:r>
              <w:rPr>
                <w:b/>
                <w:bCs/>
                <w:color w:val="5F6A72"/>
                <w:spacing w:val="-1"/>
                <w:position w:val="1"/>
              </w:rPr>
              <w:t>2025f</w:t>
            </w:r>
          </w:p>
        </w:tc>
        <w:tc>
          <w:tcPr>
            <w:tcW w:w="792" w:type="dxa"/>
            <w:tcBorders>
              <w:left w:val="nil"/>
              <w:right w:val="nil"/>
            </w:tcBorders>
            <w:vAlign w:val="top"/>
          </w:tcPr>
          <w:p w14:paraId="09556CD7">
            <w:pPr>
              <w:pStyle w:val="8"/>
              <w:spacing w:before="75" w:line="243" w:lineRule="exact"/>
              <w:ind w:left="273"/>
            </w:pPr>
            <w:r>
              <w:rPr>
                <w:b/>
                <w:bCs/>
                <w:color w:val="5F6A72"/>
                <w:spacing w:val="-1"/>
                <w:position w:val="1"/>
              </w:rPr>
              <w:t>2026f</w:t>
            </w:r>
          </w:p>
        </w:tc>
        <w:tc>
          <w:tcPr>
            <w:tcW w:w="792" w:type="dxa"/>
            <w:tcBorders>
              <w:left w:val="nil"/>
              <w:right w:val="nil"/>
            </w:tcBorders>
            <w:vAlign w:val="top"/>
          </w:tcPr>
          <w:p w14:paraId="1D70250D">
            <w:pPr>
              <w:pStyle w:val="8"/>
              <w:spacing w:before="75" w:line="243" w:lineRule="exact"/>
              <w:ind w:left="274"/>
            </w:pPr>
            <w:r>
              <w:rPr>
                <w:b/>
                <w:bCs/>
                <w:color w:val="5F6A72"/>
                <w:spacing w:val="-1"/>
                <w:position w:val="1"/>
              </w:rPr>
              <w:t>2027f</w:t>
            </w:r>
          </w:p>
        </w:tc>
        <w:tc>
          <w:tcPr>
            <w:tcW w:w="792" w:type="dxa"/>
            <w:tcBorders>
              <w:left w:val="nil"/>
              <w:right w:val="nil"/>
            </w:tcBorders>
            <w:vAlign w:val="top"/>
          </w:tcPr>
          <w:p w14:paraId="2C0BFB1E">
            <w:pPr>
              <w:pStyle w:val="8"/>
              <w:spacing w:before="75" w:line="243" w:lineRule="exact"/>
              <w:ind w:left="276"/>
            </w:pPr>
            <w:r>
              <w:rPr>
                <w:b/>
                <w:bCs/>
                <w:color w:val="5F6A72"/>
                <w:spacing w:val="-1"/>
                <w:position w:val="1"/>
              </w:rPr>
              <w:t>2028f</w:t>
            </w:r>
          </w:p>
        </w:tc>
      </w:tr>
      <w:tr w14:paraId="1BE264E2">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460" w:type="dxa"/>
            <w:tcBorders>
              <w:left w:val="nil"/>
            </w:tcBorders>
            <w:vAlign w:val="top"/>
          </w:tcPr>
          <w:p w14:paraId="07DBA21C">
            <w:pPr>
              <w:pStyle w:val="8"/>
              <w:spacing w:before="70" w:line="234" w:lineRule="auto"/>
              <w:ind w:left="18"/>
            </w:pPr>
            <w:r>
              <w:rPr>
                <w:color w:val="2A8ABF"/>
                <w:spacing w:val="-7"/>
              </w:rPr>
              <w:t xml:space="preserve">Dry natural gas production, </w:t>
            </w:r>
            <w:r>
              <w:rPr>
                <w:color w:val="2A8ABF"/>
                <w:spacing w:val="-8"/>
              </w:rPr>
              <w:t>bcm</w:t>
            </w:r>
          </w:p>
        </w:tc>
        <w:tc>
          <w:tcPr>
            <w:tcW w:w="761" w:type="dxa"/>
            <w:tcBorders>
              <w:right w:val="nil"/>
            </w:tcBorders>
            <w:vAlign w:val="top"/>
          </w:tcPr>
          <w:p w14:paraId="3F7FDBE9">
            <w:pPr>
              <w:pStyle w:val="8"/>
              <w:spacing w:before="70" w:line="237" w:lineRule="exact"/>
              <w:ind w:left="334"/>
            </w:pPr>
            <w:r>
              <w:rPr>
                <w:color w:val="5F6A72"/>
                <w:spacing w:val="-6"/>
                <w:position w:val="1"/>
              </w:rPr>
              <w:t>43.7</w:t>
            </w:r>
          </w:p>
        </w:tc>
        <w:tc>
          <w:tcPr>
            <w:tcW w:w="815" w:type="dxa"/>
            <w:tcBorders>
              <w:left w:val="nil"/>
              <w:right w:val="nil"/>
            </w:tcBorders>
            <w:vAlign w:val="top"/>
          </w:tcPr>
          <w:p w14:paraId="68AA9718">
            <w:pPr>
              <w:pStyle w:val="8"/>
              <w:spacing w:before="70" w:line="237" w:lineRule="exact"/>
              <w:ind w:left="418"/>
            </w:pPr>
            <w:r>
              <w:rPr>
                <w:color w:val="5F6A72"/>
                <w:spacing w:val="-6"/>
                <w:position w:val="1"/>
              </w:rPr>
              <w:t>46.0</w:t>
            </w:r>
          </w:p>
        </w:tc>
        <w:tc>
          <w:tcPr>
            <w:tcW w:w="792" w:type="dxa"/>
            <w:tcBorders>
              <w:left w:val="nil"/>
              <w:right w:val="nil"/>
            </w:tcBorders>
            <w:vAlign w:val="top"/>
          </w:tcPr>
          <w:p w14:paraId="0D78F0A8">
            <w:pPr>
              <w:pStyle w:val="8"/>
              <w:spacing w:before="70" w:line="237" w:lineRule="exact"/>
              <w:ind w:left="396"/>
            </w:pPr>
            <w:r>
              <w:rPr>
                <w:color w:val="5F6A72"/>
                <w:spacing w:val="-6"/>
                <w:position w:val="1"/>
              </w:rPr>
              <w:t>49.5</w:t>
            </w:r>
          </w:p>
        </w:tc>
        <w:tc>
          <w:tcPr>
            <w:tcW w:w="792" w:type="dxa"/>
            <w:tcBorders>
              <w:left w:val="nil"/>
              <w:right w:val="nil"/>
            </w:tcBorders>
            <w:vAlign w:val="top"/>
          </w:tcPr>
          <w:p w14:paraId="10E147CC">
            <w:pPr>
              <w:pStyle w:val="8"/>
              <w:spacing w:before="70" w:line="237" w:lineRule="exact"/>
              <w:ind w:left="402"/>
            </w:pPr>
            <w:r>
              <w:rPr>
                <w:color w:val="5F6A72"/>
                <w:spacing w:val="-7"/>
                <w:position w:val="1"/>
              </w:rPr>
              <w:t>50.9</w:t>
            </w:r>
          </w:p>
        </w:tc>
        <w:tc>
          <w:tcPr>
            <w:tcW w:w="792" w:type="dxa"/>
            <w:tcBorders>
              <w:left w:val="nil"/>
              <w:right w:val="nil"/>
            </w:tcBorders>
            <w:vAlign w:val="top"/>
          </w:tcPr>
          <w:p w14:paraId="182298B7">
            <w:pPr>
              <w:pStyle w:val="8"/>
              <w:spacing w:before="70" w:line="237" w:lineRule="exact"/>
              <w:ind w:left="403"/>
            </w:pPr>
            <w:r>
              <w:rPr>
                <w:color w:val="5F6A72"/>
                <w:spacing w:val="-7"/>
                <w:position w:val="1"/>
              </w:rPr>
              <w:t>53.7</w:t>
            </w:r>
          </w:p>
        </w:tc>
        <w:tc>
          <w:tcPr>
            <w:tcW w:w="792" w:type="dxa"/>
            <w:tcBorders>
              <w:left w:val="nil"/>
              <w:right w:val="nil"/>
            </w:tcBorders>
            <w:vAlign w:val="top"/>
          </w:tcPr>
          <w:p w14:paraId="203C487E">
            <w:pPr>
              <w:pStyle w:val="8"/>
              <w:spacing w:before="70" w:line="237" w:lineRule="exact"/>
              <w:ind w:left="405"/>
            </w:pPr>
            <w:r>
              <w:rPr>
                <w:color w:val="5F6A72"/>
                <w:spacing w:val="-7"/>
                <w:position w:val="1"/>
              </w:rPr>
              <w:t>55.4</w:t>
            </w:r>
          </w:p>
        </w:tc>
      </w:tr>
      <w:tr w14:paraId="351A222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460" w:type="dxa"/>
            <w:tcBorders>
              <w:left w:val="nil"/>
            </w:tcBorders>
            <w:shd w:val="clear" w:color="auto" w:fill="EAF9FF"/>
            <w:vAlign w:val="top"/>
          </w:tcPr>
          <w:p w14:paraId="18241699">
            <w:pPr>
              <w:pStyle w:val="8"/>
              <w:spacing w:before="71" w:line="234" w:lineRule="auto"/>
              <w:ind w:left="18"/>
            </w:pPr>
            <w:r>
              <w:rPr>
                <w:color w:val="2A8ABF"/>
                <w:spacing w:val="-7"/>
              </w:rPr>
              <w:t>Dry natural gas produc</w:t>
            </w:r>
            <w:r>
              <w:rPr>
                <w:color w:val="2A8ABF"/>
                <w:spacing w:val="-8"/>
              </w:rPr>
              <w:t>tion, bcm,</w:t>
            </w:r>
            <w:r>
              <w:rPr>
                <w:color w:val="2A8ABF"/>
                <w:spacing w:val="-13"/>
              </w:rPr>
              <w:t xml:space="preserve"> </w:t>
            </w:r>
            <w:r>
              <w:rPr>
                <w:color w:val="2A8ABF"/>
                <w:spacing w:val="-8"/>
              </w:rPr>
              <w:t>%</w:t>
            </w:r>
            <w:r>
              <w:rPr>
                <w:color w:val="2A8ABF"/>
                <w:spacing w:val="-18"/>
              </w:rPr>
              <w:t xml:space="preserve"> </w:t>
            </w:r>
            <w:r>
              <w:rPr>
                <w:color w:val="2A8ABF"/>
                <w:spacing w:val="-8"/>
              </w:rPr>
              <w:t>y-o-y</w:t>
            </w:r>
          </w:p>
        </w:tc>
        <w:tc>
          <w:tcPr>
            <w:tcW w:w="761" w:type="dxa"/>
            <w:tcBorders>
              <w:right w:val="nil"/>
            </w:tcBorders>
            <w:shd w:val="clear" w:color="auto" w:fill="EAF9FF"/>
            <w:vAlign w:val="top"/>
          </w:tcPr>
          <w:p w14:paraId="67342EAE">
            <w:pPr>
              <w:pStyle w:val="8"/>
              <w:spacing w:before="71" w:line="238" w:lineRule="exact"/>
              <w:ind w:left="377"/>
            </w:pPr>
            <w:r>
              <w:rPr>
                <w:color w:val="5F6A72"/>
                <w:spacing w:val="-6"/>
                <w:position w:val="1"/>
              </w:rPr>
              <w:t>-0.8</w:t>
            </w:r>
          </w:p>
        </w:tc>
        <w:tc>
          <w:tcPr>
            <w:tcW w:w="815" w:type="dxa"/>
            <w:tcBorders>
              <w:left w:val="nil"/>
              <w:right w:val="nil"/>
            </w:tcBorders>
            <w:shd w:val="clear" w:color="auto" w:fill="EAF9FF"/>
            <w:vAlign w:val="top"/>
          </w:tcPr>
          <w:p w14:paraId="7EA99538">
            <w:pPr>
              <w:pStyle w:val="8"/>
              <w:spacing w:before="71" w:line="238" w:lineRule="exact"/>
              <w:ind w:left="519"/>
            </w:pPr>
            <w:r>
              <w:rPr>
                <w:color w:val="5F6A72"/>
                <w:spacing w:val="-7"/>
                <w:position w:val="1"/>
              </w:rPr>
              <w:t>5.2</w:t>
            </w:r>
          </w:p>
        </w:tc>
        <w:tc>
          <w:tcPr>
            <w:tcW w:w="792" w:type="dxa"/>
            <w:tcBorders>
              <w:left w:val="nil"/>
              <w:right w:val="nil"/>
            </w:tcBorders>
            <w:shd w:val="clear" w:color="auto" w:fill="EAF9FF"/>
            <w:vAlign w:val="top"/>
          </w:tcPr>
          <w:p w14:paraId="59198B41">
            <w:pPr>
              <w:pStyle w:val="8"/>
              <w:spacing w:before="71" w:line="238" w:lineRule="exact"/>
              <w:ind w:left="493"/>
            </w:pPr>
            <w:r>
              <w:rPr>
                <w:color w:val="5F6A72"/>
                <w:spacing w:val="-6"/>
                <w:position w:val="1"/>
              </w:rPr>
              <w:t>7.6</w:t>
            </w:r>
          </w:p>
        </w:tc>
        <w:tc>
          <w:tcPr>
            <w:tcW w:w="792" w:type="dxa"/>
            <w:tcBorders>
              <w:left w:val="nil"/>
              <w:right w:val="nil"/>
            </w:tcBorders>
            <w:shd w:val="clear" w:color="auto" w:fill="EAF9FF"/>
            <w:vAlign w:val="top"/>
          </w:tcPr>
          <w:p w14:paraId="76C3F024">
            <w:pPr>
              <w:pStyle w:val="8"/>
              <w:spacing w:before="71" w:line="238" w:lineRule="exact"/>
              <w:ind w:left="494"/>
            </w:pPr>
            <w:r>
              <w:rPr>
                <w:color w:val="5F6A72"/>
                <w:spacing w:val="-6"/>
                <w:position w:val="1"/>
              </w:rPr>
              <w:t>3.0</w:t>
            </w:r>
          </w:p>
        </w:tc>
        <w:tc>
          <w:tcPr>
            <w:tcW w:w="792" w:type="dxa"/>
            <w:tcBorders>
              <w:left w:val="nil"/>
              <w:right w:val="nil"/>
            </w:tcBorders>
            <w:shd w:val="clear" w:color="auto" w:fill="EAF9FF"/>
            <w:vAlign w:val="top"/>
          </w:tcPr>
          <w:p w14:paraId="2FAA56EF">
            <w:pPr>
              <w:pStyle w:val="8"/>
              <w:spacing w:before="71" w:line="238" w:lineRule="exact"/>
              <w:ind w:left="500"/>
            </w:pPr>
            <w:r>
              <w:rPr>
                <w:color w:val="5F6A72"/>
                <w:spacing w:val="-7"/>
                <w:position w:val="1"/>
              </w:rPr>
              <w:t>5.5</w:t>
            </w:r>
          </w:p>
        </w:tc>
        <w:tc>
          <w:tcPr>
            <w:tcW w:w="792" w:type="dxa"/>
            <w:tcBorders>
              <w:left w:val="nil"/>
              <w:right w:val="nil"/>
            </w:tcBorders>
            <w:shd w:val="clear" w:color="auto" w:fill="EAF9FF"/>
            <w:vAlign w:val="top"/>
          </w:tcPr>
          <w:p w14:paraId="6A81B1FC">
            <w:pPr>
              <w:pStyle w:val="8"/>
              <w:spacing w:before="71" w:line="238" w:lineRule="exact"/>
              <w:ind w:left="497"/>
            </w:pPr>
            <w:r>
              <w:rPr>
                <w:color w:val="5F6A72"/>
                <w:spacing w:val="-6"/>
                <w:position w:val="1"/>
              </w:rPr>
              <w:t>3.0</w:t>
            </w:r>
          </w:p>
        </w:tc>
      </w:tr>
      <w:tr w14:paraId="5836849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460" w:type="dxa"/>
            <w:tcBorders>
              <w:left w:val="nil"/>
              <w:bottom w:val="single" w:color="333333" w:sz="4" w:space="0"/>
            </w:tcBorders>
            <w:vAlign w:val="top"/>
          </w:tcPr>
          <w:p w14:paraId="771E32C5">
            <w:pPr>
              <w:pStyle w:val="8"/>
              <w:spacing w:before="72" w:line="234" w:lineRule="auto"/>
              <w:ind w:left="18"/>
            </w:pPr>
            <w:r>
              <w:rPr>
                <w:color w:val="2A8ABF"/>
                <w:spacing w:val="-6"/>
              </w:rPr>
              <w:t>Dry natural gas production,</w:t>
            </w:r>
            <w:r>
              <w:rPr>
                <w:color w:val="2A8ABF"/>
                <w:spacing w:val="-13"/>
              </w:rPr>
              <w:t xml:space="preserve"> </w:t>
            </w:r>
            <w:r>
              <w:rPr>
                <w:color w:val="2A8ABF"/>
                <w:spacing w:val="-6"/>
              </w:rPr>
              <w:t>% of</w:t>
            </w:r>
            <w:r>
              <w:rPr>
                <w:color w:val="2A8ABF"/>
                <w:spacing w:val="-19"/>
              </w:rPr>
              <w:t xml:space="preserve"> </w:t>
            </w:r>
            <w:r>
              <w:rPr>
                <w:color w:val="2A8ABF"/>
                <w:spacing w:val="-6"/>
              </w:rPr>
              <w:t>domestic</w:t>
            </w:r>
            <w:r>
              <w:rPr>
                <w:color w:val="2A8ABF"/>
                <w:spacing w:val="-9"/>
              </w:rPr>
              <w:t xml:space="preserve"> </w:t>
            </w:r>
            <w:r>
              <w:rPr>
                <w:color w:val="2A8ABF"/>
                <w:spacing w:val="-6"/>
              </w:rPr>
              <w:t>consumpt</w:t>
            </w:r>
            <w:r>
              <w:rPr>
                <w:color w:val="2A8ABF"/>
                <w:spacing w:val="-7"/>
              </w:rPr>
              <w:t>ion</w:t>
            </w:r>
          </w:p>
        </w:tc>
        <w:tc>
          <w:tcPr>
            <w:tcW w:w="761" w:type="dxa"/>
            <w:tcBorders>
              <w:bottom w:val="single" w:color="333333" w:sz="4" w:space="0"/>
              <w:right w:val="nil"/>
            </w:tcBorders>
            <w:vAlign w:val="top"/>
          </w:tcPr>
          <w:p w14:paraId="18D0E585">
            <w:pPr>
              <w:pStyle w:val="8"/>
              <w:spacing w:before="73" w:line="237" w:lineRule="exact"/>
              <w:ind w:left="339"/>
            </w:pPr>
            <w:r>
              <w:rPr>
                <w:color w:val="5F6A72"/>
                <w:spacing w:val="-7"/>
                <w:position w:val="1"/>
              </w:rPr>
              <w:t>94.9</w:t>
            </w:r>
          </w:p>
        </w:tc>
        <w:tc>
          <w:tcPr>
            <w:tcW w:w="815" w:type="dxa"/>
            <w:tcBorders>
              <w:left w:val="nil"/>
              <w:bottom w:val="single" w:color="333333" w:sz="4" w:space="0"/>
              <w:right w:val="nil"/>
            </w:tcBorders>
            <w:vAlign w:val="top"/>
          </w:tcPr>
          <w:p w14:paraId="153CAAC3">
            <w:pPr>
              <w:pStyle w:val="8"/>
              <w:spacing w:before="73" w:line="237" w:lineRule="exact"/>
              <w:ind w:left="422"/>
            </w:pPr>
            <w:r>
              <w:rPr>
                <w:color w:val="5F6A72"/>
                <w:spacing w:val="-7"/>
                <w:position w:val="1"/>
              </w:rPr>
              <w:t>97.9</w:t>
            </w:r>
          </w:p>
        </w:tc>
        <w:tc>
          <w:tcPr>
            <w:tcW w:w="792" w:type="dxa"/>
            <w:tcBorders>
              <w:left w:val="nil"/>
              <w:bottom w:val="single" w:color="333333" w:sz="4" w:space="0"/>
              <w:right w:val="nil"/>
            </w:tcBorders>
            <w:vAlign w:val="top"/>
          </w:tcPr>
          <w:p w14:paraId="73FA89EC">
            <w:pPr>
              <w:pStyle w:val="8"/>
              <w:spacing w:before="73" w:line="237" w:lineRule="exact"/>
              <w:ind w:left="306"/>
            </w:pPr>
            <w:r>
              <w:rPr>
                <w:color w:val="5F6A72"/>
                <w:spacing w:val="-7"/>
                <w:position w:val="1"/>
              </w:rPr>
              <w:t>102.8</w:t>
            </w:r>
          </w:p>
        </w:tc>
        <w:tc>
          <w:tcPr>
            <w:tcW w:w="792" w:type="dxa"/>
            <w:tcBorders>
              <w:left w:val="nil"/>
              <w:bottom w:val="single" w:color="333333" w:sz="4" w:space="0"/>
              <w:right w:val="nil"/>
            </w:tcBorders>
            <w:vAlign w:val="top"/>
          </w:tcPr>
          <w:p w14:paraId="5AE49B08">
            <w:pPr>
              <w:pStyle w:val="8"/>
              <w:spacing w:before="73" w:line="237" w:lineRule="exact"/>
              <w:ind w:left="307"/>
            </w:pPr>
            <w:r>
              <w:rPr>
                <w:color w:val="5F6A72"/>
                <w:spacing w:val="-7"/>
                <w:position w:val="1"/>
              </w:rPr>
              <w:t>102.8</w:t>
            </w:r>
          </w:p>
        </w:tc>
        <w:tc>
          <w:tcPr>
            <w:tcW w:w="792" w:type="dxa"/>
            <w:tcBorders>
              <w:left w:val="nil"/>
              <w:bottom w:val="single" w:color="333333" w:sz="4" w:space="0"/>
              <w:right w:val="nil"/>
            </w:tcBorders>
            <w:vAlign w:val="top"/>
          </w:tcPr>
          <w:p w14:paraId="64378B02">
            <w:pPr>
              <w:pStyle w:val="8"/>
              <w:spacing w:before="73" w:line="237" w:lineRule="exact"/>
              <w:ind w:left="309"/>
            </w:pPr>
            <w:r>
              <w:rPr>
                <w:color w:val="5F6A72"/>
                <w:spacing w:val="-7"/>
                <w:position w:val="1"/>
              </w:rPr>
              <w:t>105.8</w:t>
            </w:r>
          </w:p>
        </w:tc>
        <w:tc>
          <w:tcPr>
            <w:tcW w:w="792" w:type="dxa"/>
            <w:tcBorders>
              <w:left w:val="nil"/>
              <w:bottom w:val="single" w:color="333333" w:sz="4" w:space="0"/>
              <w:right w:val="nil"/>
            </w:tcBorders>
            <w:vAlign w:val="top"/>
          </w:tcPr>
          <w:p w14:paraId="7484CD3C">
            <w:pPr>
              <w:pStyle w:val="8"/>
              <w:spacing w:before="73" w:line="237" w:lineRule="exact"/>
              <w:ind w:left="310"/>
            </w:pPr>
            <w:r>
              <w:rPr>
                <w:color w:val="5F6A72"/>
                <w:spacing w:val="-7"/>
                <w:position w:val="1"/>
              </w:rPr>
              <w:t>106.3</w:t>
            </w:r>
          </w:p>
        </w:tc>
      </w:tr>
      <w:tr w14:paraId="5C9173F1">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879" w:hRule="atLeast"/>
        </w:trPr>
        <w:tc>
          <w:tcPr>
            <w:tcW w:w="10204" w:type="dxa"/>
            <w:gridSpan w:val="7"/>
            <w:tcBorders>
              <w:top w:val="single" w:color="333333" w:sz="4" w:space="0"/>
              <w:left w:val="nil"/>
              <w:right w:val="nil"/>
            </w:tcBorders>
            <w:vAlign w:val="top"/>
          </w:tcPr>
          <w:p w14:paraId="0DA9A669">
            <w:pPr>
              <w:pStyle w:val="8"/>
              <w:spacing w:line="242" w:lineRule="auto"/>
              <w:ind w:left="13"/>
              <w:rPr>
                <w:sz w:val="15"/>
                <w:szCs w:val="15"/>
              </w:rPr>
            </w:pPr>
            <w:r>
              <w:rPr>
                <w:i/>
                <w:iCs/>
                <w:color w:val="333333"/>
                <w:spacing w:val="-3"/>
                <w:w w:val="92"/>
                <w:sz w:val="15"/>
                <w:szCs w:val="15"/>
              </w:rPr>
              <w:t>e/f</w:t>
            </w:r>
            <w:r>
              <w:rPr>
                <w:i/>
                <w:iCs/>
                <w:color w:val="333333"/>
                <w:spacing w:val="-24"/>
                <w:sz w:val="15"/>
                <w:szCs w:val="15"/>
              </w:rPr>
              <w:t xml:space="preserve"> </w:t>
            </w:r>
            <w:r>
              <w:rPr>
                <w:i/>
                <w:iCs/>
                <w:color w:val="333333"/>
                <w:spacing w:val="-3"/>
                <w:w w:val="92"/>
                <w:sz w:val="15"/>
                <w:szCs w:val="15"/>
              </w:rPr>
              <w:t>= BMI estimate/forecast. S</w:t>
            </w:r>
            <w:r>
              <w:rPr>
                <w:i/>
                <w:iCs/>
                <w:color w:val="333333"/>
                <w:spacing w:val="-4"/>
                <w:w w:val="92"/>
                <w:sz w:val="15"/>
                <w:szCs w:val="15"/>
              </w:rPr>
              <w:t>ource: EIA, national</w:t>
            </w:r>
            <w:r>
              <w:rPr>
                <w:i/>
                <w:iCs/>
                <w:color w:val="333333"/>
                <w:spacing w:val="-15"/>
                <w:sz w:val="15"/>
                <w:szCs w:val="15"/>
              </w:rPr>
              <w:t xml:space="preserve"> </w:t>
            </w:r>
            <w:r>
              <w:rPr>
                <w:i/>
                <w:iCs/>
                <w:color w:val="333333"/>
                <w:spacing w:val="-4"/>
                <w:w w:val="92"/>
                <w:sz w:val="15"/>
                <w:szCs w:val="15"/>
              </w:rPr>
              <w:t>sources, BMI</w:t>
            </w:r>
          </w:p>
          <w:p w14:paraId="5BB677BF">
            <w:pPr>
              <w:pStyle w:val="8"/>
              <w:spacing w:line="321" w:lineRule="auto"/>
              <w:rPr>
                <w:sz w:val="21"/>
              </w:rPr>
            </w:pPr>
          </w:p>
          <w:p w14:paraId="5397696B">
            <w:pPr>
              <w:pStyle w:val="8"/>
              <w:spacing w:before="69" w:line="234" w:lineRule="auto"/>
              <w:ind w:left="59"/>
              <w:outlineLvl w:val="1"/>
              <w:rPr>
                <w:sz w:val="24"/>
                <w:szCs w:val="24"/>
              </w:rPr>
            </w:pPr>
            <w:r>
              <w:rPr>
                <w:color w:val="174174"/>
                <w:spacing w:val="-9"/>
                <w:sz w:val="24"/>
                <w:szCs w:val="24"/>
              </w:rPr>
              <w:t>Gas Production (Argentina 2029</w:t>
            </w:r>
            <w:r>
              <w:rPr>
                <w:color w:val="174174"/>
                <w:spacing w:val="-10"/>
                <w:sz w:val="24"/>
                <w:szCs w:val="24"/>
              </w:rPr>
              <w:t>-2034)</w:t>
            </w:r>
          </w:p>
        </w:tc>
      </w:tr>
      <w:tr w14:paraId="104803A3">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460" w:type="dxa"/>
            <w:tcBorders>
              <w:left w:val="nil"/>
              <w:right w:val="single" w:color="D7DADB" w:sz="6" w:space="0"/>
            </w:tcBorders>
            <w:vAlign w:val="top"/>
          </w:tcPr>
          <w:p w14:paraId="0245CA8D">
            <w:pPr>
              <w:pStyle w:val="8"/>
              <w:spacing w:before="73" w:line="244" w:lineRule="exact"/>
              <w:ind w:left="13"/>
            </w:pPr>
            <w:r>
              <w:rPr>
                <w:b/>
                <w:bCs/>
                <w:color w:val="5F6A72"/>
                <w:spacing w:val="-6"/>
                <w:position w:val="1"/>
              </w:rPr>
              <w:t>Indicator</w:t>
            </w:r>
          </w:p>
        </w:tc>
        <w:tc>
          <w:tcPr>
            <w:tcW w:w="761" w:type="dxa"/>
            <w:tcBorders>
              <w:left w:val="single" w:color="D7DADB" w:sz="6" w:space="0"/>
              <w:right w:val="nil"/>
            </w:tcBorders>
            <w:vAlign w:val="top"/>
          </w:tcPr>
          <w:p w14:paraId="79A93365">
            <w:pPr>
              <w:pStyle w:val="8"/>
              <w:spacing w:before="73" w:line="243" w:lineRule="exact"/>
              <w:ind w:right="29"/>
              <w:jc w:val="right"/>
            </w:pPr>
            <w:r>
              <w:rPr>
                <w:b/>
                <w:bCs/>
                <w:color w:val="5F6A72"/>
                <w:spacing w:val="-1"/>
                <w:position w:val="1"/>
              </w:rPr>
              <w:t>2029f</w:t>
            </w:r>
          </w:p>
        </w:tc>
        <w:tc>
          <w:tcPr>
            <w:tcW w:w="815" w:type="dxa"/>
            <w:tcBorders>
              <w:left w:val="nil"/>
              <w:right w:val="nil"/>
            </w:tcBorders>
            <w:vAlign w:val="top"/>
          </w:tcPr>
          <w:p w14:paraId="68F993FD">
            <w:pPr>
              <w:pStyle w:val="8"/>
              <w:spacing w:before="73" w:line="244" w:lineRule="exact"/>
              <w:ind w:left="304"/>
            </w:pPr>
            <w:r>
              <w:rPr>
                <w:b/>
                <w:bCs/>
                <w:color w:val="5F6A72"/>
                <w:spacing w:val="-1"/>
                <w:position w:val="1"/>
              </w:rPr>
              <w:t>2030f</w:t>
            </w:r>
          </w:p>
        </w:tc>
        <w:tc>
          <w:tcPr>
            <w:tcW w:w="792" w:type="dxa"/>
            <w:tcBorders>
              <w:left w:val="nil"/>
              <w:right w:val="nil"/>
            </w:tcBorders>
            <w:vAlign w:val="top"/>
          </w:tcPr>
          <w:p w14:paraId="0DA1BC9A">
            <w:pPr>
              <w:pStyle w:val="8"/>
              <w:spacing w:before="73" w:line="244" w:lineRule="exact"/>
              <w:ind w:left="280"/>
            </w:pPr>
            <w:r>
              <w:rPr>
                <w:b/>
                <w:bCs/>
                <w:color w:val="5F6A72"/>
                <w:spacing w:val="-1"/>
                <w:position w:val="1"/>
              </w:rPr>
              <w:t>2031f</w:t>
            </w:r>
          </w:p>
        </w:tc>
        <w:tc>
          <w:tcPr>
            <w:tcW w:w="792" w:type="dxa"/>
            <w:tcBorders>
              <w:left w:val="nil"/>
              <w:right w:val="nil"/>
            </w:tcBorders>
            <w:vAlign w:val="top"/>
          </w:tcPr>
          <w:p w14:paraId="4D98DAB4">
            <w:pPr>
              <w:pStyle w:val="8"/>
              <w:spacing w:before="73" w:line="244" w:lineRule="exact"/>
              <w:ind w:left="278"/>
            </w:pPr>
            <w:r>
              <w:rPr>
                <w:b/>
                <w:bCs/>
                <w:color w:val="5F6A72"/>
                <w:spacing w:val="-1"/>
                <w:position w:val="1"/>
              </w:rPr>
              <w:t>2032f</w:t>
            </w:r>
          </w:p>
        </w:tc>
        <w:tc>
          <w:tcPr>
            <w:tcW w:w="792" w:type="dxa"/>
            <w:tcBorders>
              <w:left w:val="nil"/>
              <w:right w:val="nil"/>
            </w:tcBorders>
            <w:vAlign w:val="top"/>
          </w:tcPr>
          <w:p w14:paraId="110B9A94">
            <w:pPr>
              <w:pStyle w:val="8"/>
              <w:spacing w:before="73" w:line="244" w:lineRule="exact"/>
              <w:ind w:left="277"/>
            </w:pPr>
            <w:r>
              <w:rPr>
                <w:b/>
                <w:bCs/>
                <w:color w:val="5F6A72"/>
                <w:spacing w:val="-1"/>
                <w:position w:val="1"/>
              </w:rPr>
              <w:t>2033f</w:t>
            </w:r>
          </w:p>
        </w:tc>
        <w:tc>
          <w:tcPr>
            <w:tcW w:w="792" w:type="dxa"/>
            <w:tcBorders>
              <w:left w:val="nil"/>
              <w:right w:val="nil"/>
            </w:tcBorders>
            <w:vAlign w:val="top"/>
          </w:tcPr>
          <w:p w14:paraId="3B0A975A">
            <w:pPr>
              <w:pStyle w:val="8"/>
              <w:spacing w:before="73" w:line="244" w:lineRule="exact"/>
              <w:ind w:left="276"/>
            </w:pPr>
            <w:r>
              <w:rPr>
                <w:b/>
                <w:bCs/>
                <w:color w:val="5F6A72"/>
                <w:spacing w:val="-1"/>
                <w:position w:val="1"/>
              </w:rPr>
              <w:t>2034f</w:t>
            </w:r>
          </w:p>
        </w:tc>
      </w:tr>
      <w:tr w14:paraId="7BBB8B73">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460" w:type="dxa"/>
            <w:tcBorders>
              <w:left w:val="nil"/>
              <w:right w:val="single" w:color="D7DADB" w:sz="6" w:space="0"/>
            </w:tcBorders>
            <w:vAlign w:val="top"/>
          </w:tcPr>
          <w:p w14:paraId="0D204919">
            <w:pPr>
              <w:pStyle w:val="8"/>
              <w:spacing w:before="77" w:line="234" w:lineRule="auto"/>
              <w:ind w:left="18"/>
            </w:pPr>
            <w:r>
              <w:rPr>
                <w:color w:val="2A8ABF"/>
                <w:spacing w:val="-7"/>
              </w:rPr>
              <w:t xml:space="preserve">Dry natural gas production, </w:t>
            </w:r>
            <w:r>
              <w:rPr>
                <w:color w:val="2A8ABF"/>
                <w:spacing w:val="-8"/>
              </w:rPr>
              <w:t>bcm</w:t>
            </w:r>
          </w:p>
        </w:tc>
        <w:tc>
          <w:tcPr>
            <w:tcW w:w="761" w:type="dxa"/>
            <w:tcBorders>
              <w:left w:val="single" w:color="D7DADB" w:sz="6" w:space="0"/>
              <w:right w:val="nil"/>
            </w:tcBorders>
            <w:vAlign w:val="top"/>
          </w:tcPr>
          <w:p w14:paraId="5546A412">
            <w:pPr>
              <w:pStyle w:val="8"/>
              <w:spacing w:before="77" w:line="237" w:lineRule="exact"/>
              <w:ind w:right="31"/>
              <w:jc w:val="right"/>
            </w:pPr>
            <w:r>
              <w:rPr>
                <w:color w:val="5F6A72"/>
                <w:spacing w:val="-7"/>
                <w:position w:val="1"/>
              </w:rPr>
              <w:t>57.3</w:t>
            </w:r>
          </w:p>
        </w:tc>
        <w:tc>
          <w:tcPr>
            <w:tcW w:w="815" w:type="dxa"/>
            <w:tcBorders>
              <w:left w:val="nil"/>
              <w:right w:val="nil"/>
            </w:tcBorders>
            <w:vAlign w:val="top"/>
          </w:tcPr>
          <w:p w14:paraId="5F41EC80">
            <w:pPr>
              <w:pStyle w:val="8"/>
              <w:spacing w:before="77" w:line="237" w:lineRule="exact"/>
              <w:ind w:left="433"/>
            </w:pPr>
            <w:r>
              <w:rPr>
                <w:color w:val="5F6A72"/>
                <w:spacing w:val="-7"/>
                <w:position w:val="1"/>
              </w:rPr>
              <w:t>59.1</w:t>
            </w:r>
          </w:p>
        </w:tc>
        <w:tc>
          <w:tcPr>
            <w:tcW w:w="792" w:type="dxa"/>
            <w:tcBorders>
              <w:left w:val="nil"/>
              <w:right w:val="nil"/>
            </w:tcBorders>
            <w:vAlign w:val="top"/>
          </w:tcPr>
          <w:p w14:paraId="1E5EDB2E">
            <w:pPr>
              <w:pStyle w:val="8"/>
              <w:spacing w:before="77" w:line="237" w:lineRule="exact"/>
              <w:ind w:left="409"/>
            </w:pPr>
            <w:r>
              <w:rPr>
                <w:color w:val="5F6A72"/>
                <w:spacing w:val="-7"/>
                <w:position w:val="1"/>
              </w:rPr>
              <w:t>61.0</w:t>
            </w:r>
          </w:p>
        </w:tc>
        <w:tc>
          <w:tcPr>
            <w:tcW w:w="792" w:type="dxa"/>
            <w:tcBorders>
              <w:left w:val="nil"/>
              <w:right w:val="nil"/>
            </w:tcBorders>
            <w:vAlign w:val="top"/>
          </w:tcPr>
          <w:p w14:paraId="2EB2B2CA">
            <w:pPr>
              <w:pStyle w:val="8"/>
              <w:spacing w:before="77" w:line="237" w:lineRule="exact"/>
              <w:ind w:left="408"/>
            </w:pPr>
            <w:r>
              <w:rPr>
                <w:color w:val="5F6A72"/>
                <w:spacing w:val="-7"/>
                <w:position w:val="1"/>
              </w:rPr>
              <w:t>63.0</w:t>
            </w:r>
          </w:p>
        </w:tc>
        <w:tc>
          <w:tcPr>
            <w:tcW w:w="792" w:type="dxa"/>
            <w:tcBorders>
              <w:left w:val="nil"/>
              <w:right w:val="nil"/>
            </w:tcBorders>
            <w:vAlign w:val="top"/>
          </w:tcPr>
          <w:p w14:paraId="1A7D9A35">
            <w:pPr>
              <w:pStyle w:val="8"/>
              <w:spacing w:before="77" w:line="237" w:lineRule="exact"/>
              <w:ind w:left="407"/>
            </w:pPr>
            <w:r>
              <w:rPr>
                <w:color w:val="5F6A72"/>
                <w:spacing w:val="-7"/>
                <w:position w:val="1"/>
              </w:rPr>
              <w:t>65.0</w:t>
            </w:r>
          </w:p>
        </w:tc>
        <w:tc>
          <w:tcPr>
            <w:tcW w:w="792" w:type="dxa"/>
            <w:tcBorders>
              <w:left w:val="nil"/>
              <w:right w:val="nil"/>
            </w:tcBorders>
            <w:vAlign w:val="top"/>
          </w:tcPr>
          <w:p w14:paraId="5FAECE50">
            <w:pPr>
              <w:pStyle w:val="8"/>
              <w:spacing w:before="77" w:line="237" w:lineRule="exact"/>
              <w:ind w:left="405"/>
            </w:pPr>
            <w:r>
              <w:rPr>
                <w:color w:val="5F6A72"/>
                <w:spacing w:val="-7"/>
                <w:position w:val="1"/>
              </w:rPr>
              <w:t>67.1</w:t>
            </w:r>
          </w:p>
        </w:tc>
      </w:tr>
      <w:tr w14:paraId="29ABC40A">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460" w:type="dxa"/>
            <w:tcBorders>
              <w:left w:val="nil"/>
              <w:right w:val="single" w:color="D7DADB" w:sz="6" w:space="0"/>
            </w:tcBorders>
            <w:shd w:val="clear" w:color="auto" w:fill="EAF9FF"/>
            <w:vAlign w:val="top"/>
          </w:tcPr>
          <w:p w14:paraId="27704005">
            <w:pPr>
              <w:pStyle w:val="8"/>
              <w:spacing w:before="78" w:line="234" w:lineRule="auto"/>
              <w:ind w:left="18"/>
            </w:pPr>
            <w:r>
              <w:rPr>
                <w:color w:val="2A8ABF"/>
                <w:spacing w:val="-7"/>
              </w:rPr>
              <w:t>Dry natural gas produc</w:t>
            </w:r>
            <w:r>
              <w:rPr>
                <w:color w:val="2A8ABF"/>
                <w:spacing w:val="-8"/>
              </w:rPr>
              <w:t>tion, bcm,</w:t>
            </w:r>
            <w:r>
              <w:rPr>
                <w:color w:val="2A8ABF"/>
                <w:spacing w:val="-13"/>
              </w:rPr>
              <w:t xml:space="preserve"> </w:t>
            </w:r>
            <w:r>
              <w:rPr>
                <w:color w:val="2A8ABF"/>
                <w:spacing w:val="-8"/>
              </w:rPr>
              <w:t>%</w:t>
            </w:r>
            <w:r>
              <w:rPr>
                <w:color w:val="2A8ABF"/>
                <w:spacing w:val="-18"/>
              </w:rPr>
              <w:t xml:space="preserve"> </w:t>
            </w:r>
            <w:r>
              <w:rPr>
                <w:color w:val="2A8ABF"/>
                <w:spacing w:val="-8"/>
              </w:rPr>
              <w:t>y-o-y</w:t>
            </w:r>
          </w:p>
        </w:tc>
        <w:tc>
          <w:tcPr>
            <w:tcW w:w="761" w:type="dxa"/>
            <w:tcBorders>
              <w:left w:val="single" w:color="D7DADB" w:sz="6" w:space="0"/>
              <w:right w:val="nil"/>
            </w:tcBorders>
            <w:shd w:val="clear" w:color="auto" w:fill="EAF9FF"/>
            <w:vAlign w:val="top"/>
          </w:tcPr>
          <w:p w14:paraId="3056D5C0">
            <w:pPr>
              <w:pStyle w:val="8"/>
              <w:spacing w:before="78" w:line="237" w:lineRule="exact"/>
              <w:ind w:right="30"/>
              <w:jc w:val="right"/>
            </w:pPr>
            <w:r>
              <w:rPr>
                <w:color w:val="5F6A72"/>
                <w:spacing w:val="-6"/>
                <w:position w:val="1"/>
              </w:rPr>
              <w:t>3.5</w:t>
            </w:r>
          </w:p>
        </w:tc>
        <w:tc>
          <w:tcPr>
            <w:tcW w:w="815" w:type="dxa"/>
            <w:tcBorders>
              <w:left w:val="nil"/>
              <w:right w:val="nil"/>
            </w:tcBorders>
            <w:shd w:val="clear" w:color="auto" w:fill="EAF9FF"/>
            <w:vAlign w:val="top"/>
          </w:tcPr>
          <w:p w14:paraId="44FE1CCE">
            <w:pPr>
              <w:pStyle w:val="8"/>
              <w:spacing w:before="78" w:line="237" w:lineRule="exact"/>
              <w:ind w:left="525"/>
            </w:pPr>
            <w:r>
              <w:rPr>
                <w:color w:val="5F6A72"/>
                <w:spacing w:val="-6"/>
                <w:position w:val="1"/>
              </w:rPr>
              <w:t>3.2</w:t>
            </w:r>
          </w:p>
        </w:tc>
        <w:tc>
          <w:tcPr>
            <w:tcW w:w="792" w:type="dxa"/>
            <w:tcBorders>
              <w:left w:val="nil"/>
              <w:right w:val="nil"/>
            </w:tcBorders>
            <w:shd w:val="clear" w:color="auto" w:fill="EAF9FF"/>
            <w:vAlign w:val="top"/>
          </w:tcPr>
          <w:p w14:paraId="6655DD00">
            <w:pPr>
              <w:pStyle w:val="8"/>
              <w:spacing w:before="78" w:line="237" w:lineRule="exact"/>
              <w:ind w:left="501"/>
            </w:pPr>
            <w:r>
              <w:rPr>
                <w:color w:val="5F6A72"/>
                <w:spacing w:val="-6"/>
                <w:position w:val="1"/>
              </w:rPr>
              <w:t>3.2</w:t>
            </w:r>
          </w:p>
        </w:tc>
        <w:tc>
          <w:tcPr>
            <w:tcW w:w="792" w:type="dxa"/>
            <w:tcBorders>
              <w:left w:val="nil"/>
              <w:right w:val="nil"/>
            </w:tcBorders>
            <w:shd w:val="clear" w:color="auto" w:fill="EAF9FF"/>
            <w:vAlign w:val="top"/>
          </w:tcPr>
          <w:p w14:paraId="1F227698">
            <w:pPr>
              <w:pStyle w:val="8"/>
              <w:spacing w:before="78" w:line="237" w:lineRule="exact"/>
              <w:ind w:left="500"/>
            </w:pPr>
            <w:r>
              <w:rPr>
                <w:color w:val="5F6A72"/>
                <w:spacing w:val="-6"/>
                <w:position w:val="1"/>
              </w:rPr>
              <w:t>3.2</w:t>
            </w:r>
          </w:p>
        </w:tc>
        <w:tc>
          <w:tcPr>
            <w:tcW w:w="792" w:type="dxa"/>
            <w:tcBorders>
              <w:left w:val="nil"/>
              <w:right w:val="nil"/>
            </w:tcBorders>
            <w:shd w:val="clear" w:color="auto" w:fill="EAF9FF"/>
            <w:vAlign w:val="top"/>
          </w:tcPr>
          <w:p w14:paraId="03A60A86">
            <w:pPr>
              <w:pStyle w:val="8"/>
              <w:spacing w:before="78" w:line="237" w:lineRule="exact"/>
              <w:ind w:left="498"/>
            </w:pPr>
            <w:r>
              <w:rPr>
                <w:color w:val="5F6A72"/>
                <w:spacing w:val="-6"/>
                <w:position w:val="1"/>
              </w:rPr>
              <w:t>3.2</w:t>
            </w:r>
          </w:p>
        </w:tc>
        <w:tc>
          <w:tcPr>
            <w:tcW w:w="792" w:type="dxa"/>
            <w:tcBorders>
              <w:left w:val="nil"/>
              <w:right w:val="nil"/>
            </w:tcBorders>
            <w:shd w:val="clear" w:color="auto" w:fill="EAF9FF"/>
            <w:vAlign w:val="top"/>
          </w:tcPr>
          <w:p w14:paraId="2FA0F848">
            <w:pPr>
              <w:pStyle w:val="8"/>
              <w:spacing w:before="78" w:line="237" w:lineRule="exact"/>
              <w:ind w:left="497"/>
            </w:pPr>
            <w:r>
              <w:rPr>
                <w:color w:val="5F6A72"/>
                <w:spacing w:val="-6"/>
                <w:position w:val="1"/>
              </w:rPr>
              <w:t>3.2</w:t>
            </w:r>
          </w:p>
        </w:tc>
      </w:tr>
      <w:tr w14:paraId="7E61F177">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5460" w:type="dxa"/>
            <w:tcBorders>
              <w:left w:val="nil"/>
              <w:bottom w:val="single" w:color="333333" w:sz="4" w:space="0"/>
              <w:right w:val="single" w:color="D7DADB" w:sz="6" w:space="0"/>
            </w:tcBorders>
            <w:vAlign w:val="top"/>
          </w:tcPr>
          <w:p w14:paraId="794919EF">
            <w:pPr>
              <w:pStyle w:val="8"/>
              <w:spacing w:before="79" w:line="234" w:lineRule="auto"/>
              <w:ind w:left="18"/>
            </w:pPr>
            <w:r>
              <w:rPr>
                <w:color w:val="2A8ABF"/>
                <w:spacing w:val="-6"/>
              </w:rPr>
              <w:t>Dry natural gas production,</w:t>
            </w:r>
            <w:r>
              <w:rPr>
                <w:color w:val="2A8ABF"/>
                <w:spacing w:val="-13"/>
              </w:rPr>
              <w:t xml:space="preserve"> </w:t>
            </w:r>
            <w:r>
              <w:rPr>
                <w:color w:val="2A8ABF"/>
                <w:spacing w:val="-6"/>
              </w:rPr>
              <w:t>% of</w:t>
            </w:r>
            <w:r>
              <w:rPr>
                <w:color w:val="2A8ABF"/>
                <w:spacing w:val="-19"/>
              </w:rPr>
              <w:t xml:space="preserve"> </w:t>
            </w:r>
            <w:r>
              <w:rPr>
                <w:color w:val="2A8ABF"/>
                <w:spacing w:val="-6"/>
              </w:rPr>
              <w:t>domestic</w:t>
            </w:r>
            <w:r>
              <w:rPr>
                <w:color w:val="2A8ABF"/>
                <w:spacing w:val="-9"/>
              </w:rPr>
              <w:t xml:space="preserve"> </w:t>
            </w:r>
            <w:r>
              <w:rPr>
                <w:color w:val="2A8ABF"/>
                <w:spacing w:val="-6"/>
              </w:rPr>
              <w:t>consumpt</w:t>
            </w:r>
            <w:r>
              <w:rPr>
                <w:color w:val="2A8ABF"/>
                <w:spacing w:val="-7"/>
              </w:rPr>
              <w:t>ion</w:t>
            </w:r>
          </w:p>
        </w:tc>
        <w:tc>
          <w:tcPr>
            <w:tcW w:w="761" w:type="dxa"/>
            <w:tcBorders>
              <w:left w:val="single" w:color="D7DADB" w:sz="6" w:space="0"/>
              <w:bottom w:val="single" w:color="333333" w:sz="4" w:space="0"/>
              <w:right w:val="nil"/>
            </w:tcBorders>
            <w:vAlign w:val="top"/>
          </w:tcPr>
          <w:p w14:paraId="06B9890D">
            <w:pPr>
              <w:pStyle w:val="8"/>
              <w:spacing w:before="79" w:line="237" w:lineRule="exact"/>
              <w:ind w:right="32"/>
              <w:jc w:val="right"/>
            </w:pPr>
            <w:r>
              <w:rPr>
                <w:color w:val="5F6A72"/>
                <w:spacing w:val="-7"/>
                <w:position w:val="1"/>
              </w:rPr>
              <w:t>107.3</w:t>
            </w:r>
          </w:p>
        </w:tc>
        <w:tc>
          <w:tcPr>
            <w:tcW w:w="815" w:type="dxa"/>
            <w:tcBorders>
              <w:left w:val="nil"/>
              <w:bottom w:val="single" w:color="333333" w:sz="4" w:space="0"/>
              <w:right w:val="nil"/>
            </w:tcBorders>
            <w:vAlign w:val="top"/>
          </w:tcPr>
          <w:p w14:paraId="45F95B17">
            <w:pPr>
              <w:pStyle w:val="8"/>
              <w:spacing w:before="79" w:line="237" w:lineRule="exact"/>
              <w:ind w:left="338"/>
            </w:pPr>
            <w:r>
              <w:rPr>
                <w:color w:val="5F6A72"/>
                <w:spacing w:val="-7"/>
                <w:position w:val="1"/>
              </w:rPr>
              <w:t>108.1</w:t>
            </w:r>
          </w:p>
        </w:tc>
        <w:tc>
          <w:tcPr>
            <w:tcW w:w="792" w:type="dxa"/>
            <w:tcBorders>
              <w:left w:val="nil"/>
              <w:bottom w:val="single" w:color="333333" w:sz="4" w:space="0"/>
              <w:right w:val="nil"/>
            </w:tcBorders>
            <w:vAlign w:val="top"/>
          </w:tcPr>
          <w:p w14:paraId="1A1DED49">
            <w:pPr>
              <w:pStyle w:val="8"/>
              <w:spacing w:before="79" w:line="237" w:lineRule="exact"/>
              <w:ind w:left="314"/>
            </w:pPr>
            <w:r>
              <w:rPr>
                <w:color w:val="5F6A72"/>
                <w:spacing w:val="-7"/>
                <w:position w:val="1"/>
              </w:rPr>
              <w:t>108.8</w:t>
            </w:r>
          </w:p>
        </w:tc>
        <w:tc>
          <w:tcPr>
            <w:tcW w:w="792" w:type="dxa"/>
            <w:tcBorders>
              <w:left w:val="nil"/>
              <w:bottom w:val="single" w:color="333333" w:sz="4" w:space="0"/>
              <w:right w:val="nil"/>
            </w:tcBorders>
            <w:vAlign w:val="top"/>
          </w:tcPr>
          <w:p w14:paraId="17731BB4">
            <w:pPr>
              <w:pStyle w:val="8"/>
              <w:spacing w:before="79" w:line="237" w:lineRule="exact"/>
              <w:ind w:left="313"/>
            </w:pPr>
            <w:r>
              <w:rPr>
                <w:color w:val="5F6A72"/>
                <w:spacing w:val="-7"/>
                <w:position w:val="1"/>
              </w:rPr>
              <w:t>109.5</w:t>
            </w:r>
          </w:p>
        </w:tc>
        <w:tc>
          <w:tcPr>
            <w:tcW w:w="792" w:type="dxa"/>
            <w:tcBorders>
              <w:left w:val="nil"/>
              <w:bottom w:val="single" w:color="333333" w:sz="4" w:space="0"/>
              <w:right w:val="nil"/>
            </w:tcBorders>
            <w:vAlign w:val="top"/>
          </w:tcPr>
          <w:p w14:paraId="3D04926A">
            <w:pPr>
              <w:pStyle w:val="8"/>
              <w:spacing w:before="79" w:line="237" w:lineRule="exact"/>
              <w:ind w:left="311"/>
            </w:pPr>
            <w:r>
              <w:rPr>
                <w:color w:val="5F6A72"/>
                <w:spacing w:val="-7"/>
                <w:position w:val="1"/>
              </w:rPr>
              <w:t>110.3</w:t>
            </w:r>
          </w:p>
        </w:tc>
        <w:tc>
          <w:tcPr>
            <w:tcW w:w="792" w:type="dxa"/>
            <w:tcBorders>
              <w:left w:val="nil"/>
              <w:bottom w:val="single" w:color="333333" w:sz="4" w:space="0"/>
              <w:right w:val="nil"/>
            </w:tcBorders>
            <w:vAlign w:val="top"/>
          </w:tcPr>
          <w:p w14:paraId="284B6C9E">
            <w:pPr>
              <w:pStyle w:val="8"/>
              <w:spacing w:before="79" w:line="237" w:lineRule="exact"/>
              <w:ind w:left="310"/>
            </w:pPr>
            <w:r>
              <w:rPr>
                <w:color w:val="5F6A72"/>
                <w:spacing w:val="-7"/>
                <w:position w:val="1"/>
              </w:rPr>
              <w:t>111.0</w:t>
            </w:r>
          </w:p>
        </w:tc>
      </w:tr>
    </w:tbl>
    <w:p w14:paraId="6A47AE3E">
      <w:pPr>
        <w:pStyle w:val="4"/>
        <w:spacing w:line="175" w:lineRule="exact"/>
        <w:ind w:left="373"/>
        <w:rPr>
          <w:sz w:val="15"/>
          <w:szCs w:val="15"/>
        </w:rPr>
      </w:pPr>
      <w:r>
        <w:rPr>
          <w:i/>
          <w:iCs/>
          <w:color w:val="333333"/>
          <w:spacing w:val="-6"/>
          <w:w w:val="93"/>
          <w:position w:val="1"/>
          <w:sz w:val="15"/>
          <w:szCs w:val="15"/>
        </w:rPr>
        <w:t>f</w:t>
      </w:r>
      <w:r>
        <w:rPr>
          <w:i/>
          <w:iCs/>
          <w:color w:val="333333"/>
          <w:spacing w:val="-17"/>
          <w:position w:val="1"/>
          <w:sz w:val="15"/>
          <w:szCs w:val="15"/>
        </w:rPr>
        <w:t xml:space="preserve"> </w:t>
      </w:r>
      <w:r>
        <w:rPr>
          <w:i/>
          <w:iCs/>
          <w:color w:val="333333"/>
          <w:spacing w:val="-6"/>
          <w:w w:val="93"/>
          <w:position w:val="1"/>
          <w:sz w:val="15"/>
          <w:szCs w:val="15"/>
        </w:rPr>
        <w:t>= BMI</w:t>
      </w:r>
      <w:r>
        <w:rPr>
          <w:i/>
          <w:iCs/>
          <w:color w:val="333333"/>
          <w:spacing w:val="-8"/>
          <w:position w:val="1"/>
          <w:sz w:val="15"/>
          <w:szCs w:val="15"/>
        </w:rPr>
        <w:t xml:space="preserve"> </w:t>
      </w:r>
      <w:r>
        <w:rPr>
          <w:i/>
          <w:iCs/>
          <w:color w:val="333333"/>
          <w:spacing w:val="-6"/>
          <w:w w:val="93"/>
          <w:position w:val="1"/>
          <w:sz w:val="15"/>
          <w:szCs w:val="15"/>
        </w:rPr>
        <w:t>forecast. Source: EIA, national</w:t>
      </w:r>
      <w:r>
        <w:rPr>
          <w:i/>
          <w:iCs/>
          <w:color w:val="333333"/>
          <w:spacing w:val="-14"/>
          <w:position w:val="1"/>
          <w:sz w:val="15"/>
          <w:szCs w:val="15"/>
        </w:rPr>
        <w:t xml:space="preserve"> </w:t>
      </w:r>
      <w:r>
        <w:rPr>
          <w:i/>
          <w:iCs/>
          <w:color w:val="333333"/>
          <w:spacing w:val="-6"/>
          <w:w w:val="93"/>
          <w:position w:val="1"/>
          <w:sz w:val="15"/>
          <w:szCs w:val="15"/>
        </w:rPr>
        <w:t>sources, BMI</w:t>
      </w:r>
    </w:p>
    <w:p w14:paraId="39B80BBA">
      <w:pPr>
        <w:spacing w:line="175" w:lineRule="exact"/>
        <w:rPr>
          <w:sz w:val="15"/>
          <w:szCs w:val="15"/>
        </w:rPr>
        <w:sectPr>
          <w:footerReference r:id="rId28" w:type="default"/>
          <w:pgSz w:w="11906" w:h="16838"/>
          <w:pgMar w:top="400" w:right="490" w:bottom="883" w:left="490" w:header="0" w:footer="0" w:gutter="0"/>
          <w:cols w:space="720" w:num="1"/>
        </w:sectPr>
      </w:pPr>
    </w:p>
    <w:p w14:paraId="21259755">
      <w:pPr>
        <w:pStyle w:val="4"/>
        <w:spacing w:before="73" w:line="241" w:lineRule="auto"/>
        <w:ind w:left="7372"/>
        <w:rPr>
          <w:sz w:val="20"/>
          <w:szCs w:val="20"/>
        </w:rPr>
      </w:pPr>
      <w:r>
        <w:drawing>
          <wp:anchor distT="0" distB="0" distL="0" distR="0" simplePos="0" relativeHeight="25175961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60640" behindDoc="0" locked="0" layoutInCell="0" allowOverlap="1">
            <wp:simplePos x="0" y="0"/>
            <wp:positionH relativeFrom="page">
              <wp:posOffset>311150</wp:posOffset>
            </wp:positionH>
            <wp:positionV relativeFrom="page">
              <wp:posOffset>0</wp:posOffset>
            </wp:positionV>
            <wp:extent cx="19050" cy="814070"/>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4B1C965">
      <w:pPr>
        <w:pStyle w:val="4"/>
        <w:spacing w:line="278" w:lineRule="auto"/>
      </w:pPr>
    </w:p>
    <w:p w14:paraId="410AA54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52838CD">
      <w:pPr>
        <w:pStyle w:val="4"/>
        <w:spacing w:line="428" w:lineRule="auto"/>
      </w:pPr>
    </w:p>
    <w:p w14:paraId="1BA4A2EA">
      <w:pPr>
        <w:pStyle w:val="4"/>
        <w:spacing w:before="86" w:line="234" w:lineRule="auto"/>
        <w:ind w:left="384"/>
        <w:outlineLvl w:val="0"/>
        <w:rPr>
          <w:sz w:val="30"/>
          <w:szCs w:val="30"/>
        </w:rPr>
      </w:pPr>
      <w:bookmarkStart w:id="14" w:name="bookmark9"/>
      <w:bookmarkEnd w:id="14"/>
      <w:r>
        <w:rPr>
          <w:color w:val="2A8ABF"/>
          <w:spacing w:val="-15"/>
          <w:sz w:val="30"/>
          <w:szCs w:val="30"/>
        </w:rPr>
        <w:t>Refining</w:t>
      </w:r>
    </w:p>
    <w:p w14:paraId="570CA607">
      <w:pPr>
        <w:pStyle w:val="4"/>
        <w:spacing w:line="264" w:lineRule="auto"/>
      </w:pPr>
    </w:p>
    <w:p w14:paraId="27C9C897">
      <w:pPr>
        <w:pStyle w:val="4"/>
        <w:spacing w:before="57" w:line="283" w:lineRule="auto"/>
        <w:ind w:left="371" w:right="515" w:firstLine="15"/>
        <w:rPr>
          <w:sz w:val="20"/>
          <w:szCs w:val="20"/>
        </w:rPr>
      </w:pPr>
      <w:r>
        <w:rPr>
          <w:b/>
          <w:bCs/>
          <w:i/>
          <w:iCs/>
          <w:color w:val="57585A"/>
          <w:spacing w:val="-5"/>
          <w:w w:val="95"/>
          <w:sz w:val="20"/>
          <w:szCs w:val="20"/>
        </w:rPr>
        <w:t xml:space="preserve">Key View: </w:t>
      </w:r>
      <w:r>
        <w:rPr>
          <w:i/>
          <w:iCs/>
          <w:color w:val="57585A"/>
          <w:spacing w:val="-5"/>
          <w:w w:val="95"/>
          <w:sz w:val="20"/>
          <w:szCs w:val="20"/>
        </w:rPr>
        <w:t>We anticipate a further</w:t>
      </w:r>
      <w:r>
        <w:rPr>
          <w:i/>
          <w:iCs/>
          <w:color w:val="57585A"/>
          <w:spacing w:val="-23"/>
          <w:sz w:val="20"/>
          <w:szCs w:val="20"/>
        </w:rPr>
        <w:t xml:space="preserve"> </w:t>
      </w:r>
      <w:r>
        <w:rPr>
          <w:i/>
          <w:iCs/>
          <w:color w:val="57585A"/>
          <w:spacing w:val="-5"/>
          <w:w w:val="95"/>
          <w:sz w:val="20"/>
          <w:szCs w:val="20"/>
        </w:rPr>
        <w:t>rise in</w:t>
      </w:r>
      <w:r>
        <w:rPr>
          <w:i/>
          <w:iCs/>
          <w:color w:val="57585A"/>
          <w:spacing w:val="-16"/>
          <w:sz w:val="20"/>
          <w:szCs w:val="20"/>
        </w:rPr>
        <w:t xml:space="preserve"> </w:t>
      </w:r>
      <w:r>
        <w:rPr>
          <w:i/>
          <w:iCs/>
          <w:color w:val="57585A"/>
          <w:spacing w:val="-5"/>
          <w:w w:val="95"/>
          <w:sz w:val="20"/>
          <w:szCs w:val="20"/>
        </w:rPr>
        <w:t>Argentina's fu</w:t>
      </w:r>
      <w:r>
        <w:rPr>
          <w:i/>
          <w:iCs/>
          <w:color w:val="57585A"/>
          <w:spacing w:val="-6"/>
          <w:w w:val="95"/>
          <w:sz w:val="20"/>
          <w:szCs w:val="20"/>
        </w:rPr>
        <w:t>el</w:t>
      </w:r>
      <w:r>
        <w:rPr>
          <w:i/>
          <w:iCs/>
          <w:color w:val="57585A"/>
          <w:spacing w:val="-25"/>
          <w:sz w:val="20"/>
          <w:szCs w:val="20"/>
        </w:rPr>
        <w:t xml:space="preserve"> </w:t>
      </w:r>
      <w:r>
        <w:rPr>
          <w:i/>
          <w:iCs/>
          <w:color w:val="57585A"/>
          <w:spacing w:val="-6"/>
          <w:w w:val="95"/>
          <w:sz w:val="20"/>
          <w:szCs w:val="20"/>
        </w:rPr>
        <w:t>production in 2025, projecting</w:t>
      </w:r>
      <w:r>
        <w:rPr>
          <w:i/>
          <w:iCs/>
          <w:color w:val="57585A"/>
          <w:spacing w:val="-17"/>
          <w:sz w:val="20"/>
          <w:szCs w:val="20"/>
        </w:rPr>
        <w:t xml:space="preserve"> </w:t>
      </w:r>
      <w:r>
        <w:rPr>
          <w:i/>
          <w:iCs/>
          <w:color w:val="57585A"/>
          <w:spacing w:val="-6"/>
          <w:w w:val="95"/>
          <w:sz w:val="20"/>
          <w:szCs w:val="20"/>
        </w:rPr>
        <w:t>ay-o-y</w:t>
      </w:r>
      <w:r>
        <w:rPr>
          <w:i/>
          <w:iCs/>
          <w:color w:val="57585A"/>
          <w:spacing w:val="-31"/>
          <w:sz w:val="20"/>
          <w:szCs w:val="20"/>
        </w:rPr>
        <w:t xml:space="preserve"> </w:t>
      </w:r>
      <w:r>
        <w:rPr>
          <w:i/>
          <w:iCs/>
          <w:color w:val="57585A"/>
          <w:spacing w:val="-6"/>
          <w:w w:val="95"/>
          <w:sz w:val="20"/>
          <w:szCs w:val="20"/>
        </w:rPr>
        <w:t>growth of0.5%.</w:t>
      </w:r>
      <w:r>
        <w:rPr>
          <w:i/>
          <w:iCs/>
          <w:color w:val="57585A"/>
          <w:spacing w:val="10"/>
          <w:sz w:val="20"/>
          <w:szCs w:val="20"/>
        </w:rPr>
        <w:t xml:space="preserve"> </w:t>
      </w:r>
      <w:r>
        <w:rPr>
          <w:i/>
          <w:iCs/>
          <w:color w:val="57585A"/>
          <w:spacing w:val="-6"/>
          <w:w w:val="95"/>
          <w:sz w:val="20"/>
          <w:szCs w:val="20"/>
        </w:rPr>
        <w:t>The</w:t>
      </w:r>
      <w:r>
        <w:rPr>
          <w:i/>
          <w:iCs/>
          <w:color w:val="57585A"/>
          <w:spacing w:val="-16"/>
          <w:sz w:val="20"/>
          <w:szCs w:val="20"/>
        </w:rPr>
        <w:t xml:space="preserve"> </w:t>
      </w:r>
      <w:r>
        <w:rPr>
          <w:i/>
          <w:iCs/>
          <w:color w:val="57585A"/>
          <w:spacing w:val="-6"/>
          <w:w w:val="95"/>
          <w:sz w:val="20"/>
          <w:szCs w:val="20"/>
        </w:rPr>
        <w:t>government's</w:t>
      </w:r>
      <w:r>
        <w:rPr>
          <w:i/>
          <w:iCs/>
          <w:color w:val="57585A"/>
          <w:sz w:val="20"/>
          <w:szCs w:val="20"/>
        </w:rPr>
        <w:t xml:space="preserve"> </w:t>
      </w:r>
      <w:r>
        <w:rPr>
          <w:i/>
          <w:iCs/>
          <w:color w:val="57585A"/>
          <w:spacing w:val="-6"/>
          <w:w w:val="95"/>
          <w:sz w:val="20"/>
          <w:szCs w:val="20"/>
        </w:rPr>
        <w:t>fuel</w:t>
      </w:r>
      <w:r>
        <w:rPr>
          <w:i/>
          <w:iCs/>
          <w:color w:val="57585A"/>
          <w:spacing w:val="-25"/>
          <w:sz w:val="20"/>
          <w:szCs w:val="20"/>
        </w:rPr>
        <w:t xml:space="preserve"> </w:t>
      </w:r>
      <w:r>
        <w:rPr>
          <w:i/>
          <w:iCs/>
          <w:color w:val="57585A"/>
          <w:spacing w:val="-6"/>
          <w:w w:val="95"/>
          <w:sz w:val="20"/>
          <w:szCs w:val="20"/>
        </w:rPr>
        <w:t>price liberalisation initiatives under</w:t>
      </w:r>
      <w:r>
        <w:rPr>
          <w:i/>
          <w:iCs/>
          <w:color w:val="57585A"/>
          <w:spacing w:val="-48"/>
          <w:sz w:val="20"/>
          <w:szCs w:val="20"/>
        </w:rPr>
        <w:t xml:space="preserve"> </w:t>
      </w:r>
      <w:r>
        <w:rPr>
          <w:i/>
          <w:iCs/>
          <w:color w:val="57585A"/>
          <w:spacing w:val="-6"/>
          <w:w w:val="95"/>
          <w:sz w:val="20"/>
          <w:szCs w:val="20"/>
        </w:rPr>
        <w:t>Javier</w:t>
      </w:r>
      <w:r>
        <w:rPr>
          <w:i/>
          <w:iCs/>
          <w:color w:val="57585A"/>
          <w:spacing w:val="-21"/>
          <w:sz w:val="20"/>
          <w:szCs w:val="20"/>
        </w:rPr>
        <w:t xml:space="preserve"> </w:t>
      </w:r>
      <w:r>
        <w:rPr>
          <w:i/>
          <w:iCs/>
          <w:color w:val="57585A"/>
          <w:spacing w:val="-6"/>
          <w:w w:val="95"/>
          <w:sz w:val="20"/>
          <w:szCs w:val="20"/>
        </w:rPr>
        <w:t>Milei, combined with a recovering e</w:t>
      </w:r>
      <w:r>
        <w:rPr>
          <w:i/>
          <w:iCs/>
          <w:color w:val="57585A"/>
          <w:spacing w:val="-7"/>
          <w:w w:val="95"/>
          <w:sz w:val="20"/>
          <w:szCs w:val="20"/>
        </w:rPr>
        <w:t>conomy</w:t>
      </w:r>
      <w:r>
        <w:rPr>
          <w:i/>
          <w:iCs/>
          <w:color w:val="57585A"/>
          <w:spacing w:val="-23"/>
          <w:sz w:val="20"/>
          <w:szCs w:val="20"/>
        </w:rPr>
        <w:t xml:space="preserve"> </w:t>
      </w:r>
      <w:r>
        <w:rPr>
          <w:i/>
          <w:iCs/>
          <w:color w:val="57585A"/>
          <w:spacing w:val="-7"/>
          <w:w w:val="95"/>
          <w:sz w:val="20"/>
          <w:szCs w:val="20"/>
        </w:rPr>
        <w:t>in 2025 and</w:t>
      </w:r>
      <w:r>
        <w:rPr>
          <w:i/>
          <w:iCs/>
          <w:color w:val="57585A"/>
          <w:spacing w:val="-17"/>
          <w:sz w:val="20"/>
          <w:szCs w:val="20"/>
        </w:rPr>
        <w:t xml:space="preserve"> </w:t>
      </w:r>
      <w:r>
        <w:rPr>
          <w:i/>
          <w:iCs/>
          <w:color w:val="57585A"/>
          <w:spacing w:val="-7"/>
          <w:w w:val="95"/>
          <w:sz w:val="20"/>
          <w:szCs w:val="20"/>
        </w:rPr>
        <w:t>2026, will create a favorable</w:t>
      </w:r>
      <w:r>
        <w:rPr>
          <w:i/>
          <w:iCs/>
          <w:color w:val="57585A"/>
          <w:sz w:val="20"/>
          <w:szCs w:val="20"/>
        </w:rPr>
        <w:t xml:space="preserve"> </w:t>
      </w:r>
      <w:r>
        <w:rPr>
          <w:i/>
          <w:iCs/>
          <w:color w:val="57585A"/>
          <w:spacing w:val="-7"/>
          <w:w w:val="98"/>
          <w:sz w:val="20"/>
          <w:szCs w:val="20"/>
        </w:rPr>
        <w:t>environment</w:t>
      </w:r>
      <w:r>
        <w:rPr>
          <w:i/>
          <w:iCs/>
          <w:color w:val="57585A"/>
          <w:spacing w:val="-15"/>
          <w:sz w:val="20"/>
          <w:szCs w:val="20"/>
        </w:rPr>
        <w:t xml:space="preserve"> </w:t>
      </w:r>
      <w:r>
        <w:rPr>
          <w:i/>
          <w:iCs/>
          <w:color w:val="57585A"/>
          <w:spacing w:val="-7"/>
          <w:w w:val="98"/>
          <w:sz w:val="20"/>
          <w:szCs w:val="20"/>
        </w:rPr>
        <w:t>for</w:t>
      </w:r>
      <w:r>
        <w:rPr>
          <w:i/>
          <w:iCs/>
          <w:color w:val="57585A"/>
          <w:spacing w:val="-23"/>
          <w:sz w:val="20"/>
          <w:szCs w:val="20"/>
        </w:rPr>
        <w:t xml:space="preserve"> </w:t>
      </w:r>
      <w:r>
        <w:rPr>
          <w:i/>
          <w:iCs/>
          <w:color w:val="57585A"/>
          <w:spacing w:val="-7"/>
          <w:w w:val="98"/>
          <w:sz w:val="20"/>
          <w:szCs w:val="20"/>
        </w:rPr>
        <w:t>refiners and</w:t>
      </w:r>
      <w:r>
        <w:rPr>
          <w:i/>
          <w:iCs/>
          <w:color w:val="57585A"/>
          <w:spacing w:val="-20"/>
          <w:sz w:val="20"/>
          <w:szCs w:val="20"/>
        </w:rPr>
        <w:t xml:space="preserve"> </w:t>
      </w:r>
      <w:r>
        <w:rPr>
          <w:i/>
          <w:iCs/>
          <w:color w:val="57585A"/>
          <w:spacing w:val="-7"/>
          <w:w w:val="98"/>
          <w:sz w:val="20"/>
          <w:szCs w:val="20"/>
        </w:rPr>
        <w:t>see enhanced fuel output.</w:t>
      </w:r>
      <w:r>
        <w:rPr>
          <w:i/>
          <w:iCs/>
          <w:color w:val="57585A"/>
          <w:spacing w:val="-14"/>
          <w:sz w:val="20"/>
          <w:szCs w:val="20"/>
        </w:rPr>
        <w:t xml:space="preserve"> </w:t>
      </w:r>
      <w:r>
        <w:rPr>
          <w:i/>
          <w:iCs/>
          <w:color w:val="57585A"/>
          <w:spacing w:val="-7"/>
          <w:w w:val="98"/>
          <w:sz w:val="20"/>
          <w:szCs w:val="20"/>
        </w:rPr>
        <w:t>Additional domestic output</w:t>
      </w:r>
      <w:r>
        <w:rPr>
          <w:i/>
          <w:iCs/>
          <w:color w:val="57585A"/>
          <w:spacing w:val="-14"/>
          <w:sz w:val="20"/>
          <w:szCs w:val="20"/>
        </w:rPr>
        <w:t xml:space="preserve"> </w:t>
      </w:r>
      <w:r>
        <w:rPr>
          <w:i/>
          <w:iCs/>
          <w:color w:val="57585A"/>
          <w:spacing w:val="-7"/>
          <w:w w:val="98"/>
          <w:sz w:val="20"/>
          <w:szCs w:val="20"/>
        </w:rPr>
        <w:t>of</w:t>
      </w:r>
      <w:r>
        <w:rPr>
          <w:i/>
          <w:iCs/>
          <w:color w:val="57585A"/>
          <w:spacing w:val="-40"/>
          <w:sz w:val="20"/>
          <w:szCs w:val="20"/>
        </w:rPr>
        <w:t xml:space="preserve"> </w:t>
      </w:r>
      <w:r>
        <w:rPr>
          <w:i/>
          <w:iCs/>
          <w:color w:val="57585A"/>
          <w:spacing w:val="-7"/>
          <w:w w:val="98"/>
          <w:sz w:val="20"/>
          <w:szCs w:val="20"/>
        </w:rPr>
        <w:t>light</w:t>
      </w:r>
      <w:r>
        <w:rPr>
          <w:i/>
          <w:iCs/>
          <w:color w:val="57585A"/>
          <w:spacing w:val="-14"/>
          <w:sz w:val="20"/>
          <w:szCs w:val="20"/>
        </w:rPr>
        <w:t xml:space="preserve"> </w:t>
      </w:r>
      <w:r>
        <w:rPr>
          <w:i/>
          <w:iCs/>
          <w:color w:val="57585A"/>
          <w:spacing w:val="-7"/>
          <w:w w:val="98"/>
          <w:sz w:val="20"/>
          <w:szCs w:val="20"/>
        </w:rPr>
        <w:t>crudes thanks to hig</w:t>
      </w:r>
      <w:r>
        <w:rPr>
          <w:i/>
          <w:iCs/>
          <w:color w:val="57585A"/>
          <w:spacing w:val="-8"/>
          <w:w w:val="98"/>
          <w:sz w:val="20"/>
          <w:szCs w:val="20"/>
        </w:rPr>
        <w:t>her</w:t>
      </w:r>
      <w:r>
        <w:rPr>
          <w:i/>
          <w:iCs/>
          <w:color w:val="57585A"/>
          <w:spacing w:val="-31"/>
          <w:sz w:val="20"/>
          <w:szCs w:val="20"/>
        </w:rPr>
        <w:t xml:space="preserve"> </w:t>
      </w:r>
      <w:r>
        <w:rPr>
          <w:i/>
          <w:iCs/>
          <w:color w:val="57585A"/>
          <w:spacing w:val="-8"/>
          <w:w w:val="98"/>
          <w:sz w:val="20"/>
          <w:szCs w:val="20"/>
        </w:rPr>
        <w:t>production at</w:t>
      </w:r>
      <w:r>
        <w:rPr>
          <w:i/>
          <w:iCs/>
          <w:color w:val="57585A"/>
          <w:sz w:val="20"/>
          <w:szCs w:val="20"/>
        </w:rPr>
        <w:t xml:space="preserve"> </w:t>
      </w:r>
      <w:r>
        <w:rPr>
          <w:i/>
          <w:iCs/>
          <w:color w:val="57585A"/>
          <w:spacing w:val="-8"/>
          <w:w w:val="96"/>
          <w:sz w:val="20"/>
          <w:szCs w:val="20"/>
        </w:rPr>
        <w:t>shale</w:t>
      </w:r>
      <w:r>
        <w:rPr>
          <w:i/>
          <w:iCs/>
          <w:color w:val="57585A"/>
          <w:spacing w:val="-15"/>
          <w:sz w:val="20"/>
          <w:szCs w:val="20"/>
        </w:rPr>
        <w:t xml:space="preserve"> </w:t>
      </w:r>
      <w:r>
        <w:rPr>
          <w:i/>
          <w:iCs/>
          <w:color w:val="57585A"/>
          <w:spacing w:val="-8"/>
          <w:w w:val="96"/>
          <w:sz w:val="20"/>
          <w:szCs w:val="20"/>
        </w:rPr>
        <w:t>plays in the</w:t>
      </w:r>
      <w:r>
        <w:rPr>
          <w:i/>
          <w:iCs/>
          <w:color w:val="57585A"/>
          <w:spacing w:val="8"/>
          <w:sz w:val="20"/>
          <w:szCs w:val="20"/>
        </w:rPr>
        <w:t xml:space="preserve"> </w:t>
      </w:r>
      <w:r>
        <w:rPr>
          <w:i/>
          <w:iCs/>
          <w:color w:val="57585A"/>
          <w:spacing w:val="-8"/>
          <w:w w:val="96"/>
          <w:sz w:val="20"/>
          <w:szCs w:val="20"/>
        </w:rPr>
        <w:t>Vaca Muerta, in addition to easier</w:t>
      </w:r>
      <w:r>
        <w:rPr>
          <w:i/>
          <w:iCs/>
          <w:color w:val="57585A"/>
          <w:spacing w:val="-24"/>
          <w:sz w:val="20"/>
          <w:szCs w:val="20"/>
        </w:rPr>
        <w:t xml:space="preserve"> </w:t>
      </w:r>
      <w:r>
        <w:rPr>
          <w:i/>
          <w:iCs/>
          <w:color w:val="57585A"/>
          <w:spacing w:val="-8"/>
          <w:w w:val="96"/>
          <w:sz w:val="20"/>
          <w:szCs w:val="20"/>
        </w:rPr>
        <w:t>access t</w:t>
      </w:r>
      <w:r>
        <w:rPr>
          <w:i/>
          <w:iCs/>
          <w:color w:val="57585A"/>
          <w:spacing w:val="-9"/>
          <w:w w:val="96"/>
          <w:sz w:val="20"/>
          <w:szCs w:val="20"/>
        </w:rPr>
        <w:t>o</w:t>
      </w:r>
      <w:r>
        <w:rPr>
          <w:i/>
          <w:iCs/>
          <w:color w:val="57585A"/>
          <w:spacing w:val="4"/>
          <w:sz w:val="20"/>
          <w:szCs w:val="20"/>
        </w:rPr>
        <w:t xml:space="preserve"> </w:t>
      </w:r>
      <w:r>
        <w:rPr>
          <w:i/>
          <w:iCs/>
          <w:color w:val="57585A"/>
          <w:spacing w:val="-9"/>
          <w:w w:val="96"/>
          <w:sz w:val="20"/>
          <w:szCs w:val="20"/>
        </w:rPr>
        <w:t>the</w:t>
      </w:r>
      <w:r>
        <w:rPr>
          <w:i/>
          <w:iCs/>
          <w:color w:val="57585A"/>
          <w:spacing w:val="-3"/>
          <w:sz w:val="20"/>
          <w:szCs w:val="20"/>
        </w:rPr>
        <w:t xml:space="preserve"> </w:t>
      </w:r>
      <w:r>
        <w:rPr>
          <w:i/>
          <w:iCs/>
          <w:color w:val="57585A"/>
          <w:spacing w:val="-9"/>
          <w:w w:val="96"/>
          <w:sz w:val="20"/>
          <w:szCs w:val="20"/>
        </w:rPr>
        <w:t>crude</w:t>
      </w:r>
      <w:r>
        <w:rPr>
          <w:i/>
          <w:iCs/>
          <w:color w:val="57585A"/>
          <w:sz w:val="20"/>
          <w:szCs w:val="20"/>
        </w:rPr>
        <w:t xml:space="preserve"> </w:t>
      </w:r>
      <w:r>
        <w:rPr>
          <w:i/>
          <w:iCs/>
          <w:color w:val="57585A"/>
          <w:spacing w:val="-9"/>
          <w:w w:val="96"/>
          <w:sz w:val="20"/>
          <w:szCs w:val="20"/>
        </w:rPr>
        <w:t>thanks to</w:t>
      </w:r>
      <w:r>
        <w:rPr>
          <w:i/>
          <w:iCs/>
          <w:color w:val="57585A"/>
          <w:sz w:val="20"/>
          <w:szCs w:val="20"/>
        </w:rPr>
        <w:t xml:space="preserve"> </w:t>
      </w:r>
      <w:r>
        <w:rPr>
          <w:i/>
          <w:iCs/>
          <w:color w:val="57585A"/>
          <w:spacing w:val="-9"/>
          <w:w w:val="96"/>
          <w:sz w:val="20"/>
          <w:szCs w:val="20"/>
        </w:rPr>
        <w:t>expanding oil</w:t>
      </w:r>
      <w:r>
        <w:rPr>
          <w:i/>
          <w:iCs/>
          <w:color w:val="57585A"/>
          <w:spacing w:val="-16"/>
          <w:sz w:val="20"/>
          <w:szCs w:val="20"/>
        </w:rPr>
        <w:t xml:space="preserve"> </w:t>
      </w:r>
      <w:r>
        <w:rPr>
          <w:i/>
          <w:iCs/>
          <w:color w:val="57585A"/>
          <w:spacing w:val="-9"/>
          <w:w w:val="96"/>
          <w:sz w:val="20"/>
          <w:szCs w:val="20"/>
        </w:rPr>
        <w:t>infrastructure, should</w:t>
      </w:r>
      <w:r>
        <w:rPr>
          <w:i/>
          <w:iCs/>
          <w:color w:val="57585A"/>
          <w:spacing w:val="-18"/>
          <w:sz w:val="20"/>
          <w:szCs w:val="20"/>
        </w:rPr>
        <w:t xml:space="preserve"> </w:t>
      </w:r>
      <w:r>
        <w:rPr>
          <w:i/>
          <w:iCs/>
          <w:color w:val="57585A"/>
          <w:spacing w:val="-9"/>
          <w:w w:val="96"/>
          <w:sz w:val="20"/>
          <w:szCs w:val="20"/>
        </w:rPr>
        <w:t>also see</w:t>
      </w:r>
    </w:p>
    <w:p w14:paraId="362EE21F">
      <w:pPr>
        <w:pStyle w:val="4"/>
        <w:spacing w:before="37" w:line="233" w:lineRule="auto"/>
        <w:ind w:left="373"/>
        <w:rPr>
          <w:sz w:val="20"/>
          <w:szCs w:val="20"/>
        </w:rPr>
      </w:pPr>
      <w:r>
        <w:rPr>
          <w:i/>
          <w:iCs/>
          <w:color w:val="57585A"/>
          <w:spacing w:val="-4"/>
          <w:w w:val="93"/>
          <w:sz w:val="20"/>
          <w:szCs w:val="20"/>
        </w:rPr>
        <w:t>refinery</w:t>
      </w:r>
      <w:r>
        <w:rPr>
          <w:i/>
          <w:iCs/>
          <w:color w:val="57585A"/>
          <w:spacing w:val="-23"/>
          <w:sz w:val="20"/>
          <w:szCs w:val="20"/>
        </w:rPr>
        <w:t xml:space="preserve"> </w:t>
      </w:r>
      <w:r>
        <w:rPr>
          <w:i/>
          <w:iCs/>
          <w:color w:val="57585A"/>
          <w:spacing w:val="-4"/>
          <w:w w:val="93"/>
          <w:sz w:val="20"/>
          <w:szCs w:val="20"/>
        </w:rPr>
        <w:t>runs</w:t>
      </w:r>
      <w:r>
        <w:rPr>
          <w:i/>
          <w:iCs/>
          <w:color w:val="57585A"/>
          <w:spacing w:val="-13"/>
          <w:sz w:val="20"/>
          <w:szCs w:val="20"/>
        </w:rPr>
        <w:t xml:space="preserve"> </w:t>
      </w:r>
      <w:r>
        <w:rPr>
          <w:i/>
          <w:iCs/>
          <w:color w:val="57585A"/>
          <w:spacing w:val="-4"/>
          <w:w w:val="93"/>
          <w:sz w:val="20"/>
          <w:szCs w:val="20"/>
        </w:rPr>
        <w:t>remains e</w:t>
      </w:r>
      <w:r>
        <w:rPr>
          <w:i/>
          <w:iCs/>
          <w:color w:val="57585A"/>
          <w:spacing w:val="-5"/>
          <w:w w:val="93"/>
          <w:sz w:val="20"/>
          <w:szCs w:val="20"/>
        </w:rPr>
        <w:t>levated.</w:t>
      </w:r>
    </w:p>
    <w:p w14:paraId="5690588B">
      <w:pPr>
        <w:pStyle w:val="4"/>
        <w:spacing w:line="342" w:lineRule="auto"/>
      </w:pPr>
    </w:p>
    <w:p w14:paraId="7BFD782F">
      <w:pPr>
        <w:pStyle w:val="4"/>
        <w:spacing w:line="343" w:lineRule="auto"/>
      </w:pPr>
    </w:p>
    <w:p w14:paraId="72F84ED1">
      <w:pPr>
        <w:pStyle w:val="4"/>
        <w:spacing w:before="69" w:line="182" w:lineRule="auto"/>
        <w:ind w:left="378"/>
        <w:outlineLvl w:val="2"/>
        <w:rPr>
          <w:sz w:val="24"/>
          <w:szCs w:val="24"/>
        </w:rPr>
      </w:pPr>
      <w:r>
        <w:rPr>
          <w:b/>
          <w:bCs/>
          <w:color w:val="174174"/>
          <w:spacing w:val="-9"/>
          <w:sz w:val="24"/>
          <w:szCs w:val="24"/>
        </w:rPr>
        <w:t>Latest Updates</w:t>
      </w:r>
    </w:p>
    <w:p w14:paraId="690078FF">
      <w:pPr>
        <w:pStyle w:val="4"/>
        <w:spacing w:line="357" w:lineRule="auto"/>
      </w:pPr>
    </w:p>
    <w:p w14:paraId="603BDE3A">
      <w:pPr>
        <w:pStyle w:val="4"/>
        <w:spacing w:before="58" w:line="272" w:lineRule="auto"/>
        <w:ind w:left="613" w:right="362" w:hanging="256"/>
        <w:rPr>
          <w:sz w:val="20"/>
          <w:szCs w:val="20"/>
        </w:rPr>
      </w:pPr>
      <w:r>
        <w:rPr>
          <w:color w:val="33CCFF"/>
          <w:spacing w:val="-10"/>
          <w:sz w:val="20"/>
          <w:szCs w:val="20"/>
        </w:rPr>
        <w:t xml:space="preserve">•   </w:t>
      </w:r>
      <w:r>
        <w:rPr>
          <w:color w:val="57585A"/>
          <w:spacing w:val="-10"/>
          <w:sz w:val="20"/>
          <w:szCs w:val="20"/>
        </w:rPr>
        <w:t>We maintain another increase in</w:t>
      </w:r>
      <w:r>
        <w:rPr>
          <w:color w:val="57585A"/>
          <w:spacing w:val="-16"/>
          <w:sz w:val="20"/>
          <w:szCs w:val="20"/>
        </w:rPr>
        <w:t xml:space="preserve"> </w:t>
      </w:r>
      <w:r>
        <w:rPr>
          <w:color w:val="57585A"/>
          <w:spacing w:val="-10"/>
          <w:sz w:val="20"/>
          <w:szCs w:val="20"/>
        </w:rPr>
        <w:t>Argentina's fuel product</w:t>
      </w:r>
      <w:r>
        <w:rPr>
          <w:color w:val="57585A"/>
          <w:spacing w:val="-11"/>
          <w:sz w:val="20"/>
          <w:szCs w:val="20"/>
        </w:rPr>
        <w:t>ion in 2025, forecasting 0.5%</w:t>
      </w:r>
      <w:r>
        <w:rPr>
          <w:color w:val="57585A"/>
          <w:spacing w:val="-16"/>
          <w:sz w:val="20"/>
          <w:szCs w:val="20"/>
        </w:rPr>
        <w:t xml:space="preserve"> </w:t>
      </w:r>
      <w:r>
        <w:rPr>
          <w:color w:val="57585A"/>
          <w:spacing w:val="-11"/>
          <w:sz w:val="20"/>
          <w:szCs w:val="20"/>
        </w:rPr>
        <w:t>y-o-y growth. We highlight an improving</w:t>
      </w:r>
      <w:r>
        <w:rPr>
          <w:color w:val="57585A"/>
          <w:sz w:val="20"/>
          <w:szCs w:val="20"/>
        </w:rPr>
        <w:t xml:space="preserve">  </w:t>
      </w:r>
      <w:r>
        <w:rPr>
          <w:color w:val="57585A"/>
          <w:spacing w:val="-10"/>
          <w:sz w:val="20"/>
          <w:szCs w:val="20"/>
        </w:rPr>
        <w:t>environment for refiners in</w:t>
      </w:r>
      <w:r>
        <w:rPr>
          <w:color w:val="57585A"/>
          <w:spacing w:val="-15"/>
          <w:sz w:val="20"/>
          <w:szCs w:val="20"/>
        </w:rPr>
        <w:t xml:space="preserve"> </w:t>
      </w:r>
      <w:r>
        <w:rPr>
          <w:color w:val="57585A"/>
          <w:spacing w:val="-10"/>
          <w:sz w:val="20"/>
          <w:szCs w:val="20"/>
        </w:rPr>
        <w:t>Argentina</w:t>
      </w:r>
      <w:r>
        <w:rPr>
          <w:color w:val="57585A"/>
          <w:spacing w:val="-16"/>
          <w:sz w:val="20"/>
          <w:szCs w:val="20"/>
        </w:rPr>
        <w:t xml:space="preserve"> </w:t>
      </w:r>
      <w:r>
        <w:rPr>
          <w:color w:val="57585A"/>
          <w:spacing w:val="-10"/>
          <w:sz w:val="20"/>
          <w:szCs w:val="20"/>
        </w:rPr>
        <w:t>with fuel pric</w:t>
      </w:r>
      <w:r>
        <w:rPr>
          <w:color w:val="57585A"/>
          <w:spacing w:val="-11"/>
          <w:sz w:val="20"/>
          <w:szCs w:val="20"/>
        </w:rPr>
        <w:t>es liberalisation efforts pursued by the government of</w:t>
      </w:r>
      <w:r>
        <w:rPr>
          <w:color w:val="57585A"/>
          <w:spacing w:val="-32"/>
          <w:sz w:val="20"/>
          <w:szCs w:val="20"/>
        </w:rPr>
        <w:t xml:space="preserve"> </w:t>
      </w:r>
      <w:r>
        <w:rPr>
          <w:color w:val="57585A"/>
          <w:spacing w:val="-11"/>
          <w:sz w:val="20"/>
          <w:szCs w:val="20"/>
        </w:rPr>
        <w:t>Javier Milei.</w:t>
      </w:r>
      <w:r>
        <w:rPr>
          <w:color w:val="57585A"/>
          <w:spacing w:val="-16"/>
          <w:sz w:val="20"/>
          <w:szCs w:val="20"/>
        </w:rPr>
        <w:t xml:space="preserve"> </w:t>
      </w:r>
      <w:r>
        <w:rPr>
          <w:color w:val="57585A"/>
          <w:spacing w:val="-11"/>
          <w:sz w:val="20"/>
          <w:szCs w:val="20"/>
        </w:rPr>
        <w:t>A recovering</w:t>
      </w:r>
      <w:r>
        <w:rPr>
          <w:color w:val="57585A"/>
          <w:sz w:val="20"/>
          <w:szCs w:val="20"/>
        </w:rPr>
        <w:t xml:space="preserve"> </w:t>
      </w:r>
      <w:r>
        <w:rPr>
          <w:color w:val="57585A"/>
          <w:spacing w:val="-10"/>
          <w:sz w:val="20"/>
          <w:szCs w:val="20"/>
        </w:rPr>
        <w:t xml:space="preserve">economic backdrop could also result in higher fuels demand, and </w:t>
      </w:r>
      <w:r>
        <w:rPr>
          <w:color w:val="57585A"/>
          <w:spacing w:val="-11"/>
          <w:sz w:val="20"/>
          <w:szCs w:val="20"/>
        </w:rPr>
        <w:t>production over 2025 and 2026 than currently forecasted.</w:t>
      </w:r>
    </w:p>
    <w:p w14:paraId="4AA4A64F">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YPF pursues a modernisation program at Lujan de Cuyo refinery, focused on expandin</w:t>
      </w:r>
      <w:r>
        <w:rPr>
          <w:color w:val="57585A"/>
          <w:spacing w:val="-12"/>
          <w:sz w:val="20"/>
          <w:szCs w:val="20"/>
        </w:rPr>
        <w:t>g facility's capabilities to produce low-</w:t>
      </w:r>
    </w:p>
    <w:p w14:paraId="4E287551">
      <w:pPr>
        <w:pStyle w:val="4"/>
        <w:spacing w:before="55" w:line="262" w:lineRule="auto"/>
        <w:ind w:left="615" w:right="381" w:hanging="4"/>
        <w:rPr>
          <w:sz w:val="20"/>
          <w:szCs w:val="20"/>
        </w:rPr>
      </w:pPr>
      <w:r>
        <w:rPr>
          <w:color w:val="57585A"/>
          <w:spacing w:val="-11"/>
          <w:sz w:val="20"/>
          <w:szCs w:val="20"/>
        </w:rPr>
        <w:t>sulphur fuel.</w:t>
      </w:r>
      <w:r>
        <w:rPr>
          <w:color w:val="57585A"/>
          <w:spacing w:val="-13"/>
          <w:sz w:val="20"/>
          <w:szCs w:val="20"/>
        </w:rPr>
        <w:t xml:space="preserve"> </w:t>
      </w:r>
      <w:r>
        <w:rPr>
          <w:color w:val="57585A"/>
          <w:spacing w:val="-11"/>
          <w:sz w:val="20"/>
          <w:szCs w:val="20"/>
        </w:rPr>
        <w:t>A hydrogen gas production plant and a diesel hydro-treatment unit are also being built. The USD600mn investment</w:t>
      </w:r>
      <w:r>
        <w:rPr>
          <w:color w:val="57585A"/>
          <w:sz w:val="20"/>
          <w:szCs w:val="20"/>
        </w:rPr>
        <w:t xml:space="preserve"> </w:t>
      </w:r>
      <w:r>
        <w:rPr>
          <w:color w:val="57585A"/>
          <w:spacing w:val="-11"/>
          <w:sz w:val="20"/>
          <w:szCs w:val="20"/>
        </w:rPr>
        <w:t>is expected to be operational by end o</w:t>
      </w:r>
      <w:r>
        <w:rPr>
          <w:color w:val="57585A"/>
          <w:spacing w:val="-12"/>
          <w:sz w:val="20"/>
          <w:szCs w:val="20"/>
        </w:rPr>
        <w:t>f 2025.</w:t>
      </w:r>
    </w:p>
    <w:p w14:paraId="759C2721">
      <w:pPr>
        <w:pStyle w:val="4"/>
        <w:spacing w:line="314" w:lineRule="auto"/>
      </w:pPr>
    </w:p>
    <w:p w14:paraId="726DEE15">
      <w:pPr>
        <w:pStyle w:val="4"/>
        <w:spacing w:line="314" w:lineRule="auto"/>
      </w:pPr>
    </w:p>
    <w:p w14:paraId="36A18272">
      <w:pPr>
        <w:pStyle w:val="4"/>
        <w:spacing w:before="70" w:line="325"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57F81582">
      <w:pPr>
        <w:pStyle w:val="4"/>
        <w:spacing w:line="301" w:lineRule="auto"/>
      </w:pPr>
    </w:p>
    <w:p w14:paraId="6FDFA481">
      <w:pPr>
        <w:pStyle w:val="4"/>
        <w:spacing w:before="57" w:line="273" w:lineRule="auto"/>
        <w:ind w:left="366" w:right="403" w:hanging="7"/>
        <w:rPr>
          <w:sz w:val="20"/>
          <w:szCs w:val="20"/>
        </w:rPr>
      </w:pPr>
      <w:r>
        <w:rPr>
          <w:color w:val="57585A"/>
          <w:spacing w:val="-11"/>
          <w:sz w:val="20"/>
          <w:szCs w:val="20"/>
        </w:rPr>
        <w:t>Argentina has an estima</w:t>
      </w:r>
      <w:r>
        <w:rPr>
          <w:color w:val="57585A"/>
          <w:spacing w:val="-12"/>
          <w:sz w:val="20"/>
          <w:szCs w:val="20"/>
        </w:rPr>
        <w:t>ted refining capacity of 580,000b/d, the largest of</w:t>
      </w:r>
      <w:r>
        <w:rPr>
          <w:color w:val="57585A"/>
          <w:spacing w:val="-24"/>
          <w:sz w:val="20"/>
          <w:szCs w:val="20"/>
        </w:rPr>
        <w:t xml:space="preserve"> </w:t>
      </w:r>
      <w:r>
        <w:rPr>
          <w:color w:val="57585A"/>
          <w:spacing w:val="-12"/>
          <w:sz w:val="20"/>
          <w:szCs w:val="20"/>
        </w:rPr>
        <w:t>which is</w:t>
      </w:r>
      <w:r>
        <w:rPr>
          <w:color w:val="57585A"/>
          <w:spacing w:val="-16"/>
          <w:sz w:val="20"/>
          <w:szCs w:val="20"/>
        </w:rPr>
        <w:t xml:space="preserve"> </w:t>
      </w:r>
      <w:r>
        <w:rPr>
          <w:color w:val="57585A"/>
          <w:spacing w:val="-12"/>
          <w:sz w:val="20"/>
          <w:szCs w:val="20"/>
        </w:rPr>
        <w:t>YPF's 180,000b/d La Plata refinery.</w:t>
      </w:r>
      <w:r>
        <w:rPr>
          <w:color w:val="57585A"/>
          <w:spacing w:val="-15"/>
          <w:sz w:val="20"/>
          <w:szCs w:val="20"/>
        </w:rPr>
        <w:t xml:space="preserve"> </w:t>
      </w:r>
      <w:r>
        <w:rPr>
          <w:color w:val="57585A"/>
          <w:spacing w:val="-12"/>
          <w:sz w:val="20"/>
          <w:szCs w:val="20"/>
        </w:rPr>
        <w:t>YPF</w:t>
      </w:r>
      <w:r>
        <w:rPr>
          <w:color w:val="57585A"/>
          <w:spacing w:val="-6"/>
          <w:sz w:val="20"/>
          <w:szCs w:val="20"/>
        </w:rPr>
        <w:t xml:space="preserve"> </w:t>
      </w:r>
      <w:r>
        <w:rPr>
          <w:color w:val="57585A"/>
          <w:spacing w:val="-12"/>
          <w:sz w:val="20"/>
          <w:szCs w:val="20"/>
        </w:rPr>
        <w:t>operates</w:t>
      </w:r>
      <w:r>
        <w:rPr>
          <w:color w:val="57585A"/>
          <w:sz w:val="20"/>
          <w:szCs w:val="20"/>
        </w:rPr>
        <w:t xml:space="preserve"> </w:t>
      </w:r>
      <w:r>
        <w:rPr>
          <w:color w:val="57585A"/>
          <w:spacing w:val="-12"/>
          <w:sz w:val="20"/>
          <w:szCs w:val="20"/>
        </w:rPr>
        <w:t>approximately 60% of</w:t>
      </w:r>
      <w:r>
        <w:rPr>
          <w:color w:val="57585A"/>
          <w:spacing w:val="-21"/>
          <w:sz w:val="20"/>
          <w:szCs w:val="20"/>
        </w:rPr>
        <w:t xml:space="preserve"> </w:t>
      </w:r>
      <w:r>
        <w:rPr>
          <w:color w:val="57585A"/>
          <w:spacing w:val="-12"/>
          <w:sz w:val="20"/>
          <w:szCs w:val="20"/>
        </w:rPr>
        <w:t>the market's crude processing. Utilisation rates at the YPF-ope</w:t>
      </w:r>
      <w:r>
        <w:rPr>
          <w:color w:val="57585A"/>
          <w:spacing w:val="-13"/>
          <w:sz w:val="20"/>
          <w:szCs w:val="20"/>
        </w:rPr>
        <w:t>rated refineries - La Plata,</w:t>
      </w:r>
      <w:r>
        <w:rPr>
          <w:color w:val="57585A"/>
          <w:spacing w:val="1"/>
          <w:sz w:val="20"/>
          <w:szCs w:val="20"/>
        </w:rPr>
        <w:t xml:space="preserve"> </w:t>
      </w:r>
      <w:r>
        <w:rPr>
          <w:color w:val="57585A"/>
          <w:spacing w:val="-13"/>
          <w:sz w:val="20"/>
          <w:szCs w:val="20"/>
        </w:rPr>
        <w:t>Lujan de</w:t>
      </w:r>
      <w:r>
        <w:rPr>
          <w:color w:val="57585A"/>
          <w:spacing w:val="-6"/>
          <w:sz w:val="20"/>
          <w:szCs w:val="20"/>
        </w:rPr>
        <w:t xml:space="preserve"> </w:t>
      </w:r>
      <w:r>
        <w:rPr>
          <w:color w:val="57585A"/>
          <w:spacing w:val="-13"/>
          <w:sz w:val="20"/>
          <w:szCs w:val="20"/>
        </w:rPr>
        <w:t>Cuyo and</w:t>
      </w:r>
    </w:p>
    <w:p w14:paraId="32CDC1CB">
      <w:pPr>
        <w:pStyle w:val="4"/>
        <w:spacing w:before="37" w:line="231" w:lineRule="auto"/>
        <w:ind w:left="376"/>
        <w:rPr>
          <w:sz w:val="20"/>
          <w:szCs w:val="20"/>
        </w:rPr>
      </w:pPr>
      <w:r>
        <w:rPr>
          <w:color w:val="57585A"/>
          <w:spacing w:val="-11"/>
          <w:sz w:val="20"/>
          <w:szCs w:val="20"/>
        </w:rPr>
        <w:t>Plaza Huincul - tend to be higher than for facilities operated by private companies.</w:t>
      </w:r>
    </w:p>
    <w:p w14:paraId="398A1613">
      <w:pPr>
        <w:pStyle w:val="4"/>
        <w:spacing w:line="287" w:lineRule="auto"/>
      </w:pPr>
    </w:p>
    <w:p w14:paraId="3B138F58">
      <w:pPr>
        <w:pStyle w:val="4"/>
        <w:spacing w:before="58" w:line="273" w:lineRule="auto"/>
        <w:ind w:left="362" w:right="581" w:hanging="3"/>
        <w:rPr>
          <w:sz w:val="20"/>
          <w:szCs w:val="20"/>
        </w:rPr>
      </w:pPr>
      <w:r>
        <w:rPr>
          <w:color w:val="57585A"/>
          <w:spacing w:val="-10"/>
          <w:sz w:val="20"/>
          <w:szCs w:val="20"/>
        </w:rPr>
        <w:t>After a substantial drop in fuels production in 2020 d</w:t>
      </w:r>
      <w:r>
        <w:rPr>
          <w:color w:val="57585A"/>
          <w:spacing w:val="-11"/>
          <w:sz w:val="20"/>
          <w:szCs w:val="20"/>
        </w:rPr>
        <w:t>ue to the lockdowns and its impact on fuels demand over the</w:t>
      </w:r>
      <w:r>
        <w:rPr>
          <w:color w:val="57585A"/>
          <w:spacing w:val="-16"/>
          <w:sz w:val="20"/>
          <w:szCs w:val="20"/>
        </w:rPr>
        <w:t xml:space="preserve"> </w:t>
      </w:r>
      <w:r>
        <w:rPr>
          <w:color w:val="57585A"/>
          <w:spacing w:val="-11"/>
          <w:sz w:val="20"/>
          <w:szCs w:val="20"/>
        </w:rPr>
        <w:t>year, domestic</w:t>
      </w:r>
      <w:r>
        <w:rPr>
          <w:color w:val="57585A"/>
          <w:sz w:val="20"/>
          <w:szCs w:val="20"/>
        </w:rPr>
        <w:t xml:space="preserve"> </w:t>
      </w:r>
      <w:r>
        <w:rPr>
          <w:color w:val="57585A"/>
          <w:spacing w:val="-11"/>
          <w:sz w:val="20"/>
          <w:szCs w:val="20"/>
        </w:rPr>
        <w:t>fuel production has seen a strong recovery over 2021-2023 amid elevated global fuel prices</w:t>
      </w:r>
      <w:r>
        <w:rPr>
          <w:color w:val="57585A"/>
          <w:spacing w:val="-15"/>
          <w:sz w:val="20"/>
          <w:szCs w:val="20"/>
        </w:rPr>
        <w:t xml:space="preserve"> </w:t>
      </w:r>
      <w:r>
        <w:rPr>
          <w:color w:val="57585A"/>
          <w:spacing w:val="-11"/>
          <w:sz w:val="20"/>
          <w:szCs w:val="20"/>
        </w:rPr>
        <w:t>with</w:t>
      </w:r>
      <w:r>
        <w:rPr>
          <w:color w:val="57585A"/>
          <w:spacing w:val="-16"/>
          <w:sz w:val="20"/>
          <w:szCs w:val="20"/>
        </w:rPr>
        <w:t xml:space="preserve"> </w:t>
      </w:r>
      <w:r>
        <w:rPr>
          <w:color w:val="57585A"/>
          <w:spacing w:val="-11"/>
          <w:sz w:val="20"/>
          <w:szCs w:val="20"/>
        </w:rPr>
        <w:t>widened margin</w:t>
      </w:r>
      <w:r>
        <w:rPr>
          <w:color w:val="57585A"/>
          <w:spacing w:val="-12"/>
          <w:sz w:val="20"/>
          <w:szCs w:val="20"/>
        </w:rPr>
        <w:t>s. The broad</w:t>
      </w:r>
    </w:p>
    <w:p w14:paraId="4826865F">
      <w:pPr>
        <w:pStyle w:val="4"/>
        <w:spacing w:before="37" w:line="231" w:lineRule="auto"/>
        <w:ind w:left="373"/>
        <w:rPr>
          <w:sz w:val="20"/>
          <w:szCs w:val="20"/>
        </w:rPr>
      </w:pPr>
      <w:r>
        <w:rPr>
          <w:color w:val="57585A"/>
          <w:spacing w:val="-10"/>
          <w:sz w:val="20"/>
          <w:szCs w:val="20"/>
        </w:rPr>
        <w:t>market deregulation push, offered by the government of</w:t>
      </w:r>
      <w:r>
        <w:rPr>
          <w:color w:val="57585A"/>
          <w:spacing w:val="-33"/>
          <w:sz w:val="20"/>
          <w:szCs w:val="20"/>
        </w:rPr>
        <w:t xml:space="preserve"> </w:t>
      </w:r>
      <w:r>
        <w:rPr>
          <w:color w:val="57585A"/>
          <w:spacing w:val="-10"/>
          <w:sz w:val="20"/>
          <w:szCs w:val="20"/>
        </w:rPr>
        <w:t>Javier Milei</w:t>
      </w:r>
      <w:r>
        <w:rPr>
          <w:color w:val="57585A"/>
          <w:spacing w:val="-15"/>
          <w:sz w:val="20"/>
          <w:szCs w:val="20"/>
        </w:rPr>
        <w:t xml:space="preserve"> </w:t>
      </w:r>
      <w:r>
        <w:rPr>
          <w:color w:val="57585A"/>
          <w:spacing w:val="-10"/>
          <w:sz w:val="20"/>
          <w:szCs w:val="20"/>
        </w:rPr>
        <w:t>will improve operating enviro</w:t>
      </w:r>
      <w:r>
        <w:rPr>
          <w:color w:val="57585A"/>
          <w:spacing w:val="-11"/>
          <w:sz w:val="20"/>
          <w:szCs w:val="20"/>
        </w:rPr>
        <w:t>nment for refiners through for</w:t>
      </w:r>
    </w:p>
    <w:p w14:paraId="6DBD7CD3">
      <w:pPr>
        <w:pStyle w:val="4"/>
        <w:spacing w:before="58" w:line="273" w:lineRule="auto"/>
        <w:ind w:left="363" w:right="410" w:firstLine="6"/>
        <w:rPr>
          <w:sz w:val="20"/>
          <w:szCs w:val="20"/>
        </w:rPr>
      </w:pPr>
      <w:r>
        <w:rPr>
          <w:color w:val="57585A"/>
          <w:spacing w:val="-11"/>
          <w:sz w:val="20"/>
          <w:szCs w:val="20"/>
        </w:rPr>
        <w:t>example liberalising fuel prices, and constitutes an upside risk to our refining output forecast. We curr</w:t>
      </w:r>
      <w:r>
        <w:rPr>
          <w:color w:val="57585A"/>
          <w:spacing w:val="-12"/>
          <w:sz w:val="20"/>
          <w:szCs w:val="20"/>
        </w:rPr>
        <w:t>ently estimate</w:t>
      </w:r>
      <w:r>
        <w:rPr>
          <w:color w:val="57585A"/>
          <w:spacing w:val="-16"/>
          <w:sz w:val="20"/>
          <w:szCs w:val="20"/>
        </w:rPr>
        <w:t xml:space="preserve"> </w:t>
      </w:r>
      <w:r>
        <w:rPr>
          <w:color w:val="57585A"/>
          <w:spacing w:val="-12"/>
          <w:sz w:val="20"/>
          <w:szCs w:val="20"/>
        </w:rPr>
        <w:t>Argentina saw a</w:t>
      </w:r>
      <w:r>
        <w:rPr>
          <w:color w:val="57585A"/>
          <w:sz w:val="20"/>
          <w:szCs w:val="20"/>
        </w:rPr>
        <w:t xml:space="preserve"> </w:t>
      </w:r>
      <w:r>
        <w:rPr>
          <w:color w:val="57585A"/>
          <w:spacing w:val="-10"/>
          <w:sz w:val="20"/>
          <w:szCs w:val="20"/>
        </w:rPr>
        <w:t>further boost in fuels production of 1.5%</w:t>
      </w:r>
      <w:r>
        <w:rPr>
          <w:color w:val="57585A"/>
          <w:spacing w:val="-8"/>
          <w:sz w:val="20"/>
          <w:szCs w:val="20"/>
        </w:rPr>
        <w:t xml:space="preserve"> </w:t>
      </w:r>
      <w:r>
        <w:rPr>
          <w:color w:val="57585A"/>
          <w:spacing w:val="-10"/>
          <w:sz w:val="20"/>
          <w:szCs w:val="20"/>
        </w:rPr>
        <w:t>y-o-y in 2024,</w:t>
      </w:r>
      <w:r>
        <w:rPr>
          <w:color w:val="57585A"/>
          <w:spacing w:val="-16"/>
          <w:sz w:val="20"/>
          <w:szCs w:val="20"/>
        </w:rPr>
        <w:t xml:space="preserve"> </w:t>
      </w:r>
      <w:r>
        <w:rPr>
          <w:color w:val="57585A"/>
          <w:spacing w:val="-10"/>
          <w:sz w:val="20"/>
          <w:szCs w:val="20"/>
        </w:rPr>
        <w:t>with output rising to 523,000b/d in 2024, based on preliminary Energy</w:t>
      </w:r>
    </w:p>
    <w:p w14:paraId="032D05B1">
      <w:pPr>
        <w:pStyle w:val="4"/>
        <w:spacing w:before="37" w:line="231" w:lineRule="auto"/>
        <w:ind w:left="376"/>
        <w:rPr>
          <w:sz w:val="20"/>
          <w:szCs w:val="20"/>
        </w:rPr>
      </w:pPr>
      <w:r>
        <w:rPr>
          <w:color w:val="57585A"/>
          <w:spacing w:val="-12"/>
          <w:sz w:val="20"/>
          <w:szCs w:val="20"/>
        </w:rPr>
        <w:t>Ministry data.</w:t>
      </w:r>
    </w:p>
    <w:p w14:paraId="3B0F7D74">
      <w:pPr>
        <w:pStyle w:val="4"/>
        <w:spacing w:line="287" w:lineRule="auto"/>
      </w:pPr>
    </w:p>
    <w:p w14:paraId="4106CC00">
      <w:pPr>
        <w:pStyle w:val="4"/>
        <w:spacing w:line="287" w:lineRule="auto"/>
      </w:pPr>
    </w:p>
    <w:p w14:paraId="4A046C30">
      <w:pPr>
        <w:pStyle w:val="4"/>
        <w:spacing w:before="58" w:line="279" w:lineRule="auto"/>
        <w:ind w:left="373" w:right="863" w:firstLine="2"/>
        <w:rPr>
          <w:sz w:val="20"/>
          <w:szCs w:val="20"/>
        </w:rPr>
      </w:pPr>
      <w:r>
        <w:rPr>
          <w:color w:val="57585A"/>
          <w:spacing w:val="-14"/>
          <w:sz w:val="20"/>
          <w:szCs w:val="20"/>
        </w:rPr>
        <w:t>Refinery complexity</w:t>
      </w:r>
      <w:r>
        <w:rPr>
          <w:color w:val="57585A"/>
          <w:spacing w:val="-15"/>
          <w:sz w:val="20"/>
          <w:szCs w:val="20"/>
        </w:rPr>
        <w:t xml:space="preserve"> </w:t>
      </w:r>
      <w:r>
        <w:rPr>
          <w:color w:val="57585A"/>
          <w:spacing w:val="-14"/>
          <w:sz w:val="20"/>
          <w:szCs w:val="20"/>
        </w:rPr>
        <w:t>varies significantly.</w:t>
      </w:r>
      <w:r>
        <w:rPr>
          <w:color w:val="57585A"/>
          <w:spacing w:val="-16"/>
          <w:sz w:val="20"/>
          <w:szCs w:val="20"/>
        </w:rPr>
        <w:t xml:space="preserve"> </w:t>
      </w:r>
      <w:r>
        <w:rPr>
          <w:color w:val="57585A"/>
          <w:spacing w:val="-14"/>
          <w:sz w:val="20"/>
          <w:szCs w:val="20"/>
        </w:rPr>
        <w:t>YPF's Lujan de Cuyo and La Plata facilities, and Campana and</w:t>
      </w:r>
      <w:r>
        <w:rPr>
          <w:color w:val="57585A"/>
          <w:spacing w:val="1"/>
          <w:sz w:val="20"/>
          <w:szCs w:val="20"/>
        </w:rPr>
        <w:t xml:space="preserve"> </w:t>
      </w:r>
      <w:r>
        <w:rPr>
          <w:color w:val="57585A"/>
          <w:spacing w:val="-14"/>
          <w:sz w:val="20"/>
          <w:szCs w:val="20"/>
        </w:rPr>
        <w:t>Ba</w:t>
      </w:r>
      <w:r>
        <w:rPr>
          <w:color w:val="57585A"/>
          <w:spacing w:val="-15"/>
          <w:sz w:val="20"/>
          <w:szCs w:val="20"/>
        </w:rPr>
        <w:t>hia</w:t>
      </w:r>
      <w:r>
        <w:rPr>
          <w:color w:val="57585A"/>
          <w:sz w:val="20"/>
          <w:szCs w:val="20"/>
        </w:rPr>
        <w:t xml:space="preserve"> </w:t>
      </w:r>
      <w:r>
        <w:rPr>
          <w:color w:val="57585A"/>
          <w:spacing w:val="-15"/>
          <w:sz w:val="20"/>
          <w:szCs w:val="20"/>
        </w:rPr>
        <w:t>Blanca</w:t>
      </w:r>
      <w:r>
        <w:rPr>
          <w:color w:val="57585A"/>
          <w:spacing w:val="-1"/>
          <w:sz w:val="20"/>
          <w:szCs w:val="20"/>
        </w:rPr>
        <w:t xml:space="preserve"> </w:t>
      </w:r>
      <w:r>
        <w:rPr>
          <w:color w:val="57585A"/>
          <w:spacing w:val="-15"/>
          <w:sz w:val="20"/>
          <w:szCs w:val="20"/>
        </w:rPr>
        <w:t>plants are</w:t>
      </w:r>
      <w:r>
        <w:rPr>
          <w:color w:val="57585A"/>
          <w:sz w:val="20"/>
          <w:szCs w:val="20"/>
        </w:rPr>
        <w:t xml:space="preserve">  </w:t>
      </w:r>
      <w:r>
        <w:rPr>
          <w:color w:val="57585A"/>
          <w:spacing w:val="-11"/>
          <w:sz w:val="20"/>
          <w:szCs w:val="20"/>
        </w:rPr>
        <w:t>relatively complex,</w:t>
      </w:r>
      <w:r>
        <w:rPr>
          <w:color w:val="57585A"/>
          <w:spacing w:val="-16"/>
          <w:sz w:val="20"/>
          <w:szCs w:val="20"/>
        </w:rPr>
        <w:t xml:space="preserve"> </w:t>
      </w:r>
      <w:r>
        <w:rPr>
          <w:color w:val="57585A"/>
          <w:spacing w:val="-11"/>
          <w:sz w:val="20"/>
          <w:szCs w:val="20"/>
        </w:rPr>
        <w:t>with coking, catalytic cracking and hydrotreating capacity to proces</w:t>
      </w:r>
      <w:r>
        <w:rPr>
          <w:color w:val="57585A"/>
          <w:spacing w:val="-12"/>
          <w:sz w:val="20"/>
          <w:szCs w:val="20"/>
        </w:rPr>
        <w:t>s the heavier and sourer grade oils. The</w:t>
      </w:r>
      <w:r>
        <w:rPr>
          <w:color w:val="57585A"/>
          <w:sz w:val="20"/>
          <w:szCs w:val="20"/>
        </w:rPr>
        <w:t xml:space="preserve"> </w:t>
      </w:r>
      <w:r>
        <w:rPr>
          <w:color w:val="57585A"/>
          <w:spacing w:val="-10"/>
          <w:sz w:val="20"/>
          <w:szCs w:val="20"/>
        </w:rPr>
        <w:t>remaining refineries comprise more basic cr</w:t>
      </w:r>
      <w:r>
        <w:rPr>
          <w:color w:val="57585A"/>
          <w:spacing w:val="-11"/>
          <w:sz w:val="20"/>
          <w:szCs w:val="20"/>
        </w:rPr>
        <w:t>ude distillation units.</w:t>
      </w:r>
    </w:p>
    <w:p w14:paraId="16FC4AAE">
      <w:pPr>
        <w:spacing w:line="279" w:lineRule="auto"/>
        <w:rPr>
          <w:sz w:val="20"/>
          <w:szCs w:val="20"/>
        </w:rPr>
        <w:sectPr>
          <w:footerReference r:id="rId29" w:type="default"/>
          <w:pgSz w:w="11906" w:h="16838"/>
          <w:pgMar w:top="400" w:right="490" w:bottom="883" w:left="490" w:header="0" w:footer="0" w:gutter="0"/>
          <w:cols w:space="720" w:num="1"/>
        </w:sectPr>
      </w:pPr>
    </w:p>
    <w:p w14:paraId="4DDAA0B2">
      <w:pPr>
        <w:pStyle w:val="4"/>
        <w:spacing w:before="73" w:line="241" w:lineRule="auto"/>
        <w:ind w:left="7372"/>
        <w:rPr>
          <w:sz w:val="20"/>
          <w:szCs w:val="20"/>
        </w:rPr>
      </w:pPr>
      <w:r>
        <w:drawing>
          <wp:anchor distT="0" distB="0" distL="0" distR="0" simplePos="0" relativeHeight="25176473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65760" behindDoc="0" locked="0" layoutInCell="0" allowOverlap="1">
            <wp:simplePos x="0" y="0"/>
            <wp:positionH relativeFrom="page">
              <wp:posOffset>311150</wp:posOffset>
            </wp:positionH>
            <wp:positionV relativeFrom="page">
              <wp:posOffset>0</wp:posOffset>
            </wp:positionV>
            <wp:extent cx="19050" cy="814070"/>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5CC63F5">
      <w:pPr>
        <w:pStyle w:val="4"/>
        <w:spacing w:line="278" w:lineRule="auto"/>
      </w:pPr>
    </w:p>
    <w:p w14:paraId="36DC8E2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35685CD">
      <w:pPr>
        <w:pStyle w:val="4"/>
        <w:spacing w:line="437" w:lineRule="auto"/>
      </w:pPr>
    </w:p>
    <w:p w14:paraId="05C69C87">
      <w:pPr>
        <w:pStyle w:val="4"/>
        <w:spacing w:before="69" w:line="234" w:lineRule="auto"/>
        <w:ind w:left="3174"/>
        <w:outlineLvl w:val="1"/>
        <w:rPr>
          <w:sz w:val="24"/>
          <w:szCs w:val="24"/>
        </w:rPr>
      </w:pPr>
      <w:r>
        <w:rPr>
          <w:color w:val="174174"/>
          <w:spacing w:val="-11"/>
          <w:sz w:val="24"/>
          <w:szCs w:val="24"/>
        </w:rPr>
        <w:t>Argentina Unlikely To Expand R</w:t>
      </w:r>
      <w:r>
        <w:rPr>
          <w:color w:val="174174"/>
          <w:spacing w:val="-12"/>
          <w:sz w:val="24"/>
          <w:szCs w:val="24"/>
        </w:rPr>
        <w:t>efining Capacity</w:t>
      </w:r>
    </w:p>
    <w:p w14:paraId="006AE68D">
      <w:pPr>
        <w:pStyle w:val="4"/>
        <w:spacing w:before="32" w:line="231" w:lineRule="auto"/>
        <w:ind w:left="3474"/>
        <w:outlineLvl w:val="1"/>
        <w:rPr>
          <w:sz w:val="20"/>
          <w:szCs w:val="20"/>
        </w:rPr>
      </w:pPr>
      <w:r>
        <w:rPr>
          <w:color w:val="333333"/>
          <w:spacing w:val="-12"/>
          <w:sz w:val="20"/>
          <w:szCs w:val="20"/>
        </w:rPr>
        <w:t>Argentina - Refining Capacity Forecast (2023-2034)</w:t>
      </w:r>
    </w:p>
    <w:p w14:paraId="6324802D">
      <w:pPr>
        <w:spacing w:before="96" w:line="4500" w:lineRule="exact"/>
        <w:ind w:firstLine="1862"/>
      </w:pPr>
      <w:r>
        <w:rPr>
          <w:position w:val="-89"/>
        </w:rPr>
        <w:drawing>
          <wp:inline distT="0" distB="0" distL="0" distR="0">
            <wp:extent cx="4572000" cy="2856865"/>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21"/>
                    <a:stretch>
                      <a:fillRect/>
                    </a:stretch>
                  </pic:blipFill>
                  <pic:spPr>
                    <a:xfrm>
                      <a:off x="0" y="0"/>
                      <a:ext cx="4572000" cy="2857499"/>
                    </a:xfrm>
                    <a:prstGeom prst="rect">
                      <a:avLst/>
                    </a:prstGeom>
                  </pic:spPr>
                </pic:pic>
              </a:graphicData>
            </a:graphic>
          </wp:inline>
        </w:drawing>
      </w:r>
    </w:p>
    <w:p w14:paraId="2ABABDCE">
      <w:pPr>
        <w:pStyle w:val="4"/>
        <w:spacing w:before="149" w:line="177" w:lineRule="exact"/>
        <w:ind w:left="1876"/>
        <w:rPr>
          <w:sz w:val="15"/>
          <w:szCs w:val="15"/>
        </w:rPr>
      </w:pPr>
      <w:r>
        <w:drawing>
          <wp:anchor distT="0" distB="0" distL="0" distR="0" simplePos="0" relativeHeight="25176371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24"/>
          <w:position w:val="1"/>
          <w:sz w:val="15"/>
          <w:szCs w:val="15"/>
        </w:rPr>
        <w:t xml:space="preserve"> </w:t>
      </w:r>
      <w:r>
        <w:rPr>
          <w:i/>
          <w:iCs/>
          <w:color w:val="333333"/>
          <w:spacing w:val="-3"/>
          <w:w w:val="93"/>
          <w:position w:val="1"/>
          <w:sz w:val="15"/>
          <w:szCs w:val="15"/>
        </w:rPr>
        <w:t>= BMI estimate/fore</w:t>
      </w:r>
      <w:r>
        <w:rPr>
          <w:i/>
          <w:iCs/>
          <w:color w:val="333333"/>
          <w:spacing w:val="-4"/>
          <w:w w:val="93"/>
          <w:position w:val="1"/>
          <w:sz w:val="15"/>
          <w:szCs w:val="15"/>
        </w:rPr>
        <w:t>cast. Source: Minem, BMI</w:t>
      </w:r>
    </w:p>
    <w:p w14:paraId="449577AC">
      <w:pPr>
        <w:pStyle w:val="4"/>
        <w:spacing w:line="358" w:lineRule="auto"/>
      </w:pPr>
    </w:p>
    <w:p w14:paraId="1DD2241D">
      <w:pPr>
        <w:pStyle w:val="4"/>
        <w:spacing w:before="58" w:line="273" w:lineRule="auto"/>
        <w:ind w:left="362" w:right="475" w:hanging="2"/>
        <w:rPr>
          <w:sz w:val="20"/>
          <w:szCs w:val="20"/>
        </w:rPr>
      </w:pPr>
      <w:r>
        <w:rPr>
          <w:color w:val="57585A"/>
          <w:spacing w:val="-10"/>
          <w:sz w:val="20"/>
          <w:szCs w:val="20"/>
        </w:rPr>
        <w:t>The expansion and modernisation of</w:t>
      </w:r>
      <w:r>
        <w:rPr>
          <w:color w:val="57585A"/>
          <w:spacing w:val="-21"/>
          <w:sz w:val="20"/>
          <w:szCs w:val="20"/>
        </w:rPr>
        <w:t xml:space="preserve"> </w:t>
      </w:r>
      <w:r>
        <w:rPr>
          <w:color w:val="57585A"/>
          <w:spacing w:val="-10"/>
          <w:sz w:val="20"/>
          <w:szCs w:val="20"/>
        </w:rPr>
        <w:t>the Campa</w:t>
      </w:r>
      <w:r>
        <w:rPr>
          <w:color w:val="57585A"/>
          <w:spacing w:val="-11"/>
          <w:sz w:val="20"/>
          <w:szCs w:val="20"/>
        </w:rPr>
        <w:t>na refinery put the sector in a better position. This project increased throughput at</w:t>
      </w:r>
      <w:r>
        <w:rPr>
          <w:color w:val="57585A"/>
          <w:sz w:val="20"/>
          <w:szCs w:val="20"/>
        </w:rPr>
        <w:t xml:space="preserve"> </w:t>
      </w:r>
      <w:r>
        <w:rPr>
          <w:color w:val="57585A"/>
          <w:spacing w:val="-10"/>
          <w:sz w:val="20"/>
          <w:szCs w:val="20"/>
        </w:rPr>
        <w:t>the refinery's crude, catalytic crackin</w:t>
      </w:r>
      <w:r>
        <w:rPr>
          <w:color w:val="57585A"/>
          <w:spacing w:val="-11"/>
          <w:sz w:val="20"/>
          <w:szCs w:val="20"/>
        </w:rPr>
        <w:t>g, and diesel hydrotreating units as</w:t>
      </w:r>
      <w:r>
        <w:rPr>
          <w:color w:val="57585A"/>
          <w:spacing w:val="-15"/>
          <w:sz w:val="20"/>
          <w:szCs w:val="20"/>
        </w:rPr>
        <w:t xml:space="preserve"> </w:t>
      </w:r>
      <w:r>
        <w:rPr>
          <w:color w:val="57585A"/>
          <w:spacing w:val="-11"/>
          <w:sz w:val="20"/>
          <w:szCs w:val="20"/>
        </w:rPr>
        <w:t>well as improve the quality of</w:t>
      </w:r>
      <w:r>
        <w:rPr>
          <w:color w:val="57585A"/>
          <w:spacing w:val="-22"/>
          <w:sz w:val="20"/>
          <w:szCs w:val="20"/>
        </w:rPr>
        <w:t xml:space="preserve"> </w:t>
      </w:r>
      <w:r>
        <w:rPr>
          <w:color w:val="57585A"/>
          <w:spacing w:val="-11"/>
          <w:sz w:val="20"/>
          <w:szCs w:val="20"/>
        </w:rPr>
        <w:t>the fuel produced. The</w:t>
      </w:r>
    </w:p>
    <w:p w14:paraId="43B8A103">
      <w:pPr>
        <w:pStyle w:val="4"/>
        <w:spacing w:before="37" w:line="231" w:lineRule="auto"/>
        <w:ind w:left="369"/>
        <w:rPr>
          <w:sz w:val="20"/>
          <w:szCs w:val="20"/>
        </w:rPr>
      </w:pPr>
      <w:r>
        <w:rPr>
          <w:color w:val="57585A"/>
          <w:spacing w:val="-11"/>
          <w:sz w:val="20"/>
          <w:szCs w:val="20"/>
        </w:rPr>
        <w:t xml:space="preserve">expansion cost USD1.5bn, boosting capacity by </w:t>
      </w:r>
      <w:r>
        <w:rPr>
          <w:color w:val="57585A"/>
          <w:spacing w:val="-12"/>
          <w:sz w:val="20"/>
          <w:szCs w:val="20"/>
        </w:rPr>
        <w:t>an estimated 20,000b/d.</w:t>
      </w:r>
    </w:p>
    <w:p w14:paraId="4D70F18D">
      <w:pPr>
        <w:pStyle w:val="4"/>
        <w:spacing w:line="287" w:lineRule="auto"/>
      </w:pPr>
    </w:p>
    <w:p w14:paraId="741A5F6F">
      <w:pPr>
        <w:pStyle w:val="4"/>
        <w:spacing w:before="58" w:line="231" w:lineRule="auto"/>
        <w:ind w:left="369"/>
        <w:rPr>
          <w:sz w:val="20"/>
          <w:szCs w:val="20"/>
        </w:rPr>
      </w:pPr>
      <w:r>
        <w:rPr>
          <w:color w:val="57585A"/>
          <w:spacing w:val="-11"/>
          <w:sz w:val="20"/>
          <w:szCs w:val="20"/>
        </w:rPr>
        <w:t>Ongoing</w:t>
      </w:r>
      <w:r>
        <w:rPr>
          <w:color w:val="57585A"/>
          <w:spacing w:val="-16"/>
          <w:sz w:val="20"/>
          <w:szCs w:val="20"/>
        </w:rPr>
        <w:t xml:space="preserve"> </w:t>
      </w:r>
      <w:r>
        <w:rPr>
          <w:color w:val="57585A"/>
          <w:spacing w:val="-11"/>
          <w:sz w:val="20"/>
          <w:szCs w:val="20"/>
        </w:rPr>
        <w:t>works at refinery are notably being led by</w:t>
      </w:r>
      <w:r>
        <w:rPr>
          <w:color w:val="57585A"/>
          <w:spacing w:val="-15"/>
          <w:sz w:val="20"/>
          <w:szCs w:val="20"/>
        </w:rPr>
        <w:t xml:space="preserve"> </w:t>
      </w:r>
      <w:r>
        <w:rPr>
          <w:color w:val="57585A"/>
          <w:spacing w:val="-11"/>
          <w:sz w:val="20"/>
          <w:szCs w:val="20"/>
        </w:rPr>
        <w:t>YPF,</w:t>
      </w:r>
      <w:r>
        <w:rPr>
          <w:color w:val="57585A"/>
          <w:spacing w:val="-16"/>
          <w:sz w:val="20"/>
          <w:szCs w:val="20"/>
        </w:rPr>
        <w:t xml:space="preserve"> </w:t>
      </w:r>
      <w:r>
        <w:rPr>
          <w:color w:val="57585A"/>
          <w:spacing w:val="-11"/>
          <w:sz w:val="20"/>
          <w:szCs w:val="20"/>
        </w:rPr>
        <w:t>which is progress</w:t>
      </w:r>
      <w:r>
        <w:rPr>
          <w:color w:val="57585A"/>
          <w:spacing w:val="-12"/>
          <w:sz w:val="20"/>
          <w:szCs w:val="20"/>
        </w:rPr>
        <w:t>ing its modernization</w:t>
      </w:r>
      <w:r>
        <w:rPr>
          <w:color w:val="57585A"/>
          <w:spacing w:val="-2"/>
          <w:sz w:val="20"/>
          <w:szCs w:val="20"/>
        </w:rPr>
        <w:t xml:space="preserve"> </w:t>
      </w:r>
      <w:r>
        <w:rPr>
          <w:color w:val="57585A"/>
          <w:spacing w:val="-12"/>
          <w:sz w:val="20"/>
          <w:szCs w:val="20"/>
        </w:rPr>
        <w:t>program to produce</w:t>
      </w:r>
      <w:r>
        <w:rPr>
          <w:color w:val="57585A"/>
          <w:spacing w:val="-1"/>
          <w:sz w:val="20"/>
          <w:szCs w:val="20"/>
        </w:rPr>
        <w:t xml:space="preserve"> </w:t>
      </w:r>
      <w:r>
        <w:rPr>
          <w:color w:val="57585A"/>
          <w:spacing w:val="-12"/>
          <w:sz w:val="20"/>
          <w:szCs w:val="20"/>
        </w:rPr>
        <w:t>low-sulphur</w:t>
      </w:r>
    </w:p>
    <w:p w14:paraId="25C53E4E">
      <w:pPr>
        <w:pStyle w:val="4"/>
        <w:spacing w:before="59" w:line="231" w:lineRule="auto"/>
        <w:ind w:left="363"/>
        <w:rPr>
          <w:sz w:val="20"/>
          <w:szCs w:val="20"/>
        </w:rPr>
      </w:pPr>
      <w:r>
        <w:rPr>
          <w:color w:val="57585A"/>
          <w:spacing w:val="-10"/>
          <w:sz w:val="20"/>
          <w:szCs w:val="20"/>
        </w:rPr>
        <w:t xml:space="preserve">fields at the Lujan de Cuyo refinery in </w:t>
      </w:r>
      <w:r>
        <w:rPr>
          <w:color w:val="57585A"/>
          <w:spacing w:val="-11"/>
          <w:sz w:val="20"/>
          <w:szCs w:val="20"/>
        </w:rPr>
        <w:t>the Mendoza region. Increased deliveries of light crude oil to the refienery from rising</w:t>
      </w:r>
    </w:p>
    <w:p w14:paraId="4794897B">
      <w:pPr>
        <w:pStyle w:val="4"/>
        <w:spacing w:before="59" w:line="279" w:lineRule="auto"/>
        <w:ind w:left="359" w:right="369" w:firstLine="13"/>
        <w:rPr>
          <w:sz w:val="20"/>
          <w:szCs w:val="20"/>
        </w:rPr>
      </w:pPr>
      <w:r>
        <w:rPr>
          <w:color w:val="57585A"/>
          <w:spacing w:val="-11"/>
          <w:sz w:val="20"/>
          <w:szCs w:val="20"/>
        </w:rPr>
        <w:t>production at the Neuquen basin following the expansion of</w:t>
      </w:r>
      <w:r>
        <w:rPr>
          <w:color w:val="57585A"/>
          <w:spacing w:val="-21"/>
          <w:sz w:val="20"/>
          <w:szCs w:val="20"/>
        </w:rPr>
        <w:t xml:space="preserve"> </w:t>
      </w:r>
      <w:r>
        <w:rPr>
          <w:color w:val="57585A"/>
          <w:spacing w:val="-11"/>
          <w:sz w:val="20"/>
          <w:szCs w:val="20"/>
        </w:rPr>
        <w:t>the Puesto H</w:t>
      </w:r>
      <w:r>
        <w:rPr>
          <w:color w:val="57585A"/>
          <w:spacing w:val="-12"/>
          <w:sz w:val="20"/>
          <w:szCs w:val="20"/>
        </w:rPr>
        <w:t>ernandez-Lujan de Cuyo and Vaca Muerta Norte pipelines</w:t>
      </w:r>
      <w:r>
        <w:rPr>
          <w:color w:val="57585A"/>
          <w:sz w:val="20"/>
          <w:szCs w:val="20"/>
        </w:rPr>
        <w:t xml:space="preserve"> </w:t>
      </w:r>
      <w:r>
        <w:rPr>
          <w:color w:val="57585A"/>
          <w:spacing w:val="-10"/>
          <w:sz w:val="20"/>
          <w:szCs w:val="20"/>
        </w:rPr>
        <w:t>are prompting the site's propo</w:t>
      </w:r>
      <w:r>
        <w:rPr>
          <w:color w:val="57585A"/>
          <w:spacing w:val="-11"/>
          <w:sz w:val="20"/>
          <w:szCs w:val="20"/>
        </w:rPr>
        <w:t>sed capacity expansion. Notably, modernisation</w:t>
      </w:r>
      <w:r>
        <w:rPr>
          <w:color w:val="57585A"/>
          <w:spacing w:val="-16"/>
          <w:sz w:val="20"/>
          <w:szCs w:val="20"/>
        </w:rPr>
        <w:t xml:space="preserve"> </w:t>
      </w:r>
      <w:r>
        <w:rPr>
          <w:color w:val="57585A"/>
          <w:spacing w:val="-11"/>
          <w:sz w:val="20"/>
          <w:szCs w:val="20"/>
        </w:rPr>
        <w:t>will reduce sulphur content in diesel fuels, in line</w:t>
      </w:r>
      <w:r>
        <w:rPr>
          <w:color w:val="57585A"/>
          <w:spacing w:val="-15"/>
          <w:sz w:val="20"/>
          <w:szCs w:val="20"/>
        </w:rPr>
        <w:t xml:space="preserve"> </w:t>
      </w:r>
      <w:r>
        <w:rPr>
          <w:color w:val="57585A"/>
          <w:spacing w:val="-11"/>
          <w:sz w:val="20"/>
          <w:szCs w:val="20"/>
        </w:rPr>
        <w:t>with</w:t>
      </w:r>
      <w:r>
        <w:rPr>
          <w:color w:val="57585A"/>
          <w:sz w:val="20"/>
          <w:szCs w:val="20"/>
        </w:rPr>
        <w:t xml:space="preserve"> </w:t>
      </w:r>
      <w:r>
        <w:rPr>
          <w:color w:val="57585A"/>
          <w:spacing w:val="-10"/>
          <w:sz w:val="20"/>
          <w:szCs w:val="20"/>
        </w:rPr>
        <w:t>Argentina's fuels speci</w:t>
      </w:r>
      <w:r>
        <w:rPr>
          <w:color w:val="57585A"/>
          <w:spacing w:val="-11"/>
          <w:sz w:val="20"/>
          <w:szCs w:val="20"/>
        </w:rPr>
        <w:t>fications.</w:t>
      </w:r>
      <w:r>
        <w:rPr>
          <w:color w:val="57585A"/>
          <w:spacing w:val="-15"/>
          <w:sz w:val="20"/>
          <w:szCs w:val="20"/>
        </w:rPr>
        <w:t xml:space="preserve"> </w:t>
      </w:r>
      <w:r>
        <w:rPr>
          <w:color w:val="57585A"/>
          <w:spacing w:val="-11"/>
          <w:sz w:val="20"/>
          <w:szCs w:val="20"/>
        </w:rPr>
        <w:t>A hydrogen gas production plant and a diesel hydro-treatment unit are also being built. The</w:t>
      </w:r>
    </w:p>
    <w:p w14:paraId="1739DF49">
      <w:pPr>
        <w:pStyle w:val="4"/>
        <w:spacing w:before="37" w:line="231" w:lineRule="auto"/>
        <w:ind w:left="375"/>
        <w:rPr>
          <w:sz w:val="20"/>
          <w:szCs w:val="20"/>
        </w:rPr>
      </w:pPr>
      <w:r>
        <w:rPr>
          <w:color w:val="57585A"/>
          <w:spacing w:val="-11"/>
          <w:sz w:val="20"/>
          <w:szCs w:val="20"/>
        </w:rPr>
        <w:t>USD600mn investment is expected to be opera</w:t>
      </w:r>
      <w:r>
        <w:rPr>
          <w:color w:val="57585A"/>
          <w:spacing w:val="-12"/>
          <w:sz w:val="20"/>
          <w:szCs w:val="20"/>
        </w:rPr>
        <w:t>tional by end of 2025.</w:t>
      </w:r>
    </w:p>
    <w:p w14:paraId="533AAB17">
      <w:pPr>
        <w:pStyle w:val="4"/>
        <w:spacing w:line="327" w:lineRule="auto"/>
      </w:pPr>
    </w:p>
    <w:p w14:paraId="3DB55DAF">
      <w:pPr>
        <w:pStyle w:val="4"/>
        <w:spacing w:line="327" w:lineRule="auto"/>
      </w:pPr>
    </w:p>
    <w:p w14:paraId="3B465302">
      <w:pPr>
        <w:pStyle w:val="4"/>
        <w:spacing w:before="70" w:line="234" w:lineRule="auto"/>
        <w:ind w:left="427"/>
        <w:outlineLvl w:val="1"/>
        <w:rPr>
          <w:sz w:val="24"/>
          <w:szCs w:val="24"/>
        </w:rPr>
      </w:pPr>
      <w:r>
        <w:rPr>
          <w:color w:val="174174"/>
          <w:spacing w:val="-9"/>
          <w:sz w:val="24"/>
          <w:szCs w:val="24"/>
        </w:rPr>
        <w:t>Refining Capacity</w:t>
      </w:r>
      <w:r>
        <w:rPr>
          <w:color w:val="174174"/>
          <w:spacing w:val="-24"/>
          <w:sz w:val="24"/>
          <w:szCs w:val="24"/>
        </w:rPr>
        <w:t xml:space="preserve"> </w:t>
      </w:r>
      <w:r>
        <w:rPr>
          <w:color w:val="174174"/>
          <w:spacing w:val="-9"/>
          <w:sz w:val="24"/>
          <w:szCs w:val="24"/>
        </w:rPr>
        <w:t>And Refined Products Prod</w:t>
      </w:r>
      <w:r>
        <w:rPr>
          <w:color w:val="174174"/>
          <w:spacing w:val="-10"/>
          <w:sz w:val="24"/>
          <w:szCs w:val="24"/>
        </w:rPr>
        <w:t>uction (Argentina 2023-2028)</w:t>
      </w:r>
    </w:p>
    <w:p w14:paraId="29BE3DD4">
      <w:pPr>
        <w:spacing w:line="42"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5032"/>
        <w:gridCol w:w="833"/>
        <w:gridCol w:w="907"/>
        <w:gridCol w:w="858"/>
        <w:gridCol w:w="858"/>
        <w:gridCol w:w="858"/>
        <w:gridCol w:w="858"/>
      </w:tblGrid>
      <w:tr w14:paraId="4D3C02B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5032" w:type="dxa"/>
            <w:tcBorders>
              <w:left w:val="nil"/>
              <w:right w:val="single" w:color="D7DADB" w:sz="6" w:space="0"/>
            </w:tcBorders>
            <w:vAlign w:val="top"/>
          </w:tcPr>
          <w:p w14:paraId="4A4B756D">
            <w:pPr>
              <w:pStyle w:val="8"/>
              <w:spacing w:before="75" w:line="243" w:lineRule="exact"/>
              <w:ind w:left="13"/>
            </w:pPr>
            <w:r>
              <w:rPr>
                <w:b/>
                <w:bCs/>
                <w:color w:val="5F6A72"/>
                <w:spacing w:val="-6"/>
                <w:position w:val="1"/>
              </w:rPr>
              <w:t>Indicator</w:t>
            </w:r>
          </w:p>
        </w:tc>
        <w:tc>
          <w:tcPr>
            <w:tcW w:w="833" w:type="dxa"/>
            <w:tcBorders>
              <w:left w:val="single" w:color="D7DADB" w:sz="6" w:space="0"/>
              <w:right w:val="nil"/>
            </w:tcBorders>
            <w:vAlign w:val="top"/>
          </w:tcPr>
          <w:p w14:paraId="27CDA139">
            <w:pPr>
              <w:pStyle w:val="8"/>
              <w:spacing w:before="75" w:line="243" w:lineRule="exact"/>
              <w:ind w:left="369"/>
            </w:pPr>
            <w:r>
              <w:rPr>
                <w:b/>
                <w:bCs/>
                <w:color w:val="5F6A72"/>
                <w:spacing w:val="-4"/>
                <w:position w:val="1"/>
              </w:rPr>
              <w:t>2023</w:t>
            </w:r>
          </w:p>
        </w:tc>
        <w:tc>
          <w:tcPr>
            <w:tcW w:w="907" w:type="dxa"/>
            <w:tcBorders>
              <w:left w:val="nil"/>
              <w:right w:val="nil"/>
            </w:tcBorders>
            <w:vAlign w:val="top"/>
          </w:tcPr>
          <w:p w14:paraId="2C07F22B">
            <w:pPr>
              <w:pStyle w:val="8"/>
              <w:spacing w:before="75" w:line="243" w:lineRule="exact"/>
              <w:ind w:left="357"/>
            </w:pPr>
            <w:r>
              <w:rPr>
                <w:b/>
                <w:bCs/>
                <w:color w:val="5F6A72"/>
                <w:spacing w:val="-4"/>
                <w:position w:val="1"/>
              </w:rPr>
              <w:t>2024e</w:t>
            </w:r>
          </w:p>
        </w:tc>
        <w:tc>
          <w:tcPr>
            <w:tcW w:w="858" w:type="dxa"/>
            <w:tcBorders>
              <w:left w:val="nil"/>
              <w:right w:val="nil"/>
            </w:tcBorders>
            <w:vAlign w:val="top"/>
          </w:tcPr>
          <w:p w14:paraId="7CEFB321">
            <w:pPr>
              <w:pStyle w:val="8"/>
              <w:spacing w:before="75" w:line="243" w:lineRule="exact"/>
              <w:ind w:left="342"/>
            </w:pPr>
            <w:r>
              <w:rPr>
                <w:b/>
                <w:bCs/>
                <w:color w:val="5F6A72"/>
                <w:spacing w:val="-1"/>
                <w:position w:val="1"/>
              </w:rPr>
              <w:t>2025f</w:t>
            </w:r>
          </w:p>
        </w:tc>
        <w:tc>
          <w:tcPr>
            <w:tcW w:w="858" w:type="dxa"/>
            <w:tcBorders>
              <w:left w:val="nil"/>
              <w:right w:val="nil"/>
            </w:tcBorders>
            <w:vAlign w:val="top"/>
          </w:tcPr>
          <w:p w14:paraId="5396062D">
            <w:pPr>
              <w:pStyle w:val="8"/>
              <w:spacing w:before="75" w:line="243" w:lineRule="exact"/>
              <w:ind w:left="342"/>
            </w:pPr>
            <w:r>
              <w:rPr>
                <w:b/>
                <w:bCs/>
                <w:color w:val="5F6A72"/>
                <w:spacing w:val="-1"/>
                <w:position w:val="1"/>
              </w:rPr>
              <w:t>2026f</w:t>
            </w:r>
          </w:p>
        </w:tc>
        <w:tc>
          <w:tcPr>
            <w:tcW w:w="858" w:type="dxa"/>
            <w:tcBorders>
              <w:left w:val="nil"/>
              <w:right w:val="nil"/>
            </w:tcBorders>
            <w:vAlign w:val="top"/>
          </w:tcPr>
          <w:p w14:paraId="3433B40C">
            <w:pPr>
              <w:pStyle w:val="8"/>
              <w:spacing w:before="75" w:line="243" w:lineRule="exact"/>
              <w:ind w:left="342"/>
            </w:pPr>
            <w:r>
              <w:rPr>
                <w:b/>
                <w:bCs/>
                <w:color w:val="5F6A72"/>
                <w:spacing w:val="-1"/>
                <w:position w:val="1"/>
              </w:rPr>
              <w:t>2027f</w:t>
            </w:r>
          </w:p>
        </w:tc>
        <w:tc>
          <w:tcPr>
            <w:tcW w:w="858" w:type="dxa"/>
            <w:tcBorders>
              <w:left w:val="nil"/>
              <w:right w:val="nil"/>
            </w:tcBorders>
            <w:vAlign w:val="top"/>
          </w:tcPr>
          <w:p w14:paraId="4AD7B5E0">
            <w:pPr>
              <w:pStyle w:val="8"/>
              <w:spacing w:before="75" w:line="243" w:lineRule="exact"/>
              <w:ind w:left="342"/>
            </w:pPr>
            <w:r>
              <w:rPr>
                <w:b/>
                <w:bCs/>
                <w:color w:val="5F6A72"/>
                <w:spacing w:val="-1"/>
                <w:position w:val="1"/>
              </w:rPr>
              <w:t>2028f</w:t>
            </w:r>
          </w:p>
        </w:tc>
      </w:tr>
      <w:tr w14:paraId="353E1C6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2" w:type="dxa"/>
            <w:tcBorders>
              <w:left w:val="nil"/>
              <w:right w:val="single" w:color="D7DADB" w:sz="6" w:space="0"/>
            </w:tcBorders>
            <w:vAlign w:val="top"/>
          </w:tcPr>
          <w:p w14:paraId="1102D276">
            <w:pPr>
              <w:pStyle w:val="8"/>
              <w:spacing w:before="71" w:line="234" w:lineRule="auto"/>
              <w:ind w:left="12"/>
            </w:pPr>
            <w:r>
              <w:rPr>
                <w:color w:val="2A8ABF"/>
                <w:spacing w:val="-5"/>
              </w:rPr>
              <w:t>Crude oil refining</w:t>
            </w:r>
            <w:r>
              <w:rPr>
                <w:color w:val="2A8ABF"/>
                <w:spacing w:val="-9"/>
              </w:rPr>
              <w:t xml:space="preserve"> </w:t>
            </w:r>
            <w:r>
              <w:rPr>
                <w:color w:val="2A8ABF"/>
                <w:spacing w:val="-5"/>
              </w:rPr>
              <w:t>capacit</w:t>
            </w:r>
            <w:r>
              <w:rPr>
                <w:color w:val="2A8ABF"/>
                <w:spacing w:val="-6"/>
              </w:rPr>
              <w:t>y,</w:t>
            </w:r>
            <w:r>
              <w:rPr>
                <w:color w:val="2A8ABF"/>
                <w:spacing w:val="-12"/>
              </w:rPr>
              <w:t xml:space="preserve"> </w:t>
            </w:r>
            <w:r>
              <w:rPr>
                <w:color w:val="2A8ABF"/>
                <w:spacing w:val="-6"/>
              </w:rPr>
              <w:t>000b/d</w:t>
            </w:r>
          </w:p>
        </w:tc>
        <w:tc>
          <w:tcPr>
            <w:tcW w:w="833" w:type="dxa"/>
            <w:tcBorders>
              <w:left w:val="single" w:color="D7DADB" w:sz="6" w:space="0"/>
              <w:right w:val="nil"/>
            </w:tcBorders>
            <w:vAlign w:val="top"/>
          </w:tcPr>
          <w:p w14:paraId="55C9168D">
            <w:pPr>
              <w:pStyle w:val="8"/>
              <w:spacing w:before="71" w:line="237" w:lineRule="exact"/>
              <w:ind w:left="340"/>
            </w:pPr>
            <w:r>
              <w:rPr>
                <w:color w:val="5F6A72"/>
                <w:spacing w:val="-6"/>
                <w:position w:val="1"/>
              </w:rPr>
              <w:t>580.0</w:t>
            </w:r>
          </w:p>
        </w:tc>
        <w:tc>
          <w:tcPr>
            <w:tcW w:w="907" w:type="dxa"/>
            <w:tcBorders>
              <w:left w:val="nil"/>
              <w:right w:val="nil"/>
            </w:tcBorders>
            <w:vAlign w:val="top"/>
          </w:tcPr>
          <w:p w14:paraId="051D4CDC">
            <w:pPr>
              <w:pStyle w:val="8"/>
              <w:spacing w:before="71" w:line="237" w:lineRule="exact"/>
              <w:ind w:left="422"/>
            </w:pPr>
            <w:r>
              <w:rPr>
                <w:color w:val="5F6A72"/>
                <w:spacing w:val="-6"/>
                <w:position w:val="1"/>
              </w:rPr>
              <w:t>580.0</w:t>
            </w:r>
          </w:p>
        </w:tc>
        <w:tc>
          <w:tcPr>
            <w:tcW w:w="858" w:type="dxa"/>
            <w:tcBorders>
              <w:left w:val="nil"/>
              <w:right w:val="nil"/>
            </w:tcBorders>
            <w:vAlign w:val="top"/>
          </w:tcPr>
          <w:p w14:paraId="45523BEE">
            <w:pPr>
              <w:pStyle w:val="8"/>
              <w:spacing w:before="71" w:line="237" w:lineRule="exact"/>
              <w:ind w:left="373"/>
            </w:pPr>
            <w:r>
              <w:rPr>
                <w:color w:val="5F6A72"/>
                <w:spacing w:val="-6"/>
                <w:position w:val="1"/>
              </w:rPr>
              <w:t>580.0</w:t>
            </w:r>
          </w:p>
        </w:tc>
        <w:tc>
          <w:tcPr>
            <w:tcW w:w="858" w:type="dxa"/>
            <w:tcBorders>
              <w:left w:val="nil"/>
              <w:right w:val="nil"/>
            </w:tcBorders>
            <w:vAlign w:val="top"/>
          </w:tcPr>
          <w:p w14:paraId="26D966D2">
            <w:pPr>
              <w:pStyle w:val="8"/>
              <w:spacing w:before="71" w:line="237" w:lineRule="exact"/>
              <w:ind w:left="373"/>
            </w:pPr>
            <w:r>
              <w:rPr>
                <w:color w:val="5F6A72"/>
                <w:spacing w:val="-6"/>
                <w:position w:val="1"/>
              </w:rPr>
              <w:t>580.0</w:t>
            </w:r>
          </w:p>
        </w:tc>
        <w:tc>
          <w:tcPr>
            <w:tcW w:w="858" w:type="dxa"/>
            <w:tcBorders>
              <w:left w:val="nil"/>
              <w:right w:val="nil"/>
            </w:tcBorders>
            <w:vAlign w:val="top"/>
          </w:tcPr>
          <w:p w14:paraId="7B6A1359">
            <w:pPr>
              <w:pStyle w:val="8"/>
              <w:spacing w:before="71" w:line="237" w:lineRule="exact"/>
              <w:ind w:left="373"/>
            </w:pPr>
            <w:r>
              <w:rPr>
                <w:color w:val="5F6A72"/>
                <w:spacing w:val="-6"/>
                <w:position w:val="1"/>
              </w:rPr>
              <w:t>580.0</w:t>
            </w:r>
          </w:p>
        </w:tc>
        <w:tc>
          <w:tcPr>
            <w:tcW w:w="858" w:type="dxa"/>
            <w:tcBorders>
              <w:left w:val="nil"/>
              <w:right w:val="nil"/>
            </w:tcBorders>
            <w:vAlign w:val="top"/>
          </w:tcPr>
          <w:p w14:paraId="5D499CB0">
            <w:pPr>
              <w:pStyle w:val="8"/>
              <w:spacing w:before="71" w:line="237" w:lineRule="exact"/>
              <w:ind w:left="373"/>
            </w:pPr>
            <w:r>
              <w:rPr>
                <w:color w:val="5F6A72"/>
                <w:spacing w:val="-6"/>
                <w:position w:val="1"/>
              </w:rPr>
              <w:t>580.0</w:t>
            </w:r>
          </w:p>
        </w:tc>
      </w:tr>
      <w:tr w14:paraId="3ABEC409">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39" w:hRule="atLeast"/>
        </w:trPr>
        <w:tc>
          <w:tcPr>
            <w:tcW w:w="5032" w:type="dxa"/>
            <w:tcBorders>
              <w:left w:val="nil"/>
              <w:right w:val="single" w:color="D7DADB" w:sz="6" w:space="0"/>
            </w:tcBorders>
            <w:shd w:val="clear" w:color="auto" w:fill="EAF9FF"/>
            <w:vAlign w:val="top"/>
          </w:tcPr>
          <w:p w14:paraId="3985E956">
            <w:pPr>
              <w:pStyle w:val="8"/>
              <w:spacing w:before="72" w:line="234" w:lineRule="auto"/>
              <w:ind w:left="12"/>
            </w:pPr>
            <w:r>
              <w:rPr>
                <w:color w:val="2A8ABF"/>
                <w:spacing w:val="-7"/>
              </w:rPr>
              <w:t>Crude oil refining</w:t>
            </w:r>
            <w:r>
              <w:rPr>
                <w:color w:val="2A8ABF"/>
                <w:spacing w:val="-9"/>
              </w:rPr>
              <w:t xml:space="preserve"> </w:t>
            </w:r>
            <w:r>
              <w:rPr>
                <w:color w:val="2A8ABF"/>
                <w:spacing w:val="-7"/>
              </w:rPr>
              <w:t>capac</w:t>
            </w:r>
            <w:r>
              <w:rPr>
                <w:color w:val="2A8ABF"/>
                <w:spacing w:val="-8"/>
              </w:rPr>
              <w:t>ity,</w:t>
            </w:r>
            <w:r>
              <w:rPr>
                <w:color w:val="2A8ABF"/>
                <w:spacing w:val="-13"/>
              </w:rPr>
              <w:t xml:space="preserve"> </w:t>
            </w:r>
            <w:r>
              <w:rPr>
                <w:color w:val="2A8ABF"/>
                <w:spacing w:val="-8"/>
              </w:rPr>
              <w:t>%</w:t>
            </w:r>
            <w:r>
              <w:rPr>
                <w:color w:val="2A8ABF"/>
                <w:spacing w:val="-18"/>
              </w:rPr>
              <w:t xml:space="preserve"> </w:t>
            </w:r>
            <w:r>
              <w:rPr>
                <w:color w:val="2A8ABF"/>
                <w:spacing w:val="-8"/>
              </w:rPr>
              <w:t>y-o-y</w:t>
            </w:r>
          </w:p>
        </w:tc>
        <w:tc>
          <w:tcPr>
            <w:tcW w:w="833" w:type="dxa"/>
            <w:tcBorders>
              <w:left w:val="single" w:color="D7DADB" w:sz="6" w:space="0"/>
              <w:right w:val="nil"/>
            </w:tcBorders>
            <w:shd w:val="clear" w:color="auto" w:fill="EAF9FF"/>
            <w:vAlign w:val="top"/>
          </w:tcPr>
          <w:p w14:paraId="4BB45673">
            <w:pPr>
              <w:pStyle w:val="8"/>
              <w:spacing w:before="72" w:line="237" w:lineRule="exact"/>
              <w:ind w:left="529"/>
            </w:pPr>
            <w:r>
              <w:rPr>
                <w:color w:val="5F6A72"/>
                <w:spacing w:val="-6"/>
                <w:position w:val="1"/>
              </w:rPr>
              <w:t>0.0</w:t>
            </w:r>
          </w:p>
        </w:tc>
        <w:tc>
          <w:tcPr>
            <w:tcW w:w="907" w:type="dxa"/>
            <w:tcBorders>
              <w:left w:val="nil"/>
              <w:right w:val="nil"/>
            </w:tcBorders>
            <w:shd w:val="clear" w:color="auto" w:fill="EAF9FF"/>
            <w:vAlign w:val="top"/>
          </w:tcPr>
          <w:p w14:paraId="57406C52">
            <w:pPr>
              <w:pStyle w:val="8"/>
              <w:spacing w:before="72" w:line="237" w:lineRule="exact"/>
              <w:ind w:left="611"/>
            </w:pPr>
            <w:r>
              <w:rPr>
                <w:color w:val="5F6A72"/>
                <w:spacing w:val="-6"/>
                <w:position w:val="1"/>
              </w:rPr>
              <w:t>0.0</w:t>
            </w:r>
          </w:p>
        </w:tc>
        <w:tc>
          <w:tcPr>
            <w:tcW w:w="858" w:type="dxa"/>
            <w:tcBorders>
              <w:left w:val="nil"/>
              <w:right w:val="nil"/>
            </w:tcBorders>
            <w:shd w:val="clear" w:color="auto" w:fill="EAF9FF"/>
            <w:vAlign w:val="top"/>
          </w:tcPr>
          <w:p w14:paraId="07B3F990">
            <w:pPr>
              <w:pStyle w:val="8"/>
              <w:spacing w:before="72" w:line="237" w:lineRule="exact"/>
              <w:ind w:left="562"/>
            </w:pPr>
            <w:r>
              <w:rPr>
                <w:color w:val="5F6A72"/>
                <w:spacing w:val="-6"/>
                <w:position w:val="1"/>
              </w:rPr>
              <w:t>0.0</w:t>
            </w:r>
          </w:p>
        </w:tc>
        <w:tc>
          <w:tcPr>
            <w:tcW w:w="858" w:type="dxa"/>
            <w:tcBorders>
              <w:left w:val="nil"/>
              <w:right w:val="nil"/>
            </w:tcBorders>
            <w:shd w:val="clear" w:color="auto" w:fill="EAF9FF"/>
            <w:vAlign w:val="top"/>
          </w:tcPr>
          <w:p w14:paraId="1478789A">
            <w:pPr>
              <w:pStyle w:val="8"/>
              <w:spacing w:before="72" w:line="237" w:lineRule="exact"/>
              <w:ind w:left="562"/>
            </w:pPr>
            <w:r>
              <w:rPr>
                <w:color w:val="5F6A72"/>
                <w:spacing w:val="-6"/>
                <w:position w:val="1"/>
              </w:rPr>
              <w:t>0.0</w:t>
            </w:r>
          </w:p>
        </w:tc>
        <w:tc>
          <w:tcPr>
            <w:tcW w:w="858" w:type="dxa"/>
            <w:tcBorders>
              <w:left w:val="nil"/>
              <w:right w:val="nil"/>
            </w:tcBorders>
            <w:shd w:val="clear" w:color="auto" w:fill="EAF9FF"/>
            <w:vAlign w:val="top"/>
          </w:tcPr>
          <w:p w14:paraId="619E88EA">
            <w:pPr>
              <w:pStyle w:val="8"/>
              <w:spacing w:before="72" w:line="237" w:lineRule="exact"/>
              <w:ind w:left="562"/>
            </w:pPr>
            <w:r>
              <w:rPr>
                <w:color w:val="5F6A72"/>
                <w:spacing w:val="-6"/>
                <w:position w:val="1"/>
              </w:rPr>
              <w:t>0.0</w:t>
            </w:r>
          </w:p>
        </w:tc>
        <w:tc>
          <w:tcPr>
            <w:tcW w:w="858" w:type="dxa"/>
            <w:tcBorders>
              <w:left w:val="nil"/>
              <w:right w:val="nil"/>
            </w:tcBorders>
            <w:shd w:val="clear" w:color="auto" w:fill="EAF9FF"/>
            <w:vAlign w:val="top"/>
          </w:tcPr>
          <w:p w14:paraId="71ECC401">
            <w:pPr>
              <w:pStyle w:val="8"/>
              <w:spacing w:before="72" w:line="237" w:lineRule="exact"/>
              <w:ind w:left="562"/>
            </w:pPr>
            <w:r>
              <w:rPr>
                <w:color w:val="5F6A72"/>
                <w:spacing w:val="-6"/>
                <w:position w:val="1"/>
              </w:rPr>
              <w:t>0.0</w:t>
            </w:r>
          </w:p>
        </w:tc>
      </w:tr>
      <w:tr w14:paraId="0FFB9E5E">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2" w:type="dxa"/>
            <w:tcBorders>
              <w:left w:val="nil"/>
              <w:right w:val="single" w:color="D7DADB" w:sz="6" w:space="0"/>
            </w:tcBorders>
            <w:vAlign w:val="top"/>
          </w:tcPr>
          <w:p w14:paraId="465A7055">
            <w:pPr>
              <w:pStyle w:val="8"/>
              <w:spacing w:before="74" w:line="234" w:lineRule="auto"/>
              <w:ind w:left="12"/>
            </w:pPr>
            <w:r>
              <w:rPr>
                <w:color w:val="2A8ABF"/>
                <w:spacing w:val="-6"/>
              </w:rPr>
              <w:t>Crude oil refining capacity, utilisat</w:t>
            </w:r>
            <w:r>
              <w:rPr>
                <w:color w:val="2A8ABF"/>
                <w:spacing w:val="-7"/>
              </w:rPr>
              <w:t>ion,</w:t>
            </w:r>
            <w:r>
              <w:rPr>
                <w:color w:val="2A8ABF"/>
                <w:spacing w:val="-13"/>
              </w:rPr>
              <w:t xml:space="preserve"> </w:t>
            </w:r>
            <w:r>
              <w:rPr>
                <w:color w:val="2A8ABF"/>
                <w:spacing w:val="-7"/>
              </w:rPr>
              <w:t>%</w:t>
            </w:r>
          </w:p>
        </w:tc>
        <w:tc>
          <w:tcPr>
            <w:tcW w:w="833" w:type="dxa"/>
            <w:tcBorders>
              <w:left w:val="single" w:color="D7DADB" w:sz="6" w:space="0"/>
              <w:right w:val="nil"/>
            </w:tcBorders>
            <w:vAlign w:val="top"/>
          </w:tcPr>
          <w:p w14:paraId="1A7A328D">
            <w:pPr>
              <w:pStyle w:val="8"/>
              <w:spacing w:before="74" w:line="238" w:lineRule="exact"/>
              <w:ind w:left="437"/>
            </w:pPr>
            <w:r>
              <w:rPr>
                <w:color w:val="5F6A72"/>
                <w:spacing w:val="-7"/>
                <w:position w:val="1"/>
              </w:rPr>
              <w:t>89.5</w:t>
            </w:r>
          </w:p>
        </w:tc>
        <w:tc>
          <w:tcPr>
            <w:tcW w:w="907" w:type="dxa"/>
            <w:tcBorders>
              <w:left w:val="nil"/>
              <w:right w:val="nil"/>
            </w:tcBorders>
            <w:vAlign w:val="top"/>
          </w:tcPr>
          <w:p w14:paraId="32CFFE17">
            <w:pPr>
              <w:pStyle w:val="8"/>
              <w:spacing w:before="74" w:line="238" w:lineRule="exact"/>
              <w:ind w:left="519"/>
            </w:pPr>
            <w:r>
              <w:rPr>
                <w:color w:val="5F6A72"/>
                <w:spacing w:val="-7"/>
                <w:position w:val="1"/>
              </w:rPr>
              <w:t>90.8</w:t>
            </w:r>
          </w:p>
        </w:tc>
        <w:tc>
          <w:tcPr>
            <w:tcW w:w="858" w:type="dxa"/>
            <w:tcBorders>
              <w:left w:val="nil"/>
              <w:right w:val="nil"/>
            </w:tcBorders>
            <w:vAlign w:val="top"/>
          </w:tcPr>
          <w:p w14:paraId="62037E59">
            <w:pPr>
              <w:pStyle w:val="8"/>
              <w:spacing w:before="74" w:line="238" w:lineRule="exact"/>
              <w:ind w:left="470"/>
            </w:pPr>
            <w:r>
              <w:rPr>
                <w:color w:val="5F6A72"/>
                <w:spacing w:val="-7"/>
                <w:position w:val="1"/>
              </w:rPr>
              <w:t>91.3</w:t>
            </w:r>
          </w:p>
        </w:tc>
        <w:tc>
          <w:tcPr>
            <w:tcW w:w="858" w:type="dxa"/>
            <w:tcBorders>
              <w:left w:val="nil"/>
              <w:right w:val="nil"/>
            </w:tcBorders>
            <w:vAlign w:val="top"/>
          </w:tcPr>
          <w:p w14:paraId="32DB0FE7">
            <w:pPr>
              <w:pStyle w:val="8"/>
              <w:spacing w:before="74" w:line="238" w:lineRule="exact"/>
              <w:ind w:left="470"/>
            </w:pPr>
            <w:r>
              <w:rPr>
                <w:color w:val="5F6A72"/>
                <w:spacing w:val="-7"/>
                <w:position w:val="1"/>
              </w:rPr>
              <w:t>92.2</w:t>
            </w:r>
          </w:p>
        </w:tc>
        <w:tc>
          <w:tcPr>
            <w:tcW w:w="858" w:type="dxa"/>
            <w:tcBorders>
              <w:left w:val="nil"/>
              <w:right w:val="nil"/>
            </w:tcBorders>
            <w:vAlign w:val="top"/>
          </w:tcPr>
          <w:p w14:paraId="44D3D91F">
            <w:pPr>
              <w:pStyle w:val="8"/>
              <w:spacing w:before="74" w:line="238" w:lineRule="exact"/>
              <w:ind w:left="470"/>
            </w:pPr>
            <w:r>
              <w:rPr>
                <w:color w:val="5F6A72"/>
                <w:spacing w:val="-7"/>
                <w:position w:val="1"/>
              </w:rPr>
              <w:t>93.1</w:t>
            </w:r>
          </w:p>
        </w:tc>
        <w:tc>
          <w:tcPr>
            <w:tcW w:w="858" w:type="dxa"/>
            <w:tcBorders>
              <w:left w:val="nil"/>
              <w:right w:val="nil"/>
            </w:tcBorders>
            <w:vAlign w:val="top"/>
          </w:tcPr>
          <w:p w14:paraId="0C5C7C2E">
            <w:pPr>
              <w:pStyle w:val="8"/>
              <w:spacing w:before="74" w:line="238" w:lineRule="exact"/>
              <w:ind w:left="470"/>
            </w:pPr>
            <w:r>
              <w:rPr>
                <w:color w:val="5F6A72"/>
                <w:spacing w:val="-7"/>
                <w:position w:val="1"/>
              </w:rPr>
              <w:t>94.0</w:t>
            </w:r>
          </w:p>
        </w:tc>
      </w:tr>
      <w:tr w14:paraId="1F4E0D61">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2" w:type="dxa"/>
            <w:tcBorders>
              <w:left w:val="nil"/>
              <w:right w:val="single" w:color="D7DADB" w:sz="6" w:space="0"/>
            </w:tcBorders>
            <w:shd w:val="clear" w:color="auto" w:fill="EAF9FF"/>
            <w:vAlign w:val="top"/>
          </w:tcPr>
          <w:p w14:paraId="2ED7E289">
            <w:pPr>
              <w:pStyle w:val="8"/>
              <w:spacing w:before="76" w:line="236" w:lineRule="auto"/>
              <w:ind w:left="18"/>
            </w:pPr>
            <w:r>
              <w:rPr>
                <w:color w:val="2A8ABF"/>
                <w:spacing w:val="-5"/>
              </w:rPr>
              <w:t>Refined products production,</w:t>
            </w:r>
            <w:r>
              <w:rPr>
                <w:color w:val="2A8ABF"/>
                <w:spacing w:val="-1"/>
              </w:rPr>
              <w:t xml:space="preserve"> </w:t>
            </w:r>
            <w:r>
              <w:rPr>
                <w:color w:val="2A8ABF"/>
                <w:spacing w:val="-5"/>
              </w:rPr>
              <w:t>000b/d</w:t>
            </w:r>
          </w:p>
        </w:tc>
        <w:tc>
          <w:tcPr>
            <w:tcW w:w="833" w:type="dxa"/>
            <w:tcBorders>
              <w:left w:val="single" w:color="D7DADB" w:sz="6" w:space="0"/>
              <w:right w:val="nil"/>
            </w:tcBorders>
            <w:shd w:val="clear" w:color="auto" w:fill="EAF9FF"/>
            <w:vAlign w:val="top"/>
          </w:tcPr>
          <w:p w14:paraId="521A2034">
            <w:pPr>
              <w:pStyle w:val="8"/>
              <w:spacing w:before="76" w:line="237" w:lineRule="exact"/>
              <w:ind w:left="340"/>
            </w:pPr>
            <w:r>
              <w:rPr>
                <w:color w:val="5F6A72"/>
                <w:spacing w:val="-6"/>
                <w:position w:val="1"/>
              </w:rPr>
              <w:t>519.0</w:t>
            </w:r>
          </w:p>
        </w:tc>
        <w:tc>
          <w:tcPr>
            <w:tcW w:w="907" w:type="dxa"/>
            <w:tcBorders>
              <w:left w:val="nil"/>
              <w:right w:val="nil"/>
            </w:tcBorders>
            <w:shd w:val="clear" w:color="auto" w:fill="EAF9FF"/>
            <w:vAlign w:val="top"/>
          </w:tcPr>
          <w:p w14:paraId="167C6D7D">
            <w:pPr>
              <w:pStyle w:val="8"/>
              <w:spacing w:before="76" w:line="237" w:lineRule="exact"/>
              <w:ind w:left="422"/>
            </w:pPr>
            <w:r>
              <w:rPr>
                <w:color w:val="5F6A72"/>
                <w:spacing w:val="-6"/>
                <w:position w:val="1"/>
              </w:rPr>
              <w:t>526.8</w:t>
            </w:r>
          </w:p>
        </w:tc>
        <w:tc>
          <w:tcPr>
            <w:tcW w:w="858" w:type="dxa"/>
            <w:tcBorders>
              <w:left w:val="nil"/>
              <w:right w:val="nil"/>
            </w:tcBorders>
            <w:shd w:val="clear" w:color="auto" w:fill="EAF9FF"/>
            <w:vAlign w:val="top"/>
          </w:tcPr>
          <w:p w14:paraId="7A6132A9">
            <w:pPr>
              <w:pStyle w:val="8"/>
              <w:spacing w:before="76" w:line="237" w:lineRule="exact"/>
              <w:ind w:left="373"/>
            </w:pPr>
            <w:r>
              <w:rPr>
                <w:color w:val="5F6A72"/>
                <w:spacing w:val="-6"/>
                <w:position w:val="1"/>
              </w:rPr>
              <w:t>529.4</w:t>
            </w:r>
          </w:p>
        </w:tc>
        <w:tc>
          <w:tcPr>
            <w:tcW w:w="858" w:type="dxa"/>
            <w:tcBorders>
              <w:left w:val="nil"/>
              <w:right w:val="nil"/>
            </w:tcBorders>
            <w:shd w:val="clear" w:color="auto" w:fill="EAF9FF"/>
            <w:vAlign w:val="top"/>
          </w:tcPr>
          <w:p w14:paraId="6B2F818D">
            <w:pPr>
              <w:pStyle w:val="8"/>
              <w:spacing w:before="76" w:line="237" w:lineRule="exact"/>
              <w:ind w:left="373"/>
            </w:pPr>
            <w:r>
              <w:rPr>
                <w:color w:val="5F6A72"/>
                <w:spacing w:val="-6"/>
                <w:position w:val="1"/>
              </w:rPr>
              <w:t>534.7</w:t>
            </w:r>
          </w:p>
        </w:tc>
        <w:tc>
          <w:tcPr>
            <w:tcW w:w="858" w:type="dxa"/>
            <w:tcBorders>
              <w:left w:val="nil"/>
              <w:right w:val="nil"/>
            </w:tcBorders>
            <w:shd w:val="clear" w:color="auto" w:fill="EAF9FF"/>
            <w:vAlign w:val="top"/>
          </w:tcPr>
          <w:p w14:paraId="7A5D06CA">
            <w:pPr>
              <w:pStyle w:val="8"/>
              <w:spacing w:before="76" w:line="237" w:lineRule="exact"/>
              <w:ind w:left="373"/>
            </w:pPr>
            <w:r>
              <w:rPr>
                <w:color w:val="5F6A72"/>
                <w:spacing w:val="-6"/>
                <w:position w:val="1"/>
              </w:rPr>
              <w:t>540.1</w:t>
            </w:r>
          </w:p>
        </w:tc>
        <w:tc>
          <w:tcPr>
            <w:tcW w:w="858" w:type="dxa"/>
            <w:tcBorders>
              <w:left w:val="nil"/>
              <w:right w:val="nil"/>
            </w:tcBorders>
            <w:shd w:val="clear" w:color="auto" w:fill="EAF9FF"/>
            <w:vAlign w:val="top"/>
          </w:tcPr>
          <w:p w14:paraId="133FA4EA">
            <w:pPr>
              <w:pStyle w:val="8"/>
              <w:spacing w:before="76" w:line="237" w:lineRule="exact"/>
              <w:ind w:left="373"/>
            </w:pPr>
            <w:r>
              <w:rPr>
                <w:color w:val="5F6A72"/>
                <w:spacing w:val="-6"/>
                <w:position w:val="1"/>
              </w:rPr>
              <w:t>545.5</w:t>
            </w:r>
          </w:p>
        </w:tc>
      </w:tr>
      <w:tr w14:paraId="457B3944">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2" w:type="dxa"/>
            <w:tcBorders>
              <w:left w:val="nil"/>
              <w:right w:val="single" w:color="D7DADB" w:sz="6" w:space="0"/>
            </w:tcBorders>
            <w:vAlign w:val="top"/>
          </w:tcPr>
          <w:p w14:paraId="1A35A53B">
            <w:pPr>
              <w:pStyle w:val="8"/>
              <w:spacing w:before="76" w:line="234" w:lineRule="auto"/>
              <w:ind w:left="18"/>
            </w:pPr>
            <w:r>
              <w:rPr>
                <w:color w:val="2A8ABF"/>
                <w:spacing w:val="-7"/>
              </w:rPr>
              <w:t>Refined products production,</w:t>
            </w:r>
            <w:r>
              <w:rPr>
                <w:color w:val="2A8ABF"/>
                <w:spacing w:val="-2"/>
              </w:rPr>
              <w:t xml:space="preserve"> </w:t>
            </w:r>
            <w:r>
              <w:rPr>
                <w:color w:val="2A8ABF"/>
                <w:spacing w:val="-7"/>
              </w:rPr>
              <w:t>%</w:t>
            </w:r>
            <w:r>
              <w:rPr>
                <w:color w:val="2A8ABF"/>
                <w:spacing w:val="-18"/>
              </w:rPr>
              <w:t xml:space="preserve"> </w:t>
            </w:r>
            <w:r>
              <w:rPr>
                <w:color w:val="2A8ABF"/>
                <w:spacing w:val="-7"/>
              </w:rPr>
              <w:t>y-o-y</w:t>
            </w:r>
          </w:p>
        </w:tc>
        <w:tc>
          <w:tcPr>
            <w:tcW w:w="833" w:type="dxa"/>
            <w:tcBorders>
              <w:left w:val="single" w:color="D7DADB" w:sz="6" w:space="0"/>
              <w:right w:val="nil"/>
            </w:tcBorders>
            <w:vAlign w:val="top"/>
          </w:tcPr>
          <w:p w14:paraId="7A2A221E">
            <w:pPr>
              <w:pStyle w:val="8"/>
              <w:spacing w:before="77" w:line="237" w:lineRule="exact"/>
              <w:ind w:left="536"/>
            </w:pPr>
            <w:r>
              <w:rPr>
                <w:color w:val="5F6A72"/>
                <w:spacing w:val="-7"/>
                <w:position w:val="1"/>
              </w:rPr>
              <w:t>6.1</w:t>
            </w:r>
          </w:p>
        </w:tc>
        <w:tc>
          <w:tcPr>
            <w:tcW w:w="907" w:type="dxa"/>
            <w:tcBorders>
              <w:left w:val="nil"/>
              <w:right w:val="nil"/>
            </w:tcBorders>
            <w:vAlign w:val="top"/>
          </w:tcPr>
          <w:p w14:paraId="08D5C9A3">
            <w:pPr>
              <w:pStyle w:val="8"/>
              <w:spacing w:before="77" w:line="237" w:lineRule="exact"/>
              <w:ind w:left="619"/>
            </w:pPr>
            <w:r>
              <w:rPr>
                <w:color w:val="5F6A72"/>
                <w:spacing w:val="-7"/>
                <w:position w:val="1"/>
              </w:rPr>
              <w:t>1.5</w:t>
            </w:r>
          </w:p>
        </w:tc>
        <w:tc>
          <w:tcPr>
            <w:tcW w:w="858" w:type="dxa"/>
            <w:tcBorders>
              <w:left w:val="nil"/>
              <w:right w:val="nil"/>
            </w:tcBorders>
            <w:vAlign w:val="top"/>
          </w:tcPr>
          <w:p w14:paraId="1CF209B5">
            <w:pPr>
              <w:pStyle w:val="8"/>
              <w:spacing w:before="77" w:line="237" w:lineRule="exact"/>
              <w:ind w:left="562"/>
            </w:pPr>
            <w:r>
              <w:rPr>
                <w:color w:val="5F6A72"/>
                <w:spacing w:val="-6"/>
                <w:position w:val="1"/>
              </w:rPr>
              <w:t>0.5</w:t>
            </w:r>
          </w:p>
        </w:tc>
        <w:tc>
          <w:tcPr>
            <w:tcW w:w="858" w:type="dxa"/>
            <w:tcBorders>
              <w:left w:val="nil"/>
              <w:right w:val="nil"/>
            </w:tcBorders>
            <w:vAlign w:val="top"/>
          </w:tcPr>
          <w:p w14:paraId="6511D77E">
            <w:pPr>
              <w:pStyle w:val="8"/>
              <w:spacing w:before="77" w:line="237" w:lineRule="exact"/>
              <w:ind w:left="570"/>
            </w:pPr>
            <w:r>
              <w:rPr>
                <w:color w:val="5F6A72"/>
                <w:spacing w:val="-7"/>
                <w:position w:val="1"/>
              </w:rPr>
              <w:t>1.0</w:t>
            </w:r>
          </w:p>
        </w:tc>
        <w:tc>
          <w:tcPr>
            <w:tcW w:w="858" w:type="dxa"/>
            <w:tcBorders>
              <w:left w:val="nil"/>
              <w:right w:val="nil"/>
            </w:tcBorders>
            <w:vAlign w:val="top"/>
          </w:tcPr>
          <w:p w14:paraId="2530DA66">
            <w:pPr>
              <w:pStyle w:val="8"/>
              <w:spacing w:before="77" w:line="237" w:lineRule="exact"/>
              <w:ind w:left="570"/>
            </w:pPr>
            <w:r>
              <w:rPr>
                <w:color w:val="5F6A72"/>
                <w:spacing w:val="-7"/>
                <w:position w:val="1"/>
              </w:rPr>
              <w:t>1.0</w:t>
            </w:r>
          </w:p>
        </w:tc>
        <w:tc>
          <w:tcPr>
            <w:tcW w:w="858" w:type="dxa"/>
            <w:tcBorders>
              <w:left w:val="nil"/>
              <w:right w:val="nil"/>
            </w:tcBorders>
            <w:vAlign w:val="top"/>
          </w:tcPr>
          <w:p w14:paraId="05BD7EB7">
            <w:pPr>
              <w:pStyle w:val="8"/>
              <w:spacing w:before="77" w:line="237" w:lineRule="exact"/>
              <w:ind w:left="570"/>
            </w:pPr>
            <w:r>
              <w:rPr>
                <w:color w:val="5F6A72"/>
                <w:spacing w:val="-7"/>
                <w:position w:val="1"/>
              </w:rPr>
              <w:t>1.0</w:t>
            </w:r>
          </w:p>
        </w:tc>
      </w:tr>
      <w:tr w14:paraId="2E7F533F">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2" w:type="dxa"/>
            <w:tcBorders>
              <w:left w:val="nil"/>
              <w:right w:val="single" w:color="D7DADB" w:sz="6" w:space="0"/>
            </w:tcBorders>
            <w:shd w:val="clear" w:color="auto" w:fill="EAF9FF"/>
            <w:vAlign w:val="top"/>
          </w:tcPr>
          <w:p w14:paraId="1C56E132">
            <w:pPr>
              <w:pStyle w:val="8"/>
              <w:spacing w:before="78" w:line="236" w:lineRule="auto"/>
              <w:ind w:left="18"/>
            </w:pPr>
            <w:r>
              <w:rPr>
                <w:color w:val="2A8ABF"/>
                <w:spacing w:val="-5"/>
              </w:rPr>
              <w:t>Refined products production &amp; ethanol,</w:t>
            </w:r>
            <w:r>
              <w:rPr>
                <w:color w:val="2A8ABF"/>
                <w:spacing w:val="-12"/>
              </w:rPr>
              <w:t xml:space="preserve"> </w:t>
            </w:r>
            <w:r>
              <w:rPr>
                <w:color w:val="2A8ABF"/>
                <w:spacing w:val="-5"/>
              </w:rPr>
              <w:t>000b</w:t>
            </w:r>
            <w:r>
              <w:rPr>
                <w:color w:val="2A8ABF"/>
                <w:spacing w:val="-6"/>
              </w:rPr>
              <w:t>/d</w:t>
            </w:r>
          </w:p>
        </w:tc>
        <w:tc>
          <w:tcPr>
            <w:tcW w:w="833" w:type="dxa"/>
            <w:tcBorders>
              <w:left w:val="single" w:color="D7DADB" w:sz="6" w:space="0"/>
              <w:right w:val="nil"/>
            </w:tcBorders>
            <w:shd w:val="clear" w:color="auto" w:fill="EAF9FF"/>
            <w:vAlign w:val="top"/>
          </w:tcPr>
          <w:p w14:paraId="0D6E1BC0">
            <w:pPr>
              <w:pStyle w:val="8"/>
              <w:spacing w:before="78" w:line="237" w:lineRule="exact"/>
              <w:ind w:left="340"/>
            </w:pPr>
            <w:r>
              <w:rPr>
                <w:color w:val="5F6A72"/>
                <w:spacing w:val="-6"/>
                <w:position w:val="1"/>
              </w:rPr>
              <w:t>578.6</w:t>
            </w:r>
          </w:p>
        </w:tc>
        <w:tc>
          <w:tcPr>
            <w:tcW w:w="907" w:type="dxa"/>
            <w:tcBorders>
              <w:left w:val="nil"/>
              <w:right w:val="nil"/>
            </w:tcBorders>
            <w:shd w:val="clear" w:color="auto" w:fill="EAF9FF"/>
            <w:vAlign w:val="top"/>
          </w:tcPr>
          <w:p w14:paraId="34598B03">
            <w:pPr>
              <w:pStyle w:val="8"/>
              <w:spacing w:before="78" w:line="237" w:lineRule="exact"/>
              <w:ind w:left="422"/>
            </w:pPr>
            <w:r>
              <w:rPr>
                <w:color w:val="5F6A72"/>
                <w:spacing w:val="-6"/>
                <w:position w:val="1"/>
              </w:rPr>
              <w:t>587.0</w:t>
            </w:r>
          </w:p>
        </w:tc>
        <w:tc>
          <w:tcPr>
            <w:tcW w:w="858" w:type="dxa"/>
            <w:tcBorders>
              <w:left w:val="nil"/>
              <w:right w:val="nil"/>
            </w:tcBorders>
            <w:shd w:val="clear" w:color="auto" w:fill="EAF9FF"/>
            <w:vAlign w:val="top"/>
          </w:tcPr>
          <w:p w14:paraId="32D7A110">
            <w:pPr>
              <w:pStyle w:val="8"/>
              <w:spacing w:before="78" w:line="237" w:lineRule="exact"/>
              <w:ind w:left="373"/>
            </w:pPr>
            <w:r>
              <w:rPr>
                <w:color w:val="5F6A72"/>
                <w:spacing w:val="-6"/>
                <w:position w:val="1"/>
              </w:rPr>
              <w:t>590.2</w:t>
            </w:r>
          </w:p>
        </w:tc>
        <w:tc>
          <w:tcPr>
            <w:tcW w:w="858" w:type="dxa"/>
            <w:tcBorders>
              <w:left w:val="nil"/>
              <w:right w:val="nil"/>
            </w:tcBorders>
            <w:shd w:val="clear" w:color="auto" w:fill="EAF9FF"/>
            <w:vAlign w:val="top"/>
          </w:tcPr>
          <w:p w14:paraId="240E520E">
            <w:pPr>
              <w:pStyle w:val="8"/>
              <w:spacing w:before="78" w:line="237" w:lineRule="exact"/>
              <w:ind w:left="373"/>
            </w:pPr>
            <w:r>
              <w:rPr>
                <w:color w:val="5F6A72"/>
                <w:spacing w:val="-6"/>
                <w:position w:val="1"/>
              </w:rPr>
              <w:t>596.1</w:t>
            </w:r>
          </w:p>
        </w:tc>
        <w:tc>
          <w:tcPr>
            <w:tcW w:w="858" w:type="dxa"/>
            <w:tcBorders>
              <w:left w:val="nil"/>
              <w:right w:val="nil"/>
            </w:tcBorders>
            <w:shd w:val="clear" w:color="auto" w:fill="EAF9FF"/>
            <w:vAlign w:val="top"/>
          </w:tcPr>
          <w:p w14:paraId="146559C7">
            <w:pPr>
              <w:pStyle w:val="8"/>
              <w:spacing w:before="78" w:line="237" w:lineRule="exact"/>
              <w:ind w:left="374"/>
            </w:pPr>
            <w:r>
              <w:rPr>
                <w:color w:val="5F6A72"/>
                <w:spacing w:val="-6"/>
                <w:position w:val="1"/>
              </w:rPr>
              <w:t>602.1</w:t>
            </w:r>
          </w:p>
        </w:tc>
        <w:tc>
          <w:tcPr>
            <w:tcW w:w="858" w:type="dxa"/>
            <w:tcBorders>
              <w:left w:val="nil"/>
              <w:right w:val="nil"/>
            </w:tcBorders>
            <w:shd w:val="clear" w:color="auto" w:fill="EAF9FF"/>
            <w:vAlign w:val="top"/>
          </w:tcPr>
          <w:p w14:paraId="2AF36383">
            <w:pPr>
              <w:pStyle w:val="8"/>
              <w:spacing w:before="78" w:line="237" w:lineRule="exact"/>
              <w:ind w:left="374"/>
            </w:pPr>
            <w:r>
              <w:rPr>
                <w:color w:val="5F6A72"/>
                <w:spacing w:val="-6"/>
                <w:position w:val="1"/>
              </w:rPr>
              <w:t>608.2</w:t>
            </w:r>
          </w:p>
        </w:tc>
      </w:tr>
      <w:tr w14:paraId="6D2D5E61">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5032" w:type="dxa"/>
            <w:tcBorders>
              <w:left w:val="nil"/>
              <w:bottom w:val="single" w:color="333333" w:sz="4" w:space="0"/>
              <w:right w:val="single" w:color="D7DADB" w:sz="6" w:space="0"/>
            </w:tcBorders>
            <w:vAlign w:val="top"/>
          </w:tcPr>
          <w:p w14:paraId="4BF95196">
            <w:pPr>
              <w:pStyle w:val="8"/>
              <w:spacing w:before="79" w:line="234" w:lineRule="auto"/>
              <w:ind w:left="18"/>
            </w:pPr>
            <w:r>
              <w:rPr>
                <w:color w:val="2A8ABF"/>
                <w:spacing w:val="-7"/>
              </w:rPr>
              <w:t>Refined products production &amp; ethanol,</w:t>
            </w:r>
            <w:r>
              <w:rPr>
                <w:color w:val="2A8ABF"/>
                <w:spacing w:val="5"/>
              </w:rPr>
              <w:t xml:space="preserve"> </w:t>
            </w:r>
            <w:r>
              <w:rPr>
                <w:color w:val="2A8ABF"/>
                <w:spacing w:val="-7"/>
              </w:rPr>
              <w:t>%</w:t>
            </w:r>
            <w:r>
              <w:rPr>
                <w:color w:val="2A8ABF"/>
                <w:spacing w:val="-18"/>
              </w:rPr>
              <w:t xml:space="preserve"> </w:t>
            </w:r>
            <w:r>
              <w:rPr>
                <w:color w:val="2A8ABF"/>
                <w:spacing w:val="-7"/>
              </w:rPr>
              <w:t>y-o-y</w:t>
            </w:r>
          </w:p>
        </w:tc>
        <w:tc>
          <w:tcPr>
            <w:tcW w:w="833" w:type="dxa"/>
            <w:tcBorders>
              <w:left w:val="single" w:color="D7DADB" w:sz="6" w:space="0"/>
              <w:bottom w:val="single" w:color="333333" w:sz="4" w:space="0"/>
              <w:right w:val="nil"/>
            </w:tcBorders>
            <w:vAlign w:val="top"/>
          </w:tcPr>
          <w:p w14:paraId="2F9C10A4">
            <w:pPr>
              <w:pStyle w:val="8"/>
              <w:spacing w:before="79" w:line="237" w:lineRule="exact"/>
              <w:ind w:left="535"/>
            </w:pPr>
            <w:r>
              <w:rPr>
                <w:color w:val="5F6A72"/>
                <w:spacing w:val="-7"/>
                <w:position w:val="1"/>
              </w:rPr>
              <w:t>5.9</w:t>
            </w:r>
          </w:p>
        </w:tc>
        <w:tc>
          <w:tcPr>
            <w:tcW w:w="907" w:type="dxa"/>
            <w:tcBorders>
              <w:left w:val="nil"/>
              <w:bottom w:val="single" w:color="333333" w:sz="4" w:space="0"/>
              <w:right w:val="nil"/>
            </w:tcBorders>
            <w:vAlign w:val="top"/>
          </w:tcPr>
          <w:p w14:paraId="191E1CCF">
            <w:pPr>
              <w:pStyle w:val="8"/>
              <w:spacing w:before="79" w:line="239" w:lineRule="exact"/>
              <w:ind w:left="619"/>
            </w:pPr>
            <w:r>
              <w:rPr>
                <w:color w:val="5F6A72"/>
                <w:spacing w:val="-7"/>
                <w:position w:val="1"/>
              </w:rPr>
              <w:t>1.4</w:t>
            </w:r>
          </w:p>
        </w:tc>
        <w:tc>
          <w:tcPr>
            <w:tcW w:w="858" w:type="dxa"/>
            <w:tcBorders>
              <w:left w:val="nil"/>
              <w:bottom w:val="single" w:color="333333" w:sz="4" w:space="0"/>
              <w:right w:val="nil"/>
            </w:tcBorders>
            <w:vAlign w:val="top"/>
          </w:tcPr>
          <w:p w14:paraId="63BCB748">
            <w:pPr>
              <w:pStyle w:val="8"/>
              <w:spacing w:before="79" w:line="237" w:lineRule="exact"/>
              <w:ind w:left="562"/>
            </w:pPr>
            <w:r>
              <w:rPr>
                <w:color w:val="5F6A72"/>
                <w:spacing w:val="-6"/>
                <w:position w:val="1"/>
              </w:rPr>
              <w:t>0.6</w:t>
            </w:r>
          </w:p>
        </w:tc>
        <w:tc>
          <w:tcPr>
            <w:tcW w:w="858" w:type="dxa"/>
            <w:tcBorders>
              <w:left w:val="nil"/>
              <w:bottom w:val="single" w:color="333333" w:sz="4" w:space="0"/>
              <w:right w:val="nil"/>
            </w:tcBorders>
            <w:vAlign w:val="top"/>
          </w:tcPr>
          <w:p w14:paraId="6C7200AC">
            <w:pPr>
              <w:pStyle w:val="8"/>
              <w:spacing w:before="79" w:line="237" w:lineRule="exact"/>
              <w:ind w:left="570"/>
            </w:pPr>
            <w:r>
              <w:rPr>
                <w:color w:val="5F6A72"/>
                <w:spacing w:val="-7"/>
                <w:position w:val="1"/>
              </w:rPr>
              <w:t>1.0</w:t>
            </w:r>
          </w:p>
        </w:tc>
        <w:tc>
          <w:tcPr>
            <w:tcW w:w="858" w:type="dxa"/>
            <w:tcBorders>
              <w:left w:val="nil"/>
              <w:bottom w:val="single" w:color="333333" w:sz="4" w:space="0"/>
              <w:right w:val="nil"/>
            </w:tcBorders>
            <w:vAlign w:val="top"/>
          </w:tcPr>
          <w:p w14:paraId="1FE0062A">
            <w:pPr>
              <w:pStyle w:val="8"/>
              <w:spacing w:before="79" w:line="237" w:lineRule="exact"/>
              <w:ind w:left="570"/>
            </w:pPr>
            <w:r>
              <w:rPr>
                <w:color w:val="5F6A72"/>
                <w:spacing w:val="-7"/>
                <w:position w:val="1"/>
              </w:rPr>
              <w:t>1.0</w:t>
            </w:r>
          </w:p>
        </w:tc>
        <w:tc>
          <w:tcPr>
            <w:tcW w:w="858" w:type="dxa"/>
            <w:tcBorders>
              <w:left w:val="nil"/>
              <w:bottom w:val="single" w:color="333333" w:sz="4" w:space="0"/>
              <w:right w:val="nil"/>
            </w:tcBorders>
            <w:vAlign w:val="top"/>
          </w:tcPr>
          <w:p w14:paraId="5819D162">
            <w:pPr>
              <w:pStyle w:val="8"/>
              <w:spacing w:before="79" w:line="237" w:lineRule="exact"/>
              <w:ind w:left="570"/>
            </w:pPr>
            <w:r>
              <w:rPr>
                <w:color w:val="5F6A72"/>
                <w:spacing w:val="-7"/>
                <w:position w:val="1"/>
              </w:rPr>
              <w:t>1.0</w:t>
            </w:r>
          </w:p>
        </w:tc>
      </w:tr>
    </w:tbl>
    <w:p w14:paraId="72BD9C19">
      <w:pPr>
        <w:pStyle w:val="4"/>
        <w:spacing w:line="175" w:lineRule="exact"/>
        <w:ind w:left="373"/>
        <w:rPr>
          <w:sz w:val="15"/>
          <w:szCs w:val="15"/>
        </w:rPr>
      </w:pPr>
      <w:r>
        <w:rPr>
          <w:i/>
          <w:iCs/>
          <w:color w:val="333333"/>
          <w:spacing w:val="-3"/>
          <w:w w:val="93"/>
          <w:position w:val="1"/>
          <w:sz w:val="15"/>
          <w:szCs w:val="15"/>
        </w:rPr>
        <w:t>e/f</w:t>
      </w:r>
      <w:r>
        <w:rPr>
          <w:i/>
          <w:iCs/>
          <w:color w:val="333333"/>
          <w:spacing w:val="-24"/>
          <w:position w:val="1"/>
          <w:sz w:val="15"/>
          <w:szCs w:val="15"/>
        </w:rPr>
        <w:t xml:space="preserve"> </w:t>
      </w:r>
      <w:r>
        <w:rPr>
          <w:i/>
          <w:iCs/>
          <w:color w:val="333333"/>
          <w:spacing w:val="-3"/>
          <w:w w:val="93"/>
          <w:position w:val="1"/>
          <w:sz w:val="15"/>
          <w:szCs w:val="15"/>
        </w:rPr>
        <w:t>= BMI estimate/fore</w:t>
      </w:r>
      <w:r>
        <w:rPr>
          <w:i/>
          <w:iCs/>
          <w:color w:val="333333"/>
          <w:spacing w:val="-4"/>
          <w:w w:val="93"/>
          <w:position w:val="1"/>
          <w:sz w:val="15"/>
          <w:szCs w:val="15"/>
        </w:rPr>
        <w:t>cast. Source: Minem, BMI</w:t>
      </w:r>
    </w:p>
    <w:p w14:paraId="31E8D653">
      <w:pPr>
        <w:spacing w:line="175" w:lineRule="exact"/>
        <w:rPr>
          <w:sz w:val="15"/>
          <w:szCs w:val="15"/>
        </w:rPr>
        <w:sectPr>
          <w:footerReference r:id="rId30" w:type="default"/>
          <w:pgSz w:w="11906" w:h="16838"/>
          <w:pgMar w:top="400" w:right="490" w:bottom="883" w:left="490" w:header="0" w:footer="0" w:gutter="0"/>
          <w:cols w:space="720" w:num="1"/>
        </w:sectPr>
      </w:pPr>
    </w:p>
    <w:p w14:paraId="4AF5E167">
      <w:pPr>
        <w:pStyle w:val="4"/>
        <w:spacing w:before="73" w:line="241" w:lineRule="auto"/>
        <w:ind w:left="7372"/>
        <w:rPr>
          <w:sz w:val="20"/>
          <w:szCs w:val="20"/>
        </w:rPr>
      </w:pPr>
      <w:r>
        <w:drawing>
          <wp:anchor distT="0" distB="0" distL="0" distR="0" simplePos="0" relativeHeight="25176883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69856" behindDoc="0" locked="0" layoutInCell="0" allowOverlap="1">
            <wp:simplePos x="0" y="0"/>
            <wp:positionH relativeFrom="page">
              <wp:posOffset>311150</wp:posOffset>
            </wp:positionH>
            <wp:positionV relativeFrom="page">
              <wp:posOffset>0</wp:posOffset>
            </wp:positionV>
            <wp:extent cx="19050" cy="814070"/>
            <wp:effectExtent l="0" t="0" r="0" b="0"/>
            <wp:wrapNone/>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C93F1C6">
      <w:pPr>
        <w:pStyle w:val="4"/>
        <w:spacing w:line="278" w:lineRule="auto"/>
      </w:pPr>
    </w:p>
    <w:p w14:paraId="4B3CBA8A">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34DDEB9">
      <w:pPr>
        <w:pStyle w:val="4"/>
      </w:pPr>
    </w:p>
    <w:p w14:paraId="6316043A">
      <w:pPr>
        <w:pStyle w:val="4"/>
      </w:pPr>
    </w:p>
    <w:p w14:paraId="403CD2CE">
      <w:pPr>
        <w:pStyle w:val="4"/>
        <w:spacing w:before="69" w:line="234" w:lineRule="auto"/>
        <w:ind w:left="427"/>
        <w:outlineLvl w:val="1"/>
        <w:rPr>
          <w:sz w:val="24"/>
          <w:szCs w:val="24"/>
        </w:rPr>
      </w:pPr>
      <w:r>
        <w:rPr>
          <w:color w:val="174174"/>
          <w:spacing w:val="-9"/>
          <w:sz w:val="24"/>
          <w:szCs w:val="24"/>
        </w:rPr>
        <w:t>Refining Capacity</w:t>
      </w:r>
      <w:r>
        <w:rPr>
          <w:color w:val="174174"/>
          <w:spacing w:val="-24"/>
          <w:sz w:val="24"/>
          <w:szCs w:val="24"/>
        </w:rPr>
        <w:t xml:space="preserve"> </w:t>
      </w:r>
      <w:r>
        <w:rPr>
          <w:color w:val="174174"/>
          <w:spacing w:val="-9"/>
          <w:sz w:val="24"/>
          <w:szCs w:val="24"/>
        </w:rPr>
        <w:t>And Refined Products Prod</w:t>
      </w:r>
      <w:r>
        <w:rPr>
          <w:color w:val="174174"/>
          <w:spacing w:val="-10"/>
          <w:sz w:val="24"/>
          <w:szCs w:val="24"/>
        </w:rPr>
        <w:t>uction (Argentina 2029-2034)</w:t>
      </w:r>
    </w:p>
    <w:p w14:paraId="40E8F773">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5039"/>
        <w:gridCol w:w="870"/>
        <w:gridCol w:w="859"/>
        <w:gridCol w:w="859"/>
        <w:gridCol w:w="859"/>
        <w:gridCol w:w="859"/>
        <w:gridCol w:w="859"/>
      </w:tblGrid>
      <w:tr w14:paraId="522EBDE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5039" w:type="dxa"/>
            <w:tcBorders>
              <w:left w:val="nil"/>
              <w:right w:val="single" w:color="D7DADB" w:sz="6" w:space="0"/>
            </w:tcBorders>
            <w:vAlign w:val="top"/>
          </w:tcPr>
          <w:p w14:paraId="22998FFC">
            <w:pPr>
              <w:pStyle w:val="8"/>
              <w:spacing w:before="75" w:line="243" w:lineRule="exact"/>
              <w:ind w:left="13"/>
            </w:pPr>
            <w:r>
              <w:rPr>
                <w:b/>
                <w:bCs/>
                <w:color w:val="5F6A72"/>
                <w:spacing w:val="-6"/>
                <w:position w:val="1"/>
              </w:rPr>
              <w:t>Indicator</w:t>
            </w:r>
          </w:p>
        </w:tc>
        <w:tc>
          <w:tcPr>
            <w:tcW w:w="870" w:type="dxa"/>
            <w:tcBorders>
              <w:left w:val="single" w:color="D7DADB" w:sz="6" w:space="0"/>
              <w:right w:val="nil"/>
            </w:tcBorders>
            <w:vAlign w:val="top"/>
          </w:tcPr>
          <w:p w14:paraId="1D6EC09A">
            <w:pPr>
              <w:pStyle w:val="8"/>
              <w:spacing w:before="75" w:line="243" w:lineRule="exact"/>
              <w:ind w:left="345"/>
            </w:pPr>
            <w:r>
              <w:rPr>
                <w:b/>
                <w:bCs/>
                <w:color w:val="5F6A72"/>
                <w:spacing w:val="-1"/>
                <w:position w:val="1"/>
              </w:rPr>
              <w:t>2029f</w:t>
            </w:r>
          </w:p>
        </w:tc>
        <w:tc>
          <w:tcPr>
            <w:tcW w:w="859" w:type="dxa"/>
            <w:tcBorders>
              <w:left w:val="nil"/>
              <w:right w:val="nil"/>
            </w:tcBorders>
            <w:vAlign w:val="top"/>
          </w:tcPr>
          <w:p w14:paraId="40C23A92">
            <w:pPr>
              <w:pStyle w:val="8"/>
              <w:spacing w:before="75" w:line="243" w:lineRule="exact"/>
              <w:ind w:left="342"/>
            </w:pPr>
            <w:r>
              <w:rPr>
                <w:b/>
                <w:bCs/>
                <w:color w:val="5F6A72"/>
                <w:spacing w:val="-1"/>
                <w:position w:val="1"/>
              </w:rPr>
              <w:t>2030f</w:t>
            </w:r>
          </w:p>
        </w:tc>
        <w:tc>
          <w:tcPr>
            <w:tcW w:w="859" w:type="dxa"/>
            <w:tcBorders>
              <w:left w:val="nil"/>
              <w:right w:val="nil"/>
            </w:tcBorders>
            <w:vAlign w:val="top"/>
          </w:tcPr>
          <w:p w14:paraId="382BA700">
            <w:pPr>
              <w:pStyle w:val="8"/>
              <w:spacing w:before="75" w:line="243" w:lineRule="exact"/>
              <w:ind w:left="342"/>
            </w:pPr>
            <w:r>
              <w:rPr>
                <w:b/>
                <w:bCs/>
                <w:color w:val="5F6A72"/>
                <w:spacing w:val="-1"/>
                <w:position w:val="1"/>
              </w:rPr>
              <w:t>2031f</w:t>
            </w:r>
          </w:p>
        </w:tc>
        <w:tc>
          <w:tcPr>
            <w:tcW w:w="859" w:type="dxa"/>
            <w:tcBorders>
              <w:left w:val="nil"/>
              <w:right w:val="nil"/>
            </w:tcBorders>
            <w:vAlign w:val="top"/>
          </w:tcPr>
          <w:p w14:paraId="68449F5D">
            <w:pPr>
              <w:pStyle w:val="8"/>
              <w:spacing w:before="75" w:line="243" w:lineRule="exact"/>
              <w:ind w:left="342"/>
            </w:pPr>
            <w:r>
              <w:rPr>
                <w:b/>
                <w:bCs/>
                <w:color w:val="5F6A72"/>
                <w:spacing w:val="-1"/>
                <w:position w:val="1"/>
              </w:rPr>
              <w:t>2032f</w:t>
            </w:r>
          </w:p>
        </w:tc>
        <w:tc>
          <w:tcPr>
            <w:tcW w:w="859" w:type="dxa"/>
            <w:tcBorders>
              <w:left w:val="nil"/>
              <w:right w:val="nil"/>
            </w:tcBorders>
            <w:vAlign w:val="top"/>
          </w:tcPr>
          <w:p w14:paraId="7453F51A">
            <w:pPr>
              <w:pStyle w:val="8"/>
              <w:spacing w:before="75" w:line="243" w:lineRule="exact"/>
              <w:ind w:left="342"/>
            </w:pPr>
            <w:r>
              <w:rPr>
                <w:b/>
                <w:bCs/>
                <w:color w:val="5F6A72"/>
                <w:spacing w:val="-1"/>
                <w:position w:val="1"/>
              </w:rPr>
              <w:t>2033f</w:t>
            </w:r>
          </w:p>
        </w:tc>
        <w:tc>
          <w:tcPr>
            <w:tcW w:w="859" w:type="dxa"/>
            <w:tcBorders>
              <w:left w:val="nil"/>
              <w:right w:val="nil"/>
            </w:tcBorders>
            <w:vAlign w:val="top"/>
          </w:tcPr>
          <w:p w14:paraId="0B714F07">
            <w:pPr>
              <w:pStyle w:val="8"/>
              <w:spacing w:before="75" w:line="243" w:lineRule="exact"/>
              <w:ind w:left="343"/>
            </w:pPr>
            <w:r>
              <w:rPr>
                <w:b/>
                <w:bCs/>
                <w:color w:val="5F6A72"/>
                <w:spacing w:val="-1"/>
                <w:position w:val="1"/>
              </w:rPr>
              <w:t>2034f</w:t>
            </w:r>
          </w:p>
        </w:tc>
      </w:tr>
      <w:tr w14:paraId="47EC26C6">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9" w:type="dxa"/>
            <w:tcBorders>
              <w:left w:val="nil"/>
              <w:right w:val="single" w:color="D7DADB" w:sz="6" w:space="0"/>
            </w:tcBorders>
            <w:vAlign w:val="top"/>
          </w:tcPr>
          <w:p w14:paraId="5747CD76">
            <w:pPr>
              <w:pStyle w:val="8"/>
              <w:spacing w:before="71" w:line="234" w:lineRule="auto"/>
              <w:ind w:left="12"/>
            </w:pPr>
            <w:r>
              <w:rPr>
                <w:color w:val="2A8ABF"/>
                <w:spacing w:val="-5"/>
              </w:rPr>
              <w:t>Crude oil refining</w:t>
            </w:r>
            <w:r>
              <w:rPr>
                <w:color w:val="2A8ABF"/>
                <w:spacing w:val="-9"/>
              </w:rPr>
              <w:t xml:space="preserve"> </w:t>
            </w:r>
            <w:r>
              <w:rPr>
                <w:color w:val="2A8ABF"/>
                <w:spacing w:val="-5"/>
              </w:rPr>
              <w:t>capacit</w:t>
            </w:r>
            <w:r>
              <w:rPr>
                <w:color w:val="2A8ABF"/>
                <w:spacing w:val="-6"/>
              </w:rPr>
              <w:t>y,</w:t>
            </w:r>
            <w:r>
              <w:rPr>
                <w:color w:val="2A8ABF"/>
                <w:spacing w:val="-12"/>
              </w:rPr>
              <w:t xml:space="preserve"> </w:t>
            </w:r>
            <w:r>
              <w:rPr>
                <w:color w:val="2A8ABF"/>
                <w:spacing w:val="-6"/>
              </w:rPr>
              <w:t>000b/d</w:t>
            </w:r>
          </w:p>
        </w:tc>
        <w:tc>
          <w:tcPr>
            <w:tcW w:w="870" w:type="dxa"/>
            <w:tcBorders>
              <w:left w:val="single" w:color="D7DADB" w:sz="6" w:space="0"/>
              <w:right w:val="nil"/>
            </w:tcBorders>
            <w:vAlign w:val="top"/>
          </w:tcPr>
          <w:p w14:paraId="56EE2B82">
            <w:pPr>
              <w:pStyle w:val="8"/>
              <w:spacing w:before="71" w:line="237" w:lineRule="exact"/>
              <w:ind w:left="377"/>
            </w:pPr>
            <w:r>
              <w:rPr>
                <w:color w:val="5F6A72"/>
                <w:spacing w:val="-6"/>
                <w:position w:val="1"/>
              </w:rPr>
              <w:t>580.0</w:t>
            </w:r>
          </w:p>
        </w:tc>
        <w:tc>
          <w:tcPr>
            <w:tcW w:w="859" w:type="dxa"/>
            <w:tcBorders>
              <w:left w:val="nil"/>
              <w:right w:val="nil"/>
            </w:tcBorders>
            <w:vAlign w:val="top"/>
          </w:tcPr>
          <w:p w14:paraId="6B85590E">
            <w:pPr>
              <w:pStyle w:val="8"/>
              <w:spacing w:before="71" w:line="237" w:lineRule="exact"/>
              <w:ind w:left="374"/>
            </w:pPr>
            <w:r>
              <w:rPr>
                <w:color w:val="5F6A72"/>
                <w:spacing w:val="-6"/>
                <w:position w:val="1"/>
              </w:rPr>
              <w:t>580.0</w:t>
            </w:r>
          </w:p>
        </w:tc>
        <w:tc>
          <w:tcPr>
            <w:tcW w:w="859" w:type="dxa"/>
            <w:tcBorders>
              <w:left w:val="nil"/>
              <w:right w:val="nil"/>
            </w:tcBorders>
            <w:vAlign w:val="top"/>
          </w:tcPr>
          <w:p w14:paraId="788EC206">
            <w:pPr>
              <w:pStyle w:val="8"/>
              <w:spacing w:before="71" w:line="237" w:lineRule="exact"/>
              <w:ind w:left="374"/>
            </w:pPr>
            <w:r>
              <w:rPr>
                <w:color w:val="5F6A72"/>
                <w:spacing w:val="-6"/>
                <w:position w:val="1"/>
              </w:rPr>
              <w:t>580.0</w:t>
            </w:r>
          </w:p>
        </w:tc>
        <w:tc>
          <w:tcPr>
            <w:tcW w:w="859" w:type="dxa"/>
            <w:tcBorders>
              <w:left w:val="nil"/>
              <w:right w:val="nil"/>
            </w:tcBorders>
            <w:vAlign w:val="top"/>
          </w:tcPr>
          <w:p w14:paraId="76BDCE83">
            <w:pPr>
              <w:pStyle w:val="8"/>
              <w:spacing w:before="71" w:line="237" w:lineRule="exact"/>
              <w:ind w:left="374"/>
            </w:pPr>
            <w:r>
              <w:rPr>
                <w:color w:val="5F6A72"/>
                <w:spacing w:val="-6"/>
                <w:position w:val="1"/>
              </w:rPr>
              <w:t>580.0</w:t>
            </w:r>
          </w:p>
        </w:tc>
        <w:tc>
          <w:tcPr>
            <w:tcW w:w="859" w:type="dxa"/>
            <w:tcBorders>
              <w:left w:val="nil"/>
              <w:right w:val="nil"/>
            </w:tcBorders>
            <w:vAlign w:val="top"/>
          </w:tcPr>
          <w:p w14:paraId="101156BB">
            <w:pPr>
              <w:pStyle w:val="8"/>
              <w:spacing w:before="71" w:line="237" w:lineRule="exact"/>
              <w:ind w:left="374"/>
            </w:pPr>
            <w:r>
              <w:rPr>
                <w:color w:val="5F6A72"/>
                <w:spacing w:val="-6"/>
                <w:position w:val="1"/>
              </w:rPr>
              <w:t>580.0</w:t>
            </w:r>
          </w:p>
        </w:tc>
        <w:tc>
          <w:tcPr>
            <w:tcW w:w="859" w:type="dxa"/>
            <w:tcBorders>
              <w:left w:val="nil"/>
              <w:right w:val="nil"/>
            </w:tcBorders>
            <w:vAlign w:val="top"/>
          </w:tcPr>
          <w:p w14:paraId="76C9D9FB">
            <w:pPr>
              <w:pStyle w:val="8"/>
              <w:spacing w:before="71" w:line="237" w:lineRule="exact"/>
              <w:ind w:left="374"/>
            </w:pPr>
            <w:r>
              <w:rPr>
                <w:color w:val="5F6A72"/>
                <w:spacing w:val="-6"/>
                <w:position w:val="1"/>
              </w:rPr>
              <w:t>580.0</w:t>
            </w:r>
          </w:p>
        </w:tc>
      </w:tr>
      <w:tr w14:paraId="6D8CBF5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9" w:type="dxa"/>
            <w:tcBorders>
              <w:left w:val="nil"/>
              <w:right w:val="single" w:color="D7DADB" w:sz="6" w:space="0"/>
            </w:tcBorders>
            <w:shd w:val="clear" w:color="auto" w:fill="EAF9FF"/>
            <w:vAlign w:val="top"/>
          </w:tcPr>
          <w:p w14:paraId="787E2F7B">
            <w:pPr>
              <w:pStyle w:val="8"/>
              <w:spacing w:before="72" w:line="234" w:lineRule="auto"/>
              <w:ind w:left="12"/>
            </w:pPr>
            <w:r>
              <w:rPr>
                <w:color w:val="2A8ABF"/>
                <w:spacing w:val="-7"/>
              </w:rPr>
              <w:t>Crude oil refining</w:t>
            </w:r>
            <w:r>
              <w:rPr>
                <w:color w:val="2A8ABF"/>
                <w:spacing w:val="-9"/>
              </w:rPr>
              <w:t xml:space="preserve"> </w:t>
            </w:r>
            <w:r>
              <w:rPr>
                <w:color w:val="2A8ABF"/>
                <w:spacing w:val="-7"/>
              </w:rPr>
              <w:t>capac</w:t>
            </w:r>
            <w:r>
              <w:rPr>
                <w:color w:val="2A8ABF"/>
                <w:spacing w:val="-8"/>
              </w:rPr>
              <w:t>ity,</w:t>
            </w:r>
            <w:r>
              <w:rPr>
                <w:color w:val="2A8ABF"/>
                <w:spacing w:val="-13"/>
              </w:rPr>
              <w:t xml:space="preserve"> </w:t>
            </w:r>
            <w:r>
              <w:rPr>
                <w:color w:val="2A8ABF"/>
                <w:spacing w:val="-8"/>
              </w:rPr>
              <w:t>%</w:t>
            </w:r>
            <w:r>
              <w:rPr>
                <w:color w:val="2A8ABF"/>
                <w:spacing w:val="-18"/>
              </w:rPr>
              <w:t xml:space="preserve"> </w:t>
            </w:r>
            <w:r>
              <w:rPr>
                <w:color w:val="2A8ABF"/>
                <w:spacing w:val="-8"/>
              </w:rPr>
              <w:t>y-o-y</w:t>
            </w:r>
          </w:p>
        </w:tc>
        <w:tc>
          <w:tcPr>
            <w:tcW w:w="870" w:type="dxa"/>
            <w:tcBorders>
              <w:left w:val="single" w:color="D7DADB" w:sz="6" w:space="0"/>
              <w:right w:val="nil"/>
            </w:tcBorders>
            <w:shd w:val="clear" w:color="auto" w:fill="EAF9FF"/>
            <w:vAlign w:val="top"/>
          </w:tcPr>
          <w:p w14:paraId="18E08CF5">
            <w:pPr>
              <w:pStyle w:val="8"/>
              <w:spacing w:before="72" w:line="237" w:lineRule="exact"/>
              <w:ind w:left="566"/>
            </w:pPr>
            <w:r>
              <w:rPr>
                <w:color w:val="5F6A72"/>
                <w:spacing w:val="-6"/>
                <w:position w:val="1"/>
              </w:rPr>
              <w:t>0.0</w:t>
            </w:r>
          </w:p>
        </w:tc>
        <w:tc>
          <w:tcPr>
            <w:tcW w:w="859" w:type="dxa"/>
            <w:tcBorders>
              <w:left w:val="nil"/>
              <w:right w:val="nil"/>
            </w:tcBorders>
            <w:shd w:val="clear" w:color="auto" w:fill="EAF9FF"/>
            <w:vAlign w:val="top"/>
          </w:tcPr>
          <w:p w14:paraId="2D5B45E2">
            <w:pPr>
              <w:pStyle w:val="8"/>
              <w:spacing w:before="72" w:line="237" w:lineRule="exact"/>
              <w:ind w:left="562"/>
            </w:pPr>
            <w:r>
              <w:rPr>
                <w:color w:val="5F6A72"/>
                <w:spacing w:val="-6"/>
                <w:position w:val="1"/>
              </w:rPr>
              <w:t>0.0</w:t>
            </w:r>
          </w:p>
        </w:tc>
        <w:tc>
          <w:tcPr>
            <w:tcW w:w="859" w:type="dxa"/>
            <w:tcBorders>
              <w:left w:val="nil"/>
              <w:right w:val="nil"/>
            </w:tcBorders>
            <w:shd w:val="clear" w:color="auto" w:fill="EAF9FF"/>
            <w:vAlign w:val="top"/>
          </w:tcPr>
          <w:p w14:paraId="631C9D89">
            <w:pPr>
              <w:pStyle w:val="8"/>
              <w:spacing w:before="72" w:line="237" w:lineRule="exact"/>
              <w:ind w:left="563"/>
            </w:pPr>
            <w:r>
              <w:rPr>
                <w:color w:val="5F6A72"/>
                <w:spacing w:val="-6"/>
                <w:position w:val="1"/>
              </w:rPr>
              <w:t>0.0</w:t>
            </w:r>
          </w:p>
        </w:tc>
        <w:tc>
          <w:tcPr>
            <w:tcW w:w="859" w:type="dxa"/>
            <w:tcBorders>
              <w:left w:val="nil"/>
              <w:right w:val="nil"/>
            </w:tcBorders>
            <w:shd w:val="clear" w:color="auto" w:fill="EAF9FF"/>
            <w:vAlign w:val="top"/>
          </w:tcPr>
          <w:p w14:paraId="453F9EB5">
            <w:pPr>
              <w:pStyle w:val="8"/>
              <w:spacing w:before="72" w:line="237" w:lineRule="exact"/>
              <w:ind w:left="563"/>
            </w:pPr>
            <w:r>
              <w:rPr>
                <w:color w:val="5F6A72"/>
                <w:spacing w:val="-6"/>
                <w:position w:val="1"/>
              </w:rPr>
              <w:t>0.0</w:t>
            </w:r>
          </w:p>
        </w:tc>
        <w:tc>
          <w:tcPr>
            <w:tcW w:w="859" w:type="dxa"/>
            <w:tcBorders>
              <w:left w:val="nil"/>
              <w:right w:val="nil"/>
            </w:tcBorders>
            <w:shd w:val="clear" w:color="auto" w:fill="EAF9FF"/>
            <w:vAlign w:val="top"/>
          </w:tcPr>
          <w:p w14:paraId="6B8B06B6">
            <w:pPr>
              <w:pStyle w:val="8"/>
              <w:spacing w:before="72" w:line="237" w:lineRule="exact"/>
              <w:ind w:left="563"/>
            </w:pPr>
            <w:r>
              <w:rPr>
                <w:color w:val="5F6A72"/>
                <w:spacing w:val="-6"/>
                <w:position w:val="1"/>
              </w:rPr>
              <w:t>0.0</w:t>
            </w:r>
          </w:p>
        </w:tc>
        <w:tc>
          <w:tcPr>
            <w:tcW w:w="859" w:type="dxa"/>
            <w:tcBorders>
              <w:left w:val="nil"/>
              <w:right w:val="nil"/>
            </w:tcBorders>
            <w:shd w:val="clear" w:color="auto" w:fill="EAF9FF"/>
            <w:vAlign w:val="top"/>
          </w:tcPr>
          <w:p w14:paraId="4471ABD9">
            <w:pPr>
              <w:pStyle w:val="8"/>
              <w:spacing w:before="72" w:line="237" w:lineRule="exact"/>
              <w:ind w:left="563"/>
            </w:pPr>
            <w:r>
              <w:rPr>
                <w:color w:val="5F6A72"/>
                <w:spacing w:val="-6"/>
                <w:position w:val="1"/>
              </w:rPr>
              <w:t>0.0</w:t>
            </w:r>
          </w:p>
        </w:tc>
      </w:tr>
      <w:tr w14:paraId="09396D5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9" w:type="dxa"/>
            <w:tcBorders>
              <w:left w:val="nil"/>
              <w:right w:val="single" w:color="D7DADB" w:sz="6" w:space="0"/>
            </w:tcBorders>
            <w:vAlign w:val="top"/>
          </w:tcPr>
          <w:p w14:paraId="7031065A">
            <w:pPr>
              <w:pStyle w:val="8"/>
              <w:spacing w:before="73" w:line="234" w:lineRule="auto"/>
              <w:ind w:left="12"/>
            </w:pPr>
            <w:r>
              <w:rPr>
                <w:color w:val="2A8ABF"/>
                <w:spacing w:val="-6"/>
              </w:rPr>
              <w:t>Crude oil refining capacity, utilisat</w:t>
            </w:r>
            <w:r>
              <w:rPr>
                <w:color w:val="2A8ABF"/>
                <w:spacing w:val="-7"/>
              </w:rPr>
              <w:t>ion,</w:t>
            </w:r>
            <w:r>
              <w:rPr>
                <w:color w:val="2A8ABF"/>
                <w:spacing w:val="-13"/>
              </w:rPr>
              <w:t xml:space="preserve"> </w:t>
            </w:r>
            <w:r>
              <w:rPr>
                <w:color w:val="2A8ABF"/>
                <w:spacing w:val="-7"/>
              </w:rPr>
              <w:t>%</w:t>
            </w:r>
          </w:p>
        </w:tc>
        <w:tc>
          <w:tcPr>
            <w:tcW w:w="870" w:type="dxa"/>
            <w:tcBorders>
              <w:left w:val="single" w:color="D7DADB" w:sz="6" w:space="0"/>
              <w:right w:val="nil"/>
            </w:tcBorders>
            <w:vAlign w:val="top"/>
          </w:tcPr>
          <w:p w14:paraId="2569B116">
            <w:pPr>
              <w:pStyle w:val="8"/>
              <w:spacing w:before="73" w:line="238" w:lineRule="exact"/>
              <w:ind w:left="474"/>
            </w:pPr>
            <w:r>
              <w:rPr>
                <w:color w:val="5F6A72"/>
                <w:spacing w:val="-7"/>
                <w:position w:val="1"/>
              </w:rPr>
              <w:t>95.0</w:t>
            </w:r>
          </w:p>
        </w:tc>
        <w:tc>
          <w:tcPr>
            <w:tcW w:w="859" w:type="dxa"/>
            <w:tcBorders>
              <w:left w:val="nil"/>
              <w:right w:val="nil"/>
            </w:tcBorders>
            <w:vAlign w:val="top"/>
          </w:tcPr>
          <w:p w14:paraId="0027964B">
            <w:pPr>
              <w:pStyle w:val="8"/>
              <w:spacing w:before="73" w:line="238" w:lineRule="exact"/>
              <w:ind w:left="471"/>
            </w:pPr>
            <w:r>
              <w:rPr>
                <w:color w:val="5F6A72"/>
                <w:spacing w:val="-7"/>
                <w:position w:val="1"/>
              </w:rPr>
              <w:t>95.5</w:t>
            </w:r>
          </w:p>
        </w:tc>
        <w:tc>
          <w:tcPr>
            <w:tcW w:w="859" w:type="dxa"/>
            <w:tcBorders>
              <w:left w:val="nil"/>
              <w:right w:val="nil"/>
            </w:tcBorders>
            <w:vAlign w:val="top"/>
          </w:tcPr>
          <w:p w14:paraId="6C69A1AE">
            <w:pPr>
              <w:pStyle w:val="8"/>
              <w:spacing w:before="73" w:line="238" w:lineRule="exact"/>
              <w:ind w:left="471"/>
            </w:pPr>
            <w:r>
              <w:rPr>
                <w:color w:val="5F6A72"/>
                <w:spacing w:val="-7"/>
                <w:position w:val="1"/>
              </w:rPr>
              <w:t>95.9</w:t>
            </w:r>
          </w:p>
        </w:tc>
        <w:tc>
          <w:tcPr>
            <w:tcW w:w="859" w:type="dxa"/>
            <w:tcBorders>
              <w:left w:val="nil"/>
              <w:right w:val="nil"/>
            </w:tcBorders>
            <w:vAlign w:val="top"/>
          </w:tcPr>
          <w:p w14:paraId="2098B7C1">
            <w:pPr>
              <w:pStyle w:val="8"/>
              <w:spacing w:before="73" w:line="238" w:lineRule="exact"/>
              <w:ind w:left="471"/>
            </w:pPr>
            <w:r>
              <w:rPr>
                <w:color w:val="5F6A72"/>
                <w:spacing w:val="-7"/>
                <w:position w:val="1"/>
              </w:rPr>
              <w:t>96.4</w:t>
            </w:r>
          </w:p>
        </w:tc>
        <w:tc>
          <w:tcPr>
            <w:tcW w:w="859" w:type="dxa"/>
            <w:tcBorders>
              <w:left w:val="nil"/>
              <w:right w:val="nil"/>
            </w:tcBorders>
            <w:vAlign w:val="top"/>
          </w:tcPr>
          <w:p w14:paraId="2DE3C8CC">
            <w:pPr>
              <w:pStyle w:val="8"/>
              <w:spacing w:before="73" w:line="238" w:lineRule="exact"/>
              <w:ind w:left="471"/>
            </w:pPr>
            <w:r>
              <w:rPr>
                <w:color w:val="5F6A72"/>
                <w:spacing w:val="-7"/>
                <w:position w:val="1"/>
              </w:rPr>
              <w:t>96.9</w:t>
            </w:r>
          </w:p>
        </w:tc>
        <w:tc>
          <w:tcPr>
            <w:tcW w:w="859" w:type="dxa"/>
            <w:tcBorders>
              <w:left w:val="nil"/>
              <w:right w:val="nil"/>
            </w:tcBorders>
            <w:vAlign w:val="top"/>
          </w:tcPr>
          <w:p w14:paraId="3125D96A">
            <w:pPr>
              <w:pStyle w:val="8"/>
              <w:spacing w:before="73" w:line="238" w:lineRule="exact"/>
              <w:ind w:left="471"/>
            </w:pPr>
            <w:r>
              <w:rPr>
                <w:color w:val="5F6A72"/>
                <w:spacing w:val="-7"/>
                <w:position w:val="1"/>
              </w:rPr>
              <w:t>97.4</w:t>
            </w:r>
          </w:p>
        </w:tc>
      </w:tr>
      <w:tr w14:paraId="5D44E97E">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39" w:hRule="atLeast"/>
        </w:trPr>
        <w:tc>
          <w:tcPr>
            <w:tcW w:w="5039" w:type="dxa"/>
            <w:tcBorders>
              <w:left w:val="nil"/>
              <w:right w:val="single" w:color="D7DADB" w:sz="6" w:space="0"/>
            </w:tcBorders>
            <w:shd w:val="clear" w:color="auto" w:fill="EAF9FF"/>
            <w:vAlign w:val="top"/>
          </w:tcPr>
          <w:p w14:paraId="7B90F112">
            <w:pPr>
              <w:pStyle w:val="8"/>
              <w:spacing w:before="75" w:line="236" w:lineRule="auto"/>
              <w:ind w:left="18"/>
            </w:pPr>
            <w:r>
              <w:rPr>
                <w:color w:val="2A8ABF"/>
                <w:spacing w:val="-5"/>
              </w:rPr>
              <w:t>Refined products production,</w:t>
            </w:r>
            <w:r>
              <w:rPr>
                <w:color w:val="2A8ABF"/>
                <w:spacing w:val="-1"/>
              </w:rPr>
              <w:t xml:space="preserve"> </w:t>
            </w:r>
            <w:r>
              <w:rPr>
                <w:color w:val="2A8ABF"/>
                <w:spacing w:val="-5"/>
              </w:rPr>
              <w:t>000b/d</w:t>
            </w:r>
          </w:p>
        </w:tc>
        <w:tc>
          <w:tcPr>
            <w:tcW w:w="870" w:type="dxa"/>
            <w:tcBorders>
              <w:left w:val="single" w:color="D7DADB" w:sz="6" w:space="0"/>
              <w:right w:val="nil"/>
            </w:tcBorders>
            <w:shd w:val="clear" w:color="auto" w:fill="EAF9FF"/>
            <w:vAlign w:val="top"/>
          </w:tcPr>
          <w:p w14:paraId="49DD689B">
            <w:pPr>
              <w:pStyle w:val="8"/>
              <w:spacing w:before="75" w:line="237" w:lineRule="exact"/>
              <w:ind w:left="377"/>
            </w:pPr>
            <w:r>
              <w:rPr>
                <w:color w:val="5F6A72"/>
                <w:spacing w:val="-6"/>
                <w:position w:val="1"/>
              </w:rPr>
              <w:t>550.9</w:t>
            </w:r>
          </w:p>
        </w:tc>
        <w:tc>
          <w:tcPr>
            <w:tcW w:w="859" w:type="dxa"/>
            <w:tcBorders>
              <w:left w:val="nil"/>
              <w:right w:val="nil"/>
            </w:tcBorders>
            <w:shd w:val="clear" w:color="auto" w:fill="EAF9FF"/>
            <w:vAlign w:val="top"/>
          </w:tcPr>
          <w:p w14:paraId="38E682F7">
            <w:pPr>
              <w:pStyle w:val="8"/>
              <w:spacing w:before="75" w:line="237" w:lineRule="exact"/>
              <w:ind w:left="374"/>
            </w:pPr>
            <w:r>
              <w:rPr>
                <w:color w:val="5F6A72"/>
                <w:spacing w:val="-6"/>
                <w:position w:val="1"/>
              </w:rPr>
              <w:t>553.7</w:t>
            </w:r>
          </w:p>
        </w:tc>
        <w:tc>
          <w:tcPr>
            <w:tcW w:w="859" w:type="dxa"/>
            <w:tcBorders>
              <w:left w:val="nil"/>
              <w:right w:val="nil"/>
            </w:tcBorders>
            <w:shd w:val="clear" w:color="auto" w:fill="EAF9FF"/>
            <w:vAlign w:val="top"/>
          </w:tcPr>
          <w:p w14:paraId="0217AFE3">
            <w:pPr>
              <w:pStyle w:val="8"/>
              <w:spacing w:before="75" w:line="237" w:lineRule="exact"/>
              <w:ind w:left="374"/>
            </w:pPr>
            <w:r>
              <w:rPr>
                <w:color w:val="5F6A72"/>
                <w:spacing w:val="-6"/>
                <w:position w:val="1"/>
              </w:rPr>
              <w:t>556.4</w:t>
            </w:r>
          </w:p>
        </w:tc>
        <w:tc>
          <w:tcPr>
            <w:tcW w:w="859" w:type="dxa"/>
            <w:tcBorders>
              <w:left w:val="nil"/>
              <w:right w:val="nil"/>
            </w:tcBorders>
            <w:shd w:val="clear" w:color="auto" w:fill="EAF9FF"/>
            <w:vAlign w:val="top"/>
          </w:tcPr>
          <w:p w14:paraId="5CEA0B2D">
            <w:pPr>
              <w:pStyle w:val="8"/>
              <w:spacing w:before="75" w:line="237" w:lineRule="exact"/>
              <w:ind w:left="374"/>
            </w:pPr>
            <w:r>
              <w:rPr>
                <w:color w:val="5F6A72"/>
                <w:spacing w:val="-6"/>
                <w:position w:val="1"/>
              </w:rPr>
              <w:t>559.2</w:t>
            </w:r>
          </w:p>
        </w:tc>
        <w:tc>
          <w:tcPr>
            <w:tcW w:w="859" w:type="dxa"/>
            <w:tcBorders>
              <w:left w:val="nil"/>
              <w:right w:val="nil"/>
            </w:tcBorders>
            <w:shd w:val="clear" w:color="auto" w:fill="EAF9FF"/>
            <w:vAlign w:val="top"/>
          </w:tcPr>
          <w:p w14:paraId="717FFE1D">
            <w:pPr>
              <w:pStyle w:val="8"/>
              <w:spacing w:before="75" w:line="237" w:lineRule="exact"/>
              <w:ind w:left="374"/>
            </w:pPr>
            <w:r>
              <w:rPr>
                <w:color w:val="5F6A72"/>
                <w:spacing w:val="-6"/>
                <w:position w:val="1"/>
              </w:rPr>
              <w:t>562.0</w:t>
            </w:r>
          </w:p>
        </w:tc>
        <w:tc>
          <w:tcPr>
            <w:tcW w:w="859" w:type="dxa"/>
            <w:tcBorders>
              <w:left w:val="nil"/>
              <w:right w:val="nil"/>
            </w:tcBorders>
            <w:shd w:val="clear" w:color="auto" w:fill="EAF9FF"/>
            <w:vAlign w:val="top"/>
          </w:tcPr>
          <w:p w14:paraId="12886D80">
            <w:pPr>
              <w:pStyle w:val="8"/>
              <w:spacing w:before="75" w:line="237" w:lineRule="exact"/>
              <w:ind w:left="374"/>
            </w:pPr>
            <w:r>
              <w:rPr>
                <w:color w:val="5F6A72"/>
                <w:spacing w:val="-6"/>
                <w:position w:val="1"/>
              </w:rPr>
              <w:t>564.8</w:t>
            </w:r>
          </w:p>
        </w:tc>
      </w:tr>
      <w:tr w14:paraId="577D31E8">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9" w:type="dxa"/>
            <w:tcBorders>
              <w:left w:val="nil"/>
              <w:right w:val="single" w:color="D7DADB" w:sz="6" w:space="0"/>
            </w:tcBorders>
            <w:vAlign w:val="top"/>
          </w:tcPr>
          <w:p w14:paraId="4C2D9A60">
            <w:pPr>
              <w:pStyle w:val="8"/>
              <w:spacing w:before="76" w:line="234" w:lineRule="auto"/>
              <w:ind w:left="18"/>
            </w:pPr>
            <w:r>
              <w:rPr>
                <w:color w:val="2A8ABF"/>
                <w:spacing w:val="-7"/>
              </w:rPr>
              <w:t>Refined products production,</w:t>
            </w:r>
            <w:r>
              <w:rPr>
                <w:color w:val="2A8ABF"/>
                <w:spacing w:val="-2"/>
              </w:rPr>
              <w:t xml:space="preserve"> </w:t>
            </w:r>
            <w:r>
              <w:rPr>
                <w:color w:val="2A8ABF"/>
                <w:spacing w:val="-7"/>
              </w:rPr>
              <w:t>%</w:t>
            </w:r>
            <w:r>
              <w:rPr>
                <w:color w:val="2A8ABF"/>
                <w:spacing w:val="-18"/>
              </w:rPr>
              <w:t xml:space="preserve"> </w:t>
            </w:r>
            <w:r>
              <w:rPr>
                <w:color w:val="2A8ABF"/>
                <w:spacing w:val="-7"/>
              </w:rPr>
              <w:t>y-o-y</w:t>
            </w:r>
          </w:p>
        </w:tc>
        <w:tc>
          <w:tcPr>
            <w:tcW w:w="870" w:type="dxa"/>
            <w:tcBorders>
              <w:left w:val="single" w:color="D7DADB" w:sz="6" w:space="0"/>
              <w:right w:val="nil"/>
            </w:tcBorders>
            <w:vAlign w:val="top"/>
          </w:tcPr>
          <w:p w14:paraId="3CB25B8C">
            <w:pPr>
              <w:pStyle w:val="8"/>
              <w:spacing w:before="77" w:line="237" w:lineRule="exact"/>
              <w:ind w:left="574"/>
            </w:pPr>
            <w:r>
              <w:rPr>
                <w:color w:val="5F6A72"/>
                <w:spacing w:val="-7"/>
                <w:position w:val="1"/>
              </w:rPr>
              <w:t>1.0</w:t>
            </w:r>
          </w:p>
        </w:tc>
        <w:tc>
          <w:tcPr>
            <w:tcW w:w="859" w:type="dxa"/>
            <w:tcBorders>
              <w:left w:val="nil"/>
              <w:right w:val="nil"/>
            </w:tcBorders>
            <w:vAlign w:val="top"/>
          </w:tcPr>
          <w:p w14:paraId="3BD788DF">
            <w:pPr>
              <w:pStyle w:val="8"/>
              <w:spacing w:before="77" w:line="237" w:lineRule="exact"/>
              <w:ind w:left="562"/>
            </w:pPr>
            <w:r>
              <w:rPr>
                <w:color w:val="5F6A72"/>
                <w:spacing w:val="-6"/>
                <w:position w:val="1"/>
              </w:rPr>
              <w:t>0.5</w:t>
            </w:r>
          </w:p>
        </w:tc>
        <w:tc>
          <w:tcPr>
            <w:tcW w:w="859" w:type="dxa"/>
            <w:tcBorders>
              <w:left w:val="nil"/>
              <w:right w:val="nil"/>
            </w:tcBorders>
            <w:vAlign w:val="top"/>
          </w:tcPr>
          <w:p w14:paraId="17A72448">
            <w:pPr>
              <w:pStyle w:val="8"/>
              <w:spacing w:before="77" w:line="237" w:lineRule="exact"/>
              <w:ind w:left="563"/>
            </w:pPr>
            <w:r>
              <w:rPr>
                <w:color w:val="5F6A72"/>
                <w:spacing w:val="-6"/>
                <w:position w:val="1"/>
              </w:rPr>
              <w:t>0.5</w:t>
            </w:r>
          </w:p>
        </w:tc>
        <w:tc>
          <w:tcPr>
            <w:tcW w:w="859" w:type="dxa"/>
            <w:tcBorders>
              <w:left w:val="nil"/>
              <w:right w:val="nil"/>
            </w:tcBorders>
            <w:vAlign w:val="top"/>
          </w:tcPr>
          <w:p w14:paraId="3072E936">
            <w:pPr>
              <w:pStyle w:val="8"/>
              <w:spacing w:before="77" w:line="237" w:lineRule="exact"/>
              <w:ind w:left="563"/>
            </w:pPr>
            <w:r>
              <w:rPr>
                <w:color w:val="5F6A72"/>
                <w:spacing w:val="-6"/>
                <w:position w:val="1"/>
              </w:rPr>
              <w:t>0.5</w:t>
            </w:r>
          </w:p>
        </w:tc>
        <w:tc>
          <w:tcPr>
            <w:tcW w:w="859" w:type="dxa"/>
            <w:tcBorders>
              <w:left w:val="nil"/>
              <w:right w:val="nil"/>
            </w:tcBorders>
            <w:vAlign w:val="top"/>
          </w:tcPr>
          <w:p w14:paraId="64FA789F">
            <w:pPr>
              <w:pStyle w:val="8"/>
              <w:spacing w:before="77" w:line="237" w:lineRule="exact"/>
              <w:ind w:left="563"/>
            </w:pPr>
            <w:r>
              <w:rPr>
                <w:color w:val="5F6A72"/>
                <w:spacing w:val="-6"/>
                <w:position w:val="1"/>
              </w:rPr>
              <w:t>0.5</w:t>
            </w:r>
          </w:p>
        </w:tc>
        <w:tc>
          <w:tcPr>
            <w:tcW w:w="859" w:type="dxa"/>
            <w:tcBorders>
              <w:left w:val="nil"/>
              <w:right w:val="nil"/>
            </w:tcBorders>
            <w:vAlign w:val="top"/>
          </w:tcPr>
          <w:p w14:paraId="1E5FBB53">
            <w:pPr>
              <w:pStyle w:val="8"/>
              <w:spacing w:before="77" w:line="237" w:lineRule="exact"/>
              <w:ind w:left="563"/>
            </w:pPr>
            <w:r>
              <w:rPr>
                <w:color w:val="5F6A72"/>
                <w:spacing w:val="-6"/>
                <w:position w:val="1"/>
              </w:rPr>
              <w:t>0.5</w:t>
            </w:r>
          </w:p>
        </w:tc>
      </w:tr>
      <w:tr w14:paraId="6F7B03DD">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5039" w:type="dxa"/>
            <w:tcBorders>
              <w:left w:val="nil"/>
              <w:right w:val="single" w:color="D7DADB" w:sz="6" w:space="0"/>
            </w:tcBorders>
            <w:shd w:val="clear" w:color="auto" w:fill="EAF9FF"/>
            <w:vAlign w:val="top"/>
          </w:tcPr>
          <w:p w14:paraId="351D467F">
            <w:pPr>
              <w:pStyle w:val="8"/>
              <w:spacing w:before="78" w:line="236" w:lineRule="auto"/>
              <w:ind w:left="18"/>
            </w:pPr>
            <w:r>
              <w:rPr>
                <w:color w:val="2A8ABF"/>
                <w:spacing w:val="-5"/>
              </w:rPr>
              <w:t>Refined products production &amp; ethanol,</w:t>
            </w:r>
            <w:r>
              <w:rPr>
                <w:color w:val="2A8ABF"/>
                <w:spacing w:val="-12"/>
              </w:rPr>
              <w:t xml:space="preserve"> </w:t>
            </w:r>
            <w:r>
              <w:rPr>
                <w:color w:val="2A8ABF"/>
                <w:spacing w:val="-5"/>
              </w:rPr>
              <w:t>000b</w:t>
            </w:r>
            <w:r>
              <w:rPr>
                <w:color w:val="2A8ABF"/>
                <w:spacing w:val="-6"/>
              </w:rPr>
              <w:t>/d</w:t>
            </w:r>
          </w:p>
        </w:tc>
        <w:tc>
          <w:tcPr>
            <w:tcW w:w="870" w:type="dxa"/>
            <w:tcBorders>
              <w:left w:val="single" w:color="D7DADB" w:sz="6" w:space="0"/>
              <w:right w:val="nil"/>
            </w:tcBorders>
            <w:shd w:val="clear" w:color="auto" w:fill="EAF9FF"/>
            <w:vAlign w:val="top"/>
          </w:tcPr>
          <w:p w14:paraId="68F8FC09">
            <w:pPr>
              <w:pStyle w:val="8"/>
              <w:spacing w:before="78" w:line="237" w:lineRule="exact"/>
              <w:ind w:left="378"/>
            </w:pPr>
            <w:r>
              <w:rPr>
                <w:color w:val="5F6A72"/>
                <w:spacing w:val="-6"/>
                <w:position w:val="1"/>
              </w:rPr>
              <w:t>614.3</w:t>
            </w:r>
          </w:p>
        </w:tc>
        <w:tc>
          <w:tcPr>
            <w:tcW w:w="859" w:type="dxa"/>
            <w:tcBorders>
              <w:left w:val="nil"/>
              <w:right w:val="nil"/>
            </w:tcBorders>
            <w:shd w:val="clear" w:color="auto" w:fill="EAF9FF"/>
            <w:vAlign w:val="top"/>
          </w:tcPr>
          <w:p w14:paraId="4EADD2F5">
            <w:pPr>
              <w:pStyle w:val="8"/>
              <w:spacing w:before="78" w:line="237" w:lineRule="exact"/>
              <w:ind w:left="374"/>
            </w:pPr>
            <w:r>
              <w:rPr>
                <w:color w:val="5F6A72"/>
                <w:spacing w:val="-6"/>
                <w:position w:val="1"/>
              </w:rPr>
              <w:t>617.7</w:t>
            </w:r>
          </w:p>
        </w:tc>
        <w:tc>
          <w:tcPr>
            <w:tcW w:w="859" w:type="dxa"/>
            <w:tcBorders>
              <w:left w:val="nil"/>
              <w:right w:val="nil"/>
            </w:tcBorders>
            <w:shd w:val="clear" w:color="auto" w:fill="EAF9FF"/>
            <w:vAlign w:val="top"/>
          </w:tcPr>
          <w:p w14:paraId="4A8A5E9F">
            <w:pPr>
              <w:pStyle w:val="8"/>
              <w:spacing w:before="78" w:line="237" w:lineRule="exact"/>
              <w:ind w:left="375"/>
            </w:pPr>
            <w:r>
              <w:rPr>
                <w:color w:val="5F6A72"/>
                <w:spacing w:val="-6"/>
                <w:position w:val="1"/>
              </w:rPr>
              <w:t>621.1</w:t>
            </w:r>
          </w:p>
        </w:tc>
        <w:tc>
          <w:tcPr>
            <w:tcW w:w="859" w:type="dxa"/>
            <w:tcBorders>
              <w:left w:val="nil"/>
              <w:right w:val="nil"/>
            </w:tcBorders>
            <w:shd w:val="clear" w:color="auto" w:fill="EAF9FF"/>
            <w:vAlign w:val="top"/>
          </w:tcPr>
          <w:p w14:paraId="26A616B8">
            <w:pPr>
              <w:pStyle w:val="8"/>
              <w:spacing w:before="78" w:line="237" w:lineRule="exact"/>
              <w:ind w:left="375"/>
            </w:pPr>
            <w:r>
              <w:rPr>
                <w:color w:val="5F6A72"/>
                <w:spacing w:val="-6"/>
                <w:position w:val="1"/>
              </w:rPr>
              <w:t>624.6</w:t>
            </w:r>
          </w:p>
        </w:tc>
        <w:tc>
          <w:tcPr>
            <w:tcW w:w="859" w:type="dxa"/>
            <w:tcBorders>
              <w:left w:val="nil"/>
              <w:right w:val="nil"/>
            </w:tcBorders>
            <w:shd w:val="clear" w:color="auto" w:fill="EAF9FF"/>
            <w:vAlign w:val="top"/>
          </w:tcPr>
          <w:p w14:paraId="47A45422">
            <w:pPr>
              <w:pStyle w:val="8"/>
              <w:spacing w:before="78" w:line="237" w:lineRule="exact"/>
              <w:ind w:left="375"/>
            </w:pPr>
            <w:r>
              <w:rPr>
                <w:color w:val="5F6A72"/>
                <w:spacing w:val="-6"/>
                <w:position w:val="1"/>
              </w:rPr>
              <w:t>628.1</w:t>
            </w:r>
          </w:p>
        </w:tc>
        <w:tc>
          <w:tcPr>
            <w:tcW w:w="859" w:type="dxa"/>
            <w:tcBorders>
              <w:left w:val="nil"/>
              <w:right w:val="nil"/>
            </w:tcBorders>
            <w:shd w:val="clear" w:color="auto" w:fill="EAF9FF"/>
            <w:vAlign w:val="top"/>
          </w:tcPr>
          <w:p w14:paraId="5B380EB4">
            <w:pPr>
              <w:pStyle w:val="8"/>
              <w:spacing w:before="78" w:line="237" w:lineRule="exact"/>
              <w:ind w:left="375"/>
            </w:pPr>
            <w:r>
              <w:rPr>
                <w:color w:val="5F6A72"/>
                <w:spacing w:val="-6"/>
                <w:position w:val="1"/>
              </w:rPr>
              <w:t>631.6</w:t>
            </w:r>
          </w:p>
        </w:tc>
      </w:tr>
      <w:tr w14:paraId="072A8AC4">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5039" w:type="dxa"/>
            <w:tcBorders>
              <w:left w:val="nil"/>
              <w:bottom w:val="single" w:color="333333" w:sz="4" w:space="0"/>
              <w:right w:val="single" w:color="D7DADB" w:sz="6" w:space="0"/>
            </w:tcBorders>
            <w:vAlign w:val="top"/>
          </w:tcPr>
          <w:p w14:paraId="243054E3">
            <w:pPr>
              <w:pStyle w:val="8"/>
              <w:spacing w:before="79" w:line="234" w:lineRule="auto"/>
              <w:ind w:left="18"/>
            </w:pPr>
            <w:r>
              <w:rPr>
                <w:color w:val="2A8ABF"/>
                <w:spacing w:val="-7"/>
              </w:rPr>
              <w:t>Refined products production &amp; ethanol,</w:t>
            </w:r>
            <w:r>
              <w:rPr>
                <w:color w:val="2A8ABF"/>
                <w:spacing w:val="5"/>
              </w:rPr>
              <w:t xml:space="preserve"> </w:t>
            </w:r>
            <w:r>
              <w:rPr>
                <w:color w:val="2A8ABF"/>
                <w:spacing w:val="-7"/>
              </w:rPr>
              <w:t>%</w:t>
            </w:r>
            <w:r>
              <w:rPr>
                <w:color w:val="2A8ABF"/>
                <w:spacing w:val="-18"/>
              </w:rPr>
              <w:t xml:space="preserve"> </w:t>
            </w:r>
            <w:r>
              <w:rPr>
                <w:color w:val="2A8ABF"/>
                <w:spacing w:val="-7"/>
              </w:rPr>
              <w:t>y-o-y</w:t>
            </w:r>
          </w:p>
        </w:tc>
        <w:tc>
          <w:tcPr>
            <w:tcW w:w="870" w:type="dxa"/>
            <w:tcBorders>
              <w:left w:val="single" w:color="D7DADB" w:sz="6" w:space="0"/>
              <w:bottom w:val="single" w:color="333333" w:sz="4" w:space="0"/>
              <w:right w:val="nil"/>
            </w:tcBorders>
            <w:vAlign w:val="top"/>
          </w:tcPr>
          <w:p w14:paraId="3C6D175E">
            <w:pPr>
              <w:pStyle w:val="8"/>
              <w:spacing w:before="79" w:line="237" w:lineRule="exact"/>
              <w:ind w:left="574"/>
            </w:pPr>
            <w:r>
              <w:rPr>
                <w:color w:val="5F6A72"/>
                <w:spacing w:val="-7"/>
                <w:position w:val="1"/>
              </w:rPr>
              <w:t>1.0</w:t>
            </w:r>
          </w:p>
        </w:tc>
        <w:tc>
          <w:tcPr>
            <w:tcW w:w="859" w:type="dxa"/>
            <w:tcBorders>
              <w:left w:val="nil"/>
              <w:bottom w:val="single" w:color="333333" w:sz="4" w:space="0"/>
              <w:right w:val="nil"/>
            </w:tcBorders>
            <w:vAlign w:val="top"/>
          </w:tcPr>
          <w:p w14:paraId="7FC8A2C8">
            <w:pPr>
              <w:pStyle w:val="8"/>
              <w:spacing w:before="79" w:line="237" w:lineRule="exact"/>
              <w:ind w:left="562"/>
            </w:pPr>
            <w:r>
              <w:rPr>
                <w:color w:val="5F6A72"/>
                <w:spacing w:val="-6"/>
                <w:position w:val="1"/>
              </w:rPr>
              <w:t>0.6</w:t>
            </w:r>
          </w:p>
        </w:tc>
        <w:tc>
          <w:tcPr>
            <w:tcW w:w="859" w:type="dxa"/>
            <w:tcBorders>
              <w:left w:val="nil"/>
              <w:bottom w:val="single" w:color="333333" w:sz="4" w:space="0"/>
              <w:right w:val="nil"/>
            </w:tcBorders>
            <w:vAlign w:val="top"/>
          </w:tcPr>
          <w:p w14:paraId="2D0706A6">
            <w:pPr>
              <w:pStyle w:val="8"/>
              <w:spacing w:before="79" w:line="237" w:lineRule="exact"/>
              <w:ind w:left="563"/>
            </w:pPr>
            <w:r>
              <w:rPr>
                <w:color w:val="5F6A72"/>
                <w:spacing w:val="-6"/>
                <w:position w:val="1"/>
              </w:rPr>
              <w:t>0.6</w:t>
            </w:r>
          </w:p>
        </w:tc>
        <w:tc>
          <w:tcPr>
            <w:tcW w:w="859" w:type="dxa"/>
            <w:tcBorders>
              <w:left w:val="nil"/>
              <w:bottom w:val="single" w:color="333333" w:sz="4" w:space="0"/>
              <w:right w:val="nil"/>
            </w:tcBorders>
            <w:vAlign w:val="top"/>
          </w:tcPr>
          <w:p w14:paraId="796E1A9D">
            <w:pPr>
              <w:pStyle w:val="8"/>
              <w:spacing w:before="79" w:line="237" w:lineRule="exact"/>
              <w:ind w:left="563"/>
            </w:pPr>
            <w:r>
              <w:rPr>
                <w:color w:val="5F6A72"/>
                <w:spacing w:val="-6"/>
                <w:position w:val="1"/>
              </w:rPr>
              <w:t>0.6</w:t>
            </w:r>
          </w:p>
        </w:tc>
        <w:tc>
          <w:tcPr>
            <w:tcW w:w="859" w:type="dxa"/>
            <w:tcBorders>
              <w:left w:val="nil"/>
              <w:bottom w:val="single" w:color="333333" w:sz="4" w:space="0"/>
              <w:right w:val="nil"/>
            </w:tcBorders>
            <w:vAlign w:val="top"/>
          </w:tcPr>
          <w:p w14:paraId="5B8AFDEA">
            <w:pPr>
              <w:pStyle w:val="8"/>
              <w:spacing w:before="79" w:line="237" w:lineRule="exact"/>
              <w:ind w:left="563"/>
            </w:pPr>
            <w:r>
              <w:rPr>
                <w:color w:val="5F6A72"/>
                <w:spacing w:val="-6"/>
                <w:position w:val="1"/>
              </w:rPr>
              <w:t>0.6</w:t>
            </w:r>
          </w:p>
        </w:tc>
        <w:tc>
          <w:tcPr>
            <w:tcW w:w="859" w:type="dxa"/>
            <w:tcBorders>
              <w:left w:val="nil"/>
              <w:bottom w:val="single" w:color="333333" w:sz="4" w:space="0"/>
              <w:right w:val="nil"/>
            </w:tcBorders>
            <w:vAlign w:val="top"/>
          </w:tcPr>
          <w:p w14:paraId="264E5048">
            <w:pPr>
              <w:pStyle w:val="8"/>
              <w:spacing w:before="79" w:line="237" w:lineRule="exact"/>
              <w:ind w:left="563"/>
            </w:pPr>
            <w:r>
              <w:rPr>
                <w:color w:val="5F6A72"/>
                <w:spacing w:val="-6"/>
                <w:position w:val="1"/>
              </w:rPr>
              <w:t>0.6</w:t>
            </w:r>
          </w:p>
        </w:tc>
      </w:tr>
    </w:tbl>
    <w:p w14:paraId="5A4E378D">
      <w:pPr>
        <w:pStyle w:val="4"/>
        <w:spacing w:line="175" w:lineRule="exact"/>
        <w:ind w:left="373"/>
        <w:rPr>
          <w:sz w:val="15"/>
          <w:szCs w:val="15"/>
        </w:rPr>
      </w:pPr>
      <w:r>
        <w:rPr>
          <w:i/>
          <w:iCs/>
          <w:color w:val="333333"/>
          <w:spacing w:val="-6"/>
          <w:w w:val="93"/>
          <w:position w:val="1"/>
          <w:sz w:val="15"/>
          <w:szCs w:val="15"/>
        </w:rPr>
        <w:t>f</w:t>
      </w:r>
      <w:r>
        <w:rPr>
          <w:i/>
          <w:iCs/>
          <w:color w:val="333333"/>
          <w:spacing w:val="-13"/>
          <w:position w:val="1"/>
          <w:sz w:val="15"/>
          <w:szCs w:val="15"/>
        </w:rPr>
        <w:t xml:space="preserve"> </w:t>
      </w:r>
      <w:r>
        <w:rPr>
          <w:i/>
          <w:iCs/>
          <w:color w:val="333333"/>
          <w:spacing w:val="-6"/>
          <w:w w:val="93"/>
          <w:position w:val="1"/>
          <w:sz w:val="15"/>
          <w:szCs w:val="15"/>
        </w:rPr>
        <w:t>= BMI</w:t>
      </w:r>
      <w:r>
        <w:rPr>
          <w:i/>
          <w:iCs/>
          <w:color w:val="333333"/>
          <w:spacing w:val="-8"/>
          <w:position w:val="1"/>
          <w:sz w:val="15"/>
          <w:szCs w:val="15"/>
        </w:rPr>
        <w:t xml:space="preserve"> </w:t>
      </w:r>
      <w:r>
        <w:rPr>
          <w:i/>
          <w:iCs/>
          <w:color w:val="333333"/>
          <w:spacing w:val="-6"/>
          <w:w w:val="93"/>
          <w:position w:val="1"/>
          <w:sz w:val="15"/>
          <w:szCs w:val="15"/>
        </w:rPr>
        <w:t>forecast. Source: Minem, BMI</w:t>
      </w:r>
    </w:p>
    <w:p w14:paraId="0E3B530F">
      <w:pPr>
        <w:spacing w:line="175" w:lineRule="exact"/>
        <w:rPr>
          <w:sz w:val="15"/>
          <w:szCs w:val="15"/>
        </w:rPr>
        <w:sectPr>
          <w:footerReference r:id="rId31" w:type="default"/>
          <w:pgSz w:w="11906" w:h="16838"/>
          <w:pgMar w:top="400" w:right="490" w:bottom="883" w:left="490" w:header="0" w:footer="0" w:gutter="0"/>
          <w:cols w:space="720" w:num="1"/>
        </w:sectPr>
      </w:pPr>
    </w:p>
    <w:p w14:paraId="35470314">
      <w:pPr>
        <w:pStyle w:val="4"/>
        <w:spacing w:before="73" w:line="241" w:lineRule="auto"/>
        <w:ind w:left="7372"/>
        <w:rPr>
          <w:sz w:val="20"/>
          <w:szCs w:val="20"/>
        </w:rPr>
      </w:pPr>
      <w:r>
        <w:drawing>
          <wp:anchor distT="0" distB="0" distL="0" distR="0" simplePos="0" relativeHeight="25177292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73952" behindDoc="0" locked="0" layoutInCell="0" allowOverlap="1">
            <wp:simplePos x="0" y="0"/>
            <wp:positionH relativeFrom="page">
              <wp:posOffset>311150</wp:posOffset>
            </wp:positionH>
            <wp:positionV relativeFrom="page">
              <wp:posOffset>0</wp:posOffset>
            </wp:positionV>
            <wp:extent cx="19050" cy="814070"/>
            <wp:effectExtent l="0" t="0" r="0" b="0"/>
            <wp:wrapNone/>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6AEAE18">
      <w:pPr>
        <w:pStyle w:val="4"/>
        <w:spacing w:line="278" w:lineRule="auto"/>
      </w:pPr>
    </w:p>
    <w:p w14:paraId="109E317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FFB85B7">
      <w:pPr>
        <w:pStyle w:val="4"/>
        <w:spacing w:line="428" w:lineRule="auto"/>
      </w:pPr>
    </w:p>
    <w:p w14:paraId="50CE8504">
      <w:pPr>
        <w:pStyle w:val="4"/>
        <w:spacing w:before="87" w:line="236" w:lineRule="auto"/>
        <w:ind w:left="384"/>
        <w:outlineLvl w:val="0"/>
        <w:rPr>
          <w:sz w:val="30"/>
          <w:szCs w:val="30"/>
        </w:rPr>
      </w:pPr>
      <w:bookmarkStart w:id="15" w:name="bookmark10"/>
      <w:bookmarkEnd w:id="15"/>
      <w:r>
        <w:rPr>
          <w:color w:val="2A8ABF"/>
          <w:spacing w:val="-15"/>
          <w:sz w:val="30"/>
          <w:szCs w:val="30"/>
        </w:rPr>
        <w:t>Refined Fuels Consumption</w:t>
      </w:r>
    </w:p>
    <w:p w14:paraId="6D889743">
      <w:pPr>
        <w:pStyle w:val="4"/>
        <w:spacing w:line="262" w:lineRule="auto"/>
      </w:pPr>
    </w:p>
    <w:p w14:paraId="3C8A86FA">
      <w:pPr>
        <w:pStyle w:val="4"/>
        <w:spacing w:before="57" w:line="233" w:lineRule="auto"/>
        <w:ind w:left="386"/>
        <w:rPr>
          <w:sz w:val="20"/>
          <w:szCs w:val="20"/>
        </w:rPr>
      </w:pPr>
      <w:r>
        <w:rPr>
          <w:b/>
          <w:bCs/>
          <w:i/>
          <w:iCs/>
          <w:color w:val="57585A"/>
          <w:spacing w:val="-7"/>
          <w:w w:val="96"/>
          <w:sz w:val="20"/>
          <w:szCs w:val="20"/>
        </w:rPr>
        <w:t xml:space="preserve">Key View: </w:t>
      </w:r>
      <w:r>
        <w:rPr>
          <w:i/>
          <w:iCs/>
          <w:color w:val="57585A"/>
          <w:spacing w:val="-7"/>
          <w:w w:val="96"/>
          <w:sz w:val="20"/>
          <w:szCs w:val="20"/>
        </w:rPr>
        <w:t>The beginning of</w:t>
      </w:r>
      <w:r>
        <w:rPr>
          <w:i/>
          <w:iCs/>
          <w:color w:val="57585A"/>
          <w:spacing w:val="-40"/>
          <w:sz w:val="20"/>
          <w:szCs w:val="20"/>
        </w:rPr>
        <w:t xml:space="preserve"> </w:t>
      </w:r>
      <w:r>
        <w:rPr>
          <w:i/>
          <w:iCs/>
          <w:color w:val="57585A"/>
          <w:spacing w:val="-7"/>
          <w:w w:val="96"/>
          <w:sz w:val="20"/>
          <w:szCs w:val="20"/>
        </w:rPr>
        <w:t>an economic recovery, a rising vehicle fleet</w:t>
      </w:r>
      <w:r>
        <w:rPr>
          <w:i/>
          <w:iCs/>
          <w:color w:val="57585A"/>
          <w:spacing w:val="-19"/>
          <w:sz w:val="20"/>
          <w:szCs w:val="20"/>
        </w:rPr>
        <w:t xml:space="preserve"> </w:t>
      </w:r>
      <w:r>
        <w:rPr>
          <w:i/>
          <w:iCs/>
          <w:color w:val="57585A"/>
          <w:spacing w:val="-7"/>
          <w:w w:val="96"/>
          <w:sz w:val="20"/>
          <w:szCs w:val="20"/>
        </w:rPr>
        <w:t>and</w:t>
      </w:r>
      <w:r>
        <w:rPr>
          <w:i/>
          <w:iCs/>
          <w:color w:val="57585A"/>
          <w:spacing w:val="-18"/>
          <w:sz w:val="20"/>
          <w:szCs w:val="20"/>
        </w:rPr>
        <w:t xml:space="preserve"> </w:t>
      </w:r>
      <w:r>
        <w:rPr>
          <w:i/>
          <w:iCs/>
          <w:color w:val="57585A"/>
          <w:spacing w:val="-7"/>
          <w:w w:val="96"/>
          <w:sz w:val="20"/>
          <w:szCs w:val="20"/>
        </w:rPr>
        <w:t>lower</w:t>
      </w:r>
      <w:r>
        <w:rPr>
          <w:i/>
          <w:iCs/>
          <w:color w:val="57585A"/>
          <w:spacing w:val="-18"/>
          <w:sz w:val="20"/>
          <w:szCs w:val="20"/>
        </w:rPr>
        <w:t xml:space="preserve"> </w:t>
      </w:r>
      <w:r>
        <w:rPr>
          <w:i/>
          <w:iCs/>
          <w:color w:val="57585A"/>
          <w:spacing w:val="-7"/>
          <w:w w:val="96"/>
          <w:sz w:val="20"/>
          <w:szCs w:val="20"/>
        </w:rPr>
        <w:t>oil</w:t>
      </w:r>
      <w:r>
        <w:rPr>
          <w:i/>
          <w:iCs/>
          <w:color w:val="57585A"/>
          <w:spacing w:val="-25"/>
          <w:sz w:val="20"/>
          <w:szCs w:val="20"/>
        </w:rPr>
        <w:t xml:space="preserve"> </w:t>
      </w:r>
      <w:r>
        <w:rPr>
          <w:i/>
          <w:iCs/>
          <w:color w:val="57585A"/>
          <w:spacing w:val="-7"/>
          <w:w w:val="96"/>
          <w:sz w:val="20"/>
          <w:szCs w:val="20"/>
        </w:rPr>
        <w:t>prices over</w:t>
      </w:r>
      <w:r>
        <w:rPr>
          <w:i/>
          <w:iCs/>
          <w:color w:val="57585A"/>
          <w:spacing w:val="-23"/>
          <w:sz w:val="20"/>
          <w:szCs w:val="20"/>
        </w:rPr>
        <w:t xml:space="preserve"> </w:t>
      </w:r>
      <w:r>
        <w:rPr>
          <w:i/>
          <w:iCs/>
          <w:color w:val="57585A"/>
          <w:spacing w:val="-7"/>
          <w:w w:val="96"/>
          <w:sz w:val="20"/>
          <w:szCs w:val="20"/>
        </w:rPr>
        <w:t>2025 and</w:t>
      </w:r>
      <w:r>
        <w:rPr>
          <w:i/>
          <w:iCs/>
          <w:color w:val="57585A"/>
          <w:spacing w:val="-18"/>
          <w:sz w:val="20"/>
          <w:szCs w:val="20"/>
        </w:rPr>
        <w:t xml:space="preserve"> </w:t>
      </w:r>
      <w:r>
        <w:rPr>
          <w:i/>
          <w:iCs/>
          <w:color w:val="57585A"/>
          <w:spacing w:val="-7"/>
          <w:w w:val="96"/>
          <w:sz w:val="20"/>
          <w:szCs w:val="20"/>
        </w:rPr>
        <w:t>2026 will</w:t>
      </w:r>
      <w:r>
        <w:rPr>
          <w:i/>
          <w:iCs/>
          <w:color w:val="57585A"/>
          <w:spacing w:val="-19"/>
          <w:sz w:val="20"/>
          <w:szCs w:val="20"/>
        </w:rPr>
        <w:t xml:space="preserve"> </w:t>
      </w:r>
      <w:r>
        <w:rPr>
          <w:i/>
          <w:iCs/>
          <w:color w:val="57585A"/>
          <w:spacing w:val="-7"/>
          <w:w w:val="96"/>
          <w:sz w:val="20"/>
          <w:szCs w:val="20"/>
        </w:rPr>
        <w:t>see refined</w:t>
      </w:r>
    </w:p>
    <w:p w14:paraId="45ACFCB2">
      <w:pPr>
        <w:pStyle w:val="4"/>
        <w:spacing w:before="55" w:line="283" w:lineRule="auto"/>
        <w:ind w:left="377" w:right="419"/>
        <w:rPr>
          <w:sz w:val="20"/>
          <w:szCs w:val="20"/>
        </w:rPr>
      </w:pPr>
      <w:r>
        <w:rPr>
          <w:i/>
          <w:iCs/>
          <w:color w:val="57585A"/>
          <w:spacing w:val="-7"/>
          <w:w w:val="96"/>
          <w:sz w:val="20"/>
          <w:szCs w:val="20"/>
        </w:rPr>
        <w:t>fuels consumption return to an uptrend</w:t>
      </w:r>
      <w:r>
        <w:rPr>
          <w:i/>
          <w:iCs/>
          <w:color w:val="57585A"/>
          <w:spacing w:val="-3"/>
          <w:sz w:val="20"/>
          <w:szCs w:val="20"/>
        </w:rPr>
        <w:t xml:space="preserve"> </w:t>
      </w:r>
      <w:r>
        <w:rPr>
          <w:i/>
          <w:iCs/>
          <w:color w:val="57585A"/>
          <w:spacing w:val="-7"/>
          <w:w w:val="96"/>
          <w:sz w:val="20"/>
          <w:szCs w:val="20"/>
        </w:rPr>
        <w:t>after</w:t>
      </w:r>
      <w:r>
        <w:rPr>
          <w:i/>
          <w:iCs/>
          <w:color w:val="57585A"/>
          <w:spacing w:val="-26"/>
          <w:sz w:val="20"/>
          <w:szCs w:val="20"/>
        </w:rPr>
        <w:t xml:space="preserve"> </w:t>
      </w:r>
      <w:r>
        <w:rPr>
          <w:i/>
          <w:iCs/>
          <w:color w:val="57585A"/>
          <w:spacing w:val="-7"/>
          <w:w w:val="96"/>
          <w:sz w:val="20"/>
          <w:szCs w:val="20"/>
        </w:rPr>
        <w:t>several</w:t>
      </w:r>
      <w:r>
        <w:rPr>
          <w:i/>
          <w:iCs/>
          <w:color w:val="57585A"/>
          <w:spacing w:val="-37"/>
          <w:sz w:val="20"/>
          <w:szCs w:val="20"/>
        </w:rPr>
        <w:t xml:space="preserve"> </w:t>
      </w:r>
      <w:r>
        <w:rPr>
          <w:i/>
          <w:iCs/>
          <w:color w:val="57585A"/>
          <w:spacing w:val="-7"/>
          <w:w w:val="96"/>
          <w:sz w:val="20"/>
          <w:szCs w:val="20"/>
        </w:rPr>
        <w:t>years of</w:t>
      </w:r>
      <w:r>
        <w:rPr>
          <w:i/>
          <w:iCs/>
          <w:color w:val="57585A"/>
          <w:spacing w:val="-35"/>
          <w:sz w:val="20"/>
          <w:szCs w:val="20"/>
        </w:rPr>
        <w:t xml:space="preserve"> </w:t>
      </w:r>
      <w:r>
        <w:rPr>
          <w:i/>
          <w:iCs/>
          <w:color w:val="57585A"/>
          <w:spacing w:val="-7"/>
          <w:w w:val="96"/>
          <w:sz w:val="20"/>
          <w:szCs w:val="20"/>
        </w:rPr>
        <w:t>contraction.</w:t>
      </w:r>
      <w:r>
        <w:rPr>
          <w:i/>
          <w:iCs/>
          <w:color w:val="57585A"/>
          <w:spacing w:val="12"/>
          <w:sz w:val="20"/>
          <w:szCs w:val="20"/>
        </w:rPr>
        <w:t xml:space="preserve"> </w:t>
      </w:r>
      <w:r>
        <w:rPr>
          <w:i/>
          <w:iCs/>
          <w:color w:val="57585A"/>
          <w:spacing w:val="-7"/>
          <w:w w:val="96"/>
          <w:sz w:val="20"/>
          <w:szCs w:val="20"/>
        </w:rPr>
        <w:t>We have also recently</w:t>
      </w:r>
      <w:r>
        <w:rPr>
          <w:i/>
          <w:iCs/>
          <w:color w:val="57585A"/>
          <w:spacing w:val="-23"/>
          <w:sz w:val="20"/>
          <w:szCs w:val="20"/>
        </w:rPr>
        <w:t xml:space="preserve"> </w:t>
      </w:r>
      <w:r>
        <w:rPr>
          <w:i/>
          <w:iCs/>
          <w:color w:val="57585A"/>
          <w:spacing w:val="-7"/>
          <w:w w:val="96"/>
          <w:sz w:val="20"/>
          <w:szCs w:val="20"/>
        </w:rPr>
        <w:t>revised our</w:t>
      </w:r>
      <w:r>
        <w:rPr>
          <w:i/>
          <w:iCs/>
          <w:color w:val="57585A"/>
          <w:spacing w:val="-23"/>
          <w:sz w:val="20"/>
          <w:szCs w:val="20"/>
        </w:rPr>
        <w:t xml:space="preserve"> </w:t>
      </w:r>
      <w:r>
        <w:rPr>
          <w:i/>
          <w:iCs/>
          <w:color w:val="57585A"/>
          <w:spacing w:val="-7"/>
          <w:w w:val="96"/>
          <w:sz w:val="20"/>
          <w:szCs w:val="20"/>
        </w:rPr>
        <w:t>long-term forecasts for</w:t>
      </w:r>
      <w:r>
        <w:rPr>
          <w:i/>
          <w:iCs/>
          <w:color w:val="57585A"/>
          <w:sz w:val="20"/>
          <w:szCs w:val="20"/>
        </w:rPr>
        <w:t xml:space="preserve"> </w:t>
      </w:r>
      <w:r>
        <w:rPr>
          <w:i/>
          <w:iCs/>
          <w:color w:val="57585A"/>
          <w:spacing w:val="-10"/>
          <w:w w:val="99"/>
          <w:sz w:val="20"/>
          <w:szCs w:val="20"/>
        </w:rPr>
        <w:t>fuels demand</w:t>
      </w:r>
      <w:r>
        <w:rPr>
          <w:i/>
          <w:iCs/>
          <w:color w:val="57585A"/>
          <w:spacing w:val="-10"/>
          <w:sz w:val="20"/>
          <w:szCs w:val="20"/>
        </w:rPr>
        <w:t xml:space="preserve"> </w:t>
      </w:r>
      <w:r>
        <w:rPr>
          <w:i/>
          <w:iCs/>
          <w:color w:val="57585A"/>
          <w:spacing w:val="-10"/>
          <w:w w:val="99"/>
          <w:sz w:val="20"/>
          <w:szCs w:val="20"/>
        </w:rPr>
        <w:t>growth, as we expect</w:t>
      </w:r>
      <w:r>
        <w:rPr>
          <w:i/>
          <w:iCs/>
          <w:color w:val="57585A"/>
          <w:spacing w:val="-19"/>
          <w:sz w:val="20"/>
          <w:szCs w:val="20"/>
        </w:rPr>
        <w:t xml:space="preserve"> </w:t>
      </w:r>
      <w:r>
        <w:rPr>
          <w:i/>
          <w:iCs/>
          <w:color w:val="57585A"/>
          <w:spacing w:val="-10"/>
          <w:w w:val="99"/>
          <w:sz w:val="20"/>
          <w:szCs w:val="20"/>
        </w:rPr>
        <w:t>a positive long-term economic impact</w:t>
      </w:r>
      <w:r>
        <w:rPr>
          <w:i/>
          <w:iCs/>
          <w:color w:val="57585A"/>
          <w:spacing w:val="-15"/>
          <w:sz w:val="20"/>
          <w:szCs w:val="20"/>
        </w:rPr>
        <w:t xml:space="preserve"> </w:t>
      </w:r>
      <w:r>
        <w:rPr>
          <w:i/>
          <w:iCs/>
          <w:color w:val="57585A"/>
          <w:spacing w:val="-10"/>
          <w:w w:val="99"/>
          <w:sz w:val="20"/>
          <w:szCs w:val="20"/>
        </w:rPr>
        <w:t>from the Milei</w:t>
      </w:r>
      <w:r>
        <w:rPr>
          <w:i/>
          <w:iCs/>
          <w:color w:val="57585A"/>
          <w:spacing w:val="-27"/>
          <w:sz w:val="20"/>
          <w:szCs w:val="20"/>
        </w:rPr>
        <w:t xml:space="preserve"> </w:t>
      </w:r>
      <w:r>
        <w:rPr>
          <w:i/>
          <w:iCs/>
          <w:color w:val="57585A"/>
          <w:spacing w:val="-10"/>
          <w:w w:val="99"/>
          <w:sz w:val="20"/>
          <w:szCs w:val="20"/>
        </w:rPr>
        <w:t>government's recent economic measures.</w:t>
      </w:r>
      <w:r>
        <w:rPr>
          <w:i/>
          <w:iCs/>
          <w:color w:val="57585A"/>
          <w:sz w:val="20"/>
          <w:szCs w:val="20"/>
        </w:rPr>
        <w:t xml:space="preserve"> </w:t>
      </w:r>
      <w:r>
        <w:rPr>
          <w:i/>
          <w:iCs/>
          <w:color w:val="57585A"/>
          <w:spacing w:val="-7"/>
          <w:w w:val="96"/>
          <w:sz w:val="20"/>
          <w:szCs w:val="20"/>
        </w:rPr>
        <w:t>Our</w:t>
      </w:r>
      <w:r>
        <w:rPr>
          <w:i/>
          <w:iCs/>
          <w:color w:val="57585A"/>
          <w:spacing w:val="-35"/>
          <w:sz w:val="20"/>
          <w:szCs w:val="20"/>
        </w:rPr>
        <w:t xml:space="preserve"> </w:t>
      </w:r>
      <w:r>
        <w:rPr>
          <w:i/>
          <w:iCs/>
          <w:color w:val="57585A"/>
          <w:spacing w:val="-7"/>
          <w:w w:val="96"/>
          <w:sz w:val="20"/>
          <w:szCs w:val="20"/>
        </w:rPr>
        <w:t>Autos team's increasingly</w:t>
      </w:r>
      <w:r>
        <w:rPr>
          <w:i/>
          <w:iCs/>
          <w:color w:val="57585A"/>
          <w:spacing w:val="-23"/>
          <w:sz w:val="20"/>
          <w:szCs w:val="20"/>
        </w:rPr>
        <w:t xml:space="preserve"> </w:t>
      </w:r>
      <w:r>
        <w:rPr>
          <w:i/>
          <w:iCs/>
          <w:color w:val="57585A"/>
          <w:spacing w:val="-7"/>
          <w:w w:val="96"/>
          <w:sz w:val="20"/>
          <w:szCs w:val="20"/>
        </w:rPr>
        <w:t>bullish</w:t>
      </w:r>
      <w:r>
        <w:rPr>
          <w:i/>
          <w:iCs/>
          <w:color w:val="57585A"/>
          <w:spacing w:val="-8"/>
          <w:w w:val="96"/>
          <w:sz w:val="20"/>
          <w:szCs w:val="20"/>
        </w:rPr>
        <w:t xml:space="preserve"> long-term vehicle sales forecasts are also supportive of</w:t>
      </w:r>
      <w:r>
        <w:rPr>
          <w:i/>
          <w:iCs/>
          <w:color w:val="57585A"/>
          <w:spacing w:val="-39"/>
          <w:sz w:val="20"/>
          <w:szCs w:val="20"/>
        </w:rPr>
        <w:t xml:space="preserve"> </w:t>
      </w:r>
      <w:r>
        <w:rPr>
          <w:i/>
          <w:iCs/>
          <w:color w:val="57585A"/>
          <w:spacing w:val="-8"/>
          <w:w w:val="96"/>
          <w:sz w:val="20"/>
          <w:szCs w:val="20"/>
        </w:rPr>
        <w:t>long-term fuels demand</w:t>
      </w:r>
      <w:r>
        <w:rPr>
          <w:i/>
          <w:iCs/>
          <w:color w:val="57585A"/>
          <w:spacing w:val="-26"/>
          <w:sz w:val="20"/>
          <w:szCs w:val="20"/>
        </w:rPr>
        <w:t xml:space="preserve"> </w:t>
      </w:r>
      <w:r>
        <w:rPr>
          <w:i/>
          <w:iCs/>
          <w:color w:val="57585A"/>
          <w:spacing w:val="-8"/>
          <w:w w:val="96"/>
          <w:sz w:val="20"/>
          <w:szCs w:val="20"/>
        </w:rPr>
        <w:t>growth.</w:t>
      </w:r>
      <w:r>
        <w:rPr>
          <w:i/>
          <w:iCs/>
          <w:color w:val="57585A"/>
          <w:spacing w:val="13"/>
          <w:sz w:val="20"/>
          <w:szCs w:val="20"/>
        </w:rPr>
        <w:t xml:space="preserve"> </w:t>
      </w:r>
      <w:r>
        <w:rPr>
          <w:i/>
          <w:iCs/>
          <w:color w:val="57585A"/>
          <w:spacing w:val="-8"/>
          <w:w w:val="96"/>
          <w:sz w:val="20"/>
          <w:szCs w:val="20"/>
        </w:rPr>
        <w:t>We</w:t>
      </w:r>
      <w:r>
        <w:rPr>
          <w:i/>
          <w:iCs/>
          <w:color w:val="57585A"/>
          <w:sz w:val="20"/>
          <w:szCs w:val="20"/>
        </w:rPr>
        <w:t xml:space="preserve">   </w:t>
      </w:r>
      <w:r>
        <w:rPr>
          <w:i/>
          <w:iCs/>
          <w:color w:val="57585A"/>
          <w:spacing w:val="-8"/>
          <w:w w:val="97"/>
          <w:sz w:val="20"/>
          <w:szCs w:val="20"/>
        </w:rPr>
        <w:t>forecast</w:t>
      </w:r>
      <w:r>
        <w:rPr>
          <w:i/>
          <w:iCs/>
          <w:color w:val="57585A"/>
          <w:spacing w:val="-9"/>
          <w:sz w:val="20"/>
          <w:szCs w:val="20"/>
        </w:rPr>
        <w:t xml:space="preserve"> </w:t>
      </w:r>
      <w:r>
        <w:rPr>
          <w:i/>
          <w:iCs/>
          <w:color w:val="57585A"/>
          <w:spacing w:val="-8"/>
          <w:w w:val="97"/>
          <w:sz w:val="20"/>
          <w:szCs w:val="20"/>
        </w:rPr>
        <w:t>fuels demand to increase by</w:t>
      </w:r>
      <w:r>
        <w:rPr>
          <w:i/>
          <w:iCs/>
          <w:color w:val="57585A"/>
          <w:spacing w:val="-24"/>
          <w:sz w:val="20"/>
          <w:szCs w:val="20"/>
        </w:rPr>
        <w:t xml:space="preserve"> </w:t>
      </w:r>
      <w:r>
        <w:rPr>
          <w:i/>
          <w:iCs/>
          <w:color w:val="57585A"/>
          <w:spacing w:val="-8"/>
          <w:w w:val="97"/>
          <w:sz w:val="20"/>
          <w:szCs w:val="20"/>
        </w:rPr>
        <w:t>ay-o-y</w:t>
      </w:r>
      <w:r>
        <w:rPr>
          <w:i/>
          <w:iCs/>
          <w:color w:val="57585A"/>
          <w:spacing w:val="-24"/>
          <w:sz w:val="20"/>
          <w:szCs w:val="20"/>
        </w:rPr>
        <w:t xml:space="preserve"> </w:t>
      </w:r>
      <w:r>
        <w:rPr>
          <w:i/>
          <w:iCs/>
          <w:color w:val="57585A"/>
          <w:spacing w:val="-8"/>
          <w:w w:val="97"/>
          <w:sz w:val="20"/>
          <w:szCs w:val="20"/>
        </w:rPr>
        <w:t>average of0.1% to 2034.</w:t>
      </w:r>
    </w:p>
    <w:p w14:paraId="2AF58926">
      <w:pPr>
        <w:pStyle w:val="4"/>
        <w:spacing w:line="332" w:lineRule="auto"/>
      </w:pPr>
    </w:p>
    <w:p w14:paraId="6CBE068E">
      <w:pPr>
        <w:pStyle w:val="4"/>
        <w:spacing w:line="333" w:lineRule="auto"/>
      </w:pPr>
    </w:p>
    <w:p w14:paraId="2DB233BA">
      <w:pPr>
        <w:pStyle w:val="4"/>
        <w:spacing w:before="69" w:line="182" w:lineRule="auto"/>
        <w:ind w:left="378"/>
        <w:outlineLvl w:val="2"/>
        <w:rPr>
          <w:sz w:val="24"/>
          <w:szCs w:val="24"/>
        </w:rPr>
      </w:pPr>
      <w:r>
        <w:rPr>
          <w:b/>
          <w:bCs/>
          <w:color w:val="174174"/>
          <w:spacing w:val="-9"/>
          <w:sz w:val="24"/>
          <w:szCs w:val="24"/>
        </w:rPr>
        <w:t>Latest Updates</w:t>
      </w:r>
    </w:p>
    <w:p w14:paraId="7F893E31">
      <w:pPr>
        <w:pStyle w:val="4"/>
        <w:spacing w:line="355" w:lineRule="auto"/>
      </w:pPr>
    </w:p>
    <w:p w14:paraId="0B4ACB5C">
      <w:pPr>
        <w:pStyle w:val="4"/>
        <w:spacing w:before="59" w:line="287" w:lineRule="auto"/>
        <w:ind w:left="604" w:right="624" w:hanging="247"/>
        <w:rPr>
          <w:sz w:val="20"/>
          <w:szCs w:val="20"/>
        </w:rPr>
      </w:pPr>
      <w:r>
        <w:rPr>
          <w:color w:val="33CCFF"/>
          <w:spacing w:val="-11"/>
          <w:sz w:val="20"/>
          <w:szCs w:val="20"/>
        </w:rPr>
        <w:t xml:space="preserve">•   </w:t>
      </w:r>
      <w:r>
        <w:rPr>
          <w:color w:val="57585A"/>
          <w:spacing w:val="-11"/>
          <w:sz w:val="20"/>
          <w:szCs w:val="20"/>
        </w:rPr>
        <w:t>We expect</w:t>
      </w:r>
      <w:r>
        <w:rPr>
          <w:color w:val="57585A"/>
          <w:spacing w:val="-15"/>
          <w:sz w:val="20"/>
          <w:szCs w:val="20"/>
        </w:rPr>
        <w:t xml:space="preserve"> </w:t>
      </w:r>
      <w:r>
        <w:rPr>
          <w:color w:val="57585A"/>
          <w:spacing w:val="-11"/>
          <w:sz w:val="20"/>
          <w:szCs w:val="20"/>
        </w:rPr>
        <w:t>Argentina's economy to commence recovery in 2025,</w:t>
      </w:r>
      <w:r>
        <w:rPr>
          <w:color w:val="57585A"/>
          <w:spacing w:val="-16"/>
          <w:sz w:val="20"/>
          <w:szCs w:val="20"/>
        </w:rPr>
        <w:t xml:space="preserve"> </w:t>
      </w:r>
      <w:r>
        <w:rPr>
          <w:color w:val="57585A"/>
          <w:spacing w:val="-12"/>
          <w:sz w:val="20"/>
          <w:szCs w:val="20"/>
        </w:rPr>
        <w:t>with forecasted real GDP growth rate of</w:t>
      </w:r>
      <w:r>
        <w:rPr>
          <w:color w:val="57585A"/>
          <w:spacing w:val="-17"/>
          <w:sz w:val="20"/>
          <w:szCs w:val="20"/>
        </w:rPr>
        <w:t xml:space="preserve"> </w:t>
      </w:r>
      <w:r>
        <w:rPr>
          <w:color w:val="57585A"/>
          <w:spacing w:val="-12"/>
          <w:sz w:val="20"/>
          <w:szCs w:val="20"/>
        </w:rPr>
        <w:t>4.8%</w:t>
      </w:r>
      <w:r>
        <w:rPr>
          <w:color w:val="57585A"/>
          <w:spacing w:val="-15"/>
          <w:sz w:val="20"/>
          <w:szCs w:val="20"/>
        </w:rPr>
        <w:t xml:space="preserve"> </w:t>
      </w:r>
      <w:r>
        <w:rPr>
          <w:color w:val="57585A"/>
          <w:spacing w:val="-12"/>
          <w:sz w:val="20"/>
          <w:szCs w:val="20"/>
        </w:rPr>
        <w:t>y-o-y, after an</w:t>
      </w:r>
      <w:r>
        <w:rPr>
          <w:color w:val="57585A"/>
          <w:sz w:val="20"/>
          <w:szCs w:val="20"/>
        </w:rPr>
        <w:t xml:space="preserve"> </w:t>
      </w:r>
      <w:r>
        <w:rPr>
          <w:color w:val="57585A"/>
          <w:spacing w:val="-10"/>
          <w:sz w:val="20"/>
          <w:szCs w:val="20"/>
        </w:rPr>
        <w:t>estimated contraction of 1.7% in 2024. We expect this</w:t>
      </w:r>
      <w:r>
        <w:rPr>
          <w:color w:val="57585A"/>
          <w:spacing w:val="-16"/>
          <w:sz w:val="20"/>
          <w:szCs w:val="20"/>
        </w:rPr>
        <w:t xml:space="preserve"> </w:t>
      </w:r>
      <w:r>
        <w:rPr>
          <w:color w:val="57585A"/>
          <w:spacing w:val="-10"/>
          <w:sz w:val="20"/>
          <w:szCs w:val="20"/>
        </w:rPr>
        <w:t>will translate into an improved outlo</w:t>
      </w:r>
      <w:r>
        <w:rPr>
          <w:color w:val="57585A"/>
          <w:spacing w:val="-11"/>
          <w:sz w:val="20"/>
          <w:szCs w:val="20"/>
        </w:rPr>
        <w:t>ok for refined fuels consumption in</w:t>
      </w:r>
      <w:r>
        <w:rPr>
          <w:color w:val="57585A"/>
          <w:sz w:val="20"/>
          <w:szCs w:val="20"/>
        </w:rPr>
        <w:t xml:space="preserve"> </w:t>
      </w:r>
      <w:r>
        <w:rPr>
          <w:color w:val="57585A"/>
          <w:spacing w:val="-10"/>
          <w:sz w:val="20"/>
          <w:szCs w:val="20"/>
        </w:rPr>
        <w:t>Argentina over 2025:</w:t>
      </w:r>
      <w:r>
        <w:rPr>
          <w:color w:val="57585A"/>
          <w:spacing w:val="-15"/>
          <w:sz w:val="20"/>
          <w:szCs w:val="20"/>
        </w:rPr>
        <w:t xml:space="preserve"> </w:t>
      </w:r>
      <w:r>
        <w:rPr>
          <w:color w:val="57585A"/>
          <w:spacing w:val="-10"/>
          <w:sz w:val="20"/>
          <w:szCs w:val="20"/>
        </w:rPr>
        <w:t>we forecast total fue</w:t>
      </w:r>
      <w:r>
        <w:rPr>
          <w:color w:val="57585A"/>
          <w:spacing w:val="-11"/>
          <w:sz w:val="20"/>
          <w:szCs w:val="20"/>
        </w:rPr>
        <w:t>ls consumption to expand by 2.5%</w:t>
      </w:r>
      <w:r>
        <w:rPr>
          <w:color w:val="57585A"/>
          <w:spacing w:val="-16"/>
          <w:sz w:val="20"/>
          <w:szCs w:val="20"/>
        </w:rPr>
        <w:t xml:space="preserve"> </w:t>
      </w:r>
      <w:r>
        <w:rPr>
          <w:color w:val="57585A"/>
          <w:spacing w:val="-11"/>
          <w:sz w:val="20"/>
          <w:szCs w:val="20"/>
        </w:rPr>
        <w:t>y-o-y in 2025, after an estimated contraction in</w:t>
      </w:r>
      <w:r>
        <w:rPr>
          <w:color w:val="57585A"/>
          <w:sz w:val="20"/>
          <w:szCs w:val="20"/>
        </w:rPr>
        <w:t xml:space="preserve"> </w:t>
      </w:r>
      <w:r>
        <w:rPr>
          <w:color w:val="57585A"/>
          <w:spacing w:val="-12"/>
          <w:sz w:val="20"/>
          <w:szCs w:val="20"/>
        </w:rPr>
        <w:t>demand of</w:t>
      </w:r>
      <w:r>
        <w:rPr>
          <w:color w:val="57585A"/>
          <w:spacing w:val="-8"/>
          <w:sz w:val="20"/>
          <w:szCs w:val="20"/>
        </w:rPr>
        <w:t xml:space="preserve"> </w:t>
      </w:r>
      <w:r>
        <w:rPr>
          <w:color w:val="57585A"/>
          <w:spacing w:val="-12"/>
          <w:sz w:val="20"/>
          <w:szCs w:val="20"/>
        </w:rPr>
        <w:t>3.4% in 2024.</w:t>
      </w:r>
    </w:p>
    <w:p w14:paraId="705909AD">
      <w:pPr>
        <w:pStyle w:val="4"/>
        <w:spacing w:before="20" w:line="273" w:lineRule="auto"/>
        <w:ind w:left="604" w:right="623" w:hanging="247"/>
        <w:rPr>
          <w:sz w:val="20"/>
          <w:szCs w:val="20"/>
        </w:rPr>
      </w:pPr>
      <w:r>
        <w:rPr>
          <w:color w:val="33CCFF"/>
          <w:spacing w:val="-10"/>
          <w:sz w:val="20"/>
          <w:szCs w:val="20"/>
        </w:rPr>
        <w:t xml:space="preserve">•   </w:t>
      </w:r>
      <w:r>
        <w:rPr>
          <w:color w:val="57585A"/>
          <w:spacing w:val="-10"/>
          <w:sz w:val="20"/>
          <w:szCs w:val="20"/>
        </w:rPr>
        <w:t>An improving trend in fuel demand in</w:t>
      </w:r>
      <w:r>
        <w:rPr>
          <w:color w:val="57585A"/>
          <w:spacing w:val="-16"/>
          <w:sz w:val="20"/>
          <w:szCs w:val="20"/>
        </w:rPr>
        <w:t xml:space="preserve"> </w:t>
      </w:r>
      <w:r>
        <w:rPr>
          <w:color w:val="57585A"/>
          <w:spacing w:val="-10"/>
          <w:sz w:val="20"/>
          <w:szCs w:val="20"/>
        </w:rPr>
        <w:t>Argentina</w:t>
      </w:r>
      <w:r>
        <w:rPr>
          <w:color w:val="57585A"/>
          <w:spacing w:val="-16"/>
          <w:sz w:val="20"/>
          <w:szCs w:val="20"/>
        </w:rPr>
        <w:t xml:space="preserve"> </w:t>
      </w:r>
      <w:r>
        <w:rPr>
          <w:color w:val="57585A"/>
          <w:spacing w:val="-10"/>
          <w:sz w:val="20"/>
          <w:szCs w:val="20"/>
        </w:rPr>
        <w:t xml:space="preserve">will also be supported by our price forecasts for crude </w:t>
      </w:r>
      <w:r>
        <w:rPr>
          <w:color w:val="57585A"/>
          <w:spacing w:val="-11"/>
          <w:sz w:val="20"/>
          <w:szCs w:val="20"/>
        </w:rPr>
        <w:t>oil and global fuel price</w:t>
      </w:r>
      <w:r>
        <w:rPr>
          <w:color w:val="57585A"/>
          <w:sz w:val="20"/>
          <w:szCs w:val="20"/>
        </w:rPr>
        <w:t xml:space="preserve"> </w:t>
      </w:r>
      <w:r>
        <w:rPr>
          <w:color w:val="57585A"/>
          <w:spacing w:val="-11"/>
          <w:sz w:val="20"/>
          <w:szCs w:val="20"/>
        </w:rPr>
        <w:t>benchmarks. We currently expect Brent prices to decline to an average of USD68.0/bbl in</w:t>
      </w:r>
      <w:r>
        <w:rPr>
          <w:color w:val="57585A"/>
          <w:spacing w:val="-12"/>
          <w:sz w:val="20"/>
          <w:szCs w:val="20"/>
        </w:rPr>
        <w:t xml:space="preserve"> 2025, from USD79.9/bbl in 2024,</w:t>
      </w:r>
      <w:r>
        <w:rPr>
          <w:color w:val="57585A"/>
          <w:sz w:val="20"/>
          <w:szCs w:val="20"/>
        </w:rPr>
        <w:t xml:space="preserve"> </w:t>
      </w:r>
      <w:r>
        <w:rPr>
          <w:color w:val="57585A"/>
          <w:spacing w:val="-10"/>
          <w:sz w:val="20"/>
          <w:szCs w:val="20"/>
        </w:rPr>
        <w:t>which</w:t>
      </w:r>
      <w:r>
        <w:rPr>
          <w:color w:val="57585A"/>
          <w:spacing w:val="-3"/>
          <w:sz w:val="20"/>
          <w:szCs w:val="20"/>
        </w:rPr>
        <w:t xml:space="preserve"> </w:t>
      </w:r>
      <w:r>
        <w:rPr>
          <w:color w:val="57585A"/>
          <w:spacing w:val="-10"/>
          <w:sz w:val="20"/>
          <w:szCs w:val="20"/>
        </w:rPr>
        <w:t>will support demand.</w:t>
      </w:r>
    </w:p>
    <w:p w14:paraId="5456CAAB">
      <w:pPr>
        <w:pStyle w:val="4"/>
        <w:spacing w:before="56" w:line="272" w:lineRule="auto"/>
        <w:ind w:left="604" w:right="433" w:hanging="247"/>
        <w:rPr>
          <w:sz w:val="20"/>
          <w:szCs w:val="20"/>
        </w:rPr>
      </w:pPr>
      <w:r>
        <w:rPr>
          <w:color w:val="33CCFF"/>
          <w:spacing w:val="-11"/>
          <w:sz w:val="20"/>
          <w:szCs w:val="20"/>
        </w:rPr>
        <w:t xml:space="preserve">•   </w:t>
      </w:r>
      <w:r>
        <w:rPr>
          <w:color w:val="57585A"/>
          <w:spacing w:val="-11"/>
          <w:sz w:val="20"/>
          <w:szCs w:val="20"/>
        </w:rPr>
        <w:t xml:space="preserve">Our fuel demand forecast is also </w:t>
      </w:r>
      <w:r>
        <w:rPr>
          <w:color w:val="57585A"/>
          <w:spacing w:val="-12"/>
          <w:sz w:val="20"/>
          <w:szCs w:val="20"/>
        </w:rPr>
        <w:t>underpinned by</w:t>
      </w:r>
      <w:r>
        <w:rPr>
          <w:color w:val="57585A"/>
          <w:spacing w:val="-15"/>
          <w:sz w:val="20"/>
          <w:szCs w:val="20"/>
        </w:rPr>
        <w:t xml:space="preserve"> </w:t>
      </w:r>
      <w:r>
        <w:rPr>
          <w:color w:val="57585A"/>
          <w:spacing w:val="-12"/>
          <w:sz w:val="20"/>
          <w:szCs w:val="20"/>
        </w:rPr>
        <w:t>vehicle sales forecast provided by our</w:t>
      </w:r>
      <w:r>
        <w:rPr>
          <w:color w:val="57585A"/>
          <w:spacing w:val="-16"/>
          <w:sz w:val="20"/>
          <w:szCs w:val="20"/>
        </w:rPr>
        <w:t xml:space="preserve"> </w:t>
      </w:r>
      <w:r>
        <w:rPr>
          <w:color w:val="57585A"/>
          <w:spacing w:val="-12"/>
          <w:sz w:val="20"/>
          <w:szCs w:val="20"/>
        </w:rPr>
        <w:t>Autos team. We expect</w:t>
      </w:r>
      <w:r>
        <w:rPr>
          <w:color w:val="57585A"/>
          <w:spacing w:val="-15"/>
          <w:sz w:val="20"/>
          <w:szCs w:val="20"/>
        </w:rPr>
        <w:t xml:space="preserve"> </w:t>
      </w:r>
      <w:r>
        <w:rPr>
          <w:color w:val="57585A"/>
          <w:spacing w:val="-12"/>
          <w:sz w:val="20"/>
          <w:szCs w:val="20"/>
        </w:rPr>
        <w:t>vehicle sales in</w:t>
      </w:r>
      <w:r>
        <w:rPr>
          <w:color w:val="57585A"/>
          <w:sz w:val="20"/>
          <w:szCs w:val="20"/>
        </w:rPr>
        <w:t xml:space="preserve"> </w:t>
      </w:r>
      <w:r>
        <w:rPr>
          <w:color w:val="57585A"/>
          <w:spacing w:val="-10"/>
          <w:sz w:val="20"/>
          <w:szCs w:val="20"/>
        </w:rPr>
        <w:t>Argentina to reboun</w:t>
      </w:r>
      <w:r>
        <w:rPr>
          <w:color w:val="57585A"/>
          <w:spacing w:val="-11"/>
          <w:sz w:val="20"/>
          <w:szCs w:val="20"/>
        </w:rPr>
        <w:t>d strongly in 2025 (+16.9%</w:t>
      </w:r>
      <w:r>
        <w:rPr>
          <w:color w:val="57585A"/>
          <w:spacing w:val="-15"/>
          <w:sz w:val="20"/>
          <w:szCs w:val="20"/>
        </w:rPr>
        <w:t xml:space="preserve"> </w:t>
      </w:r>
      <w:r>
        <w:rPr>
          <w:color w:val="57585A"/>
          <w:spacing w:val="-11"/>
          <w:sz w:val="20"/>
          <w:szCs w:val="20"/>
        </w:rPr>
        <w:t>y-o-y), driven by a more favourable economic environment, including a rebound</w:t>
      </w:r>
      <w:r>
        <w:rPr>
          <w:color w:val="57585A"/>
          <w:sz w:val="20"/>
          <w:szCs w:val="20"/>
        </w:rPr>
        <w:t xml:space="preserve"> </w:t>
      </w:r>
      <w:r>
        <w:rPr>
          <w:color w:val="57585A"/>
          <w:spacing w:val="-10"/>
          <w:sz w:val="20"/>
          <w:szCs w:val="20"/>
        </w:rPr>
        <w:t>in economic activity, lower inflation, and the continuance of higher credit availability</w:t>
      </w:r>
      <w:r>
        <w:rPr>
          <w:color w:val="57585A"/>
          <w:spacing w:val="-15"/>
          <w:sz w:val="20"/>
          <w:szCs w:val="20"/>
        </w:rPr>
        <w:t xml:space="preserve"> </w:t>
      </w:r>
      <w:r>
        <w:rPr>
          <w:color w:val="57585A"/>
          <w:spacing w:val="-10"/>
          <w:sz w:val="20"/>
          <w:szCs w:val="20"/>
        </w:rPr>
        <w:t>with more favourable car l</w:t>
      </w:r>
      <w:r>
        <w:rPr>
          <w:color w:val="57585A"/>
          <w:spacing w:val="-11"/>
          <w:sz w:val="20"/>
          <w:szCs w:val="20"/>
        </w:rPr>
        <w:t>oan terms.</w:t>
      </w:r>
    </w:p>
    <w:p w14:paraId="747DBD4B">
      <w:pPr>
        <w:pStyle w:val="4"/>
        <w:spacing w:before="58" w:line="262" w:lineRule="auto"/>
        <w:ind w:left="612" w:right="471" w:hanging="255"/>
        <w:rPr>
          <w:sz w:val="20"/>
          <w:szCs w:val="20"/>
        </w:rPr>
      </w:pPr>
      <w:r>
        <w:rPr>
          <w:color w:val="33CCFF"/>
          <w:spacing w:val="-11"/>
          <w:sz w:val="20"/>
          <w:szCs w:val="20"/>
        </w:rPr>
        <w:t xml:space="preserve">•   </w:t>
      </w:r>
      <w:r>
        <w:rPr>
          <w:color w:val="57585A"/>
          <w:spacing w:val="-11"/>
          <w:sz w:val="20"/>
          <w:szCs w:val="20"/>
        </w:rPr>
        <w:t>In May 2025,</w:t>
      </w:r>
      <w:r>
        <w:rPr>
          <w:color w:val="57585A"/>
          <w:spacing w:val="-16"/>
          <w:sz w:val="20"/>
          <w:szCs w:val="20"/>
        </w:rPr>
        <w:t xml:space="preserve"> </w:t>
      </w:r>
      <w:r>
        <w:rPr>
          <w:color w:val="57585A"/>
          <w:spacing w:val="-11"/>
          <w:sz w:val="20"/>
          <w:szCs w:val="20"/>
        </w:rPr>
        <w:t>YPF</w:t>
      </w:r>
      <w:r>
        <w:rPr>
          <w:color w:val="57585A"/>
          <w:spacing w:val="-2"/>
          <w:sz w:val="20"/>
          <w:szCs w:val="20"/>
        </w:rPr>
        <w:t xml:space="preserve"> </w:t>
      </w:r>
      <w:r>
        <w:rPr>
          <w:color w:val="57585A"/>
          <w:spacing w:val="-11"/>
          <w:sz w:val="20"/>
          <w:szCs w:val="20"/>
        </w:rPr>
        <w:t>ha</w:t>
      </w:r>
      <w:r>
        <w:rPr>
          <w:color w:val="57585A"/>
          <w:spacing w:val="-12"/>
          <w:sz w:val="20"/>
          <w:szCs w:val="20"/>
        </w:rPr>
        <w:t>s implemented another</w:t>
      </w:r>
      <w:r>
        <w:rPr>
          <w:color w:val="57585A"/>
          <w:spacing w:val="-2"/>
          <w:sz w:val="20"/>
          <w:szCs w:val="20"/>
        </w:rPr>
        <w:t xml:space="preserve"> </w:t>
      </w:r>
      <w:r>
        <w:rPr>
          <w:color w:val="57585A"/>
          <w:spacing w:val="-12"/>
          <w:sz w:val="20"/>
          <w:szCs w:val="20"/>
        </w:rPr>
        <w:t>nationwide 4%</w:t>
      </w:r>
      <w:r>
        <w:rPr>
          <w:color w:val="57585A"/>
          <w:spacing w:val="-1"/>
          <w:sz w:val="20"/>
          <w:szCs w:val="20"/>
        </w:rPr>
        <w:t xml:space="preserve"> </w:t>
      </w:r>
      <w:r>
        <w:rPr>
          <w:color w:val="57585A"/>
          <w:spacing w:val="-12"/>
          <w:sz w:val="20"/>
          <w:szCs w:val="20"/>
        </w:rPr>
        <w:t>reduction</w:t>
      </w:r>
      <w:r>
        <w:rPr>
          <w:color w:val="57585A"/>
          <w:spacing w:val="-4"/>
          <w:sz w:val="20"/>
          <w:szCs w:val="20"/>
        </w:rPr>
        <w:t xml:space="preserve"> </w:t>
      </w:r>
      <w:r>
        <w:rPr>
          <w:color w:val="57585A"/>
          <w:spacing w:val="-12"/>
          <w:sz w:val="20"/>
          <w:szCs w:val="20"/>
        </w:rPr>
        <w:t>in gasoline and diesel</w:t>
      </w:r>
      <w:r>
        <w:rPr>
          <w:color w:val="57585A"/>
          <w:spacing w:val="-2"/>
          <w:sz w:val="20"/>
          <w:szCs w:val="20"/>
        </w:rPr>
        <w:t xml:space="preserve"> </w:t>
      </w:r>
      <w:r>
        <w:rPr>
          <w:color w:val="57585A"/>
          <w:spacing w:val="-12"/>
          <w:sz w:val="20"/>
          <w:szCs w:val="20"/>
        </w:rPr>
        <w:t>prices due to lower</w:t>
      </w:r>
      <w:r>
        <w:rPr>
          <w:color w:val="57585A"/>
          <w:spacing w:val="-6"/>
          <w:sz w:val="20"/>
          <w:szCs w:val="20"/>
        </w:rPr>
        <w:t xml:space="preserve"> </w:t>
      </w:r>
      <w:r>
        <w:rPr>
          <w:color w:val="57585A"/>
          <w:spacing w:val="-12"/>
          <w:sz w:val="20"/>
          <w:szCs w:val="20"/>
        </w:rPr>
        <w:t>crude</w:t>
      </w:r>
      <w:r>
        <w:rPr>
          <w:color w:val="57585A"/>
          <w:spacing w:val="-6"/>
          <w:sz w:val="20"/>
          <w:szCs w:val="20"/>
        </w:rPr>
        <w:t xml:space="preserve"> </w:t>
      </w:r>
      <w:r>
        <w:rPr>
          <w:color w:val="57585A"/>
          <w:spacing w:val="-12"/>
          <w:sz w:val="20"/>
          <w:szCs w:val="20"/>
        </w:rPr>
        <w:t>oil</w:t>
      </w:r>
      <w:r>
        <w:rPr>
          <w:color w:val="57585A"/>
          <w:spacing w:val="-2"/>
          <w:sz w:val="20"/>
          <w:szCs w:val="20"/>
        </w:rPr>
        <w:t xml:space="preserve"> </w:t>
      </w:r>
      <w:r>
        <w:rPr>
          <w:color w:val="57585A"/>
          <w:spacing w:val="-12"/>
          <w:sz w:val="20"/>
          <w:szCs w:val="20"/>
        </w:rPr>
        <w:t>prices,</w:t>
      </w:r>
      <w:r>
        <w:rPr>
          <w:color w:val="57585A"/>
          <w:sz w:val="20"/>
          <w:szCs w:val="20"/>
        </w:rPr>
        <w:t xml:space="preserve"> </w:t>
      </w:r>
      <w:r>
        <w:rPr>
          <w:color w:val="57585A"/>
          <w:spacing w:val="-11"/>
          <w:sz w:val="20"/>
          <w:szCs w:val="20"/>
        </w:rPr>
        <w:t>and after another similar cut implemented in October 2024.</w:t>
      </w:r>
      <w:r>
        <w:rPr>
          <w:color w:val="57585A"/>
          <w:spacing w:val="-15"/>
          <w:sz w:val="20"/>
          <w:szCs w:val="20"/>
        </w:rPr>
        <w:t xml:space="preserve"> </w:t>
      </w:r>
      <w:r>
        <w:rPr>
          <w:color w:val="57585A"/>
          <w:spacing w:val="-11"/>
          <w:sz w:val="20"/>
          <w:szCs w:val="20"/>
        </w:rPr>
        <w:t>YPF’s move</w:t>
      </w:r>
      <w:r>
        <w:rPr>
          <w:color w:val="57585A"/>
          <w:spacing w:val="-16"/>
          <w:sz w:val="20"/>
          <w:szCs w:val="20"/>
        </w:rPr>
        <w:t xml:space="preserve"> </w:t>
      </w:r>
      <w:r>
        <w:rPr>
          <w:color w:val="57585A"/>
          <w:spacing w:val="-11"/>
          <w:sz w:val="20"/>
          <w:szCs w:val="20"/>
        </w:rPr>
        <w:t>was follow</w:t>
      </w:r>
      <w:r>
        <w:rPr>
          <w:color w:val="57585A"/>
          <w:spacing w:val="-12"/>
          <w:sz w:val="20"/>
          <w:szCs w:val="20"/>
        </w:rPr>
        <w:t>ed by other fuel distributors, namely Shell,</w:t>
      </w:r>
    </w:p>
    <w:p w14:paraId="68776611">
      <w:pPr>
        <w:pStyle w:val="4"/>
        <w:spacing w:before="58" w:line="262" w:lineRule="auto"/>
        <w:ind w:left="610" w:right="824" w:hanging="6"/>
        <w:rPr>
          <w:sz w:val="20"/>
          <w:szCs w:val="20"/>
        </w:rPr>
      </w:pPr>
      <w:r>
        <w:rPr>
          <w:color w:val="57585A"/>
          <w:spacing w:val="-12"/>
          <w:sz w:val="20"/>
          <w:szCs w:val="20"/>
        </w:rPr>
        <w:t>Axion and Puma Energy. The decision was supported by a decline in</w:t>
      </w:r>
      <w:r>
        <w:rPr>
          <w:color w:val="57585A"/>
          <w:spacing w:val="-13"/>
          <w:sz w:val="20"/>
          <w:szCs w:val="20"/>
        </w:rPr>
        <w:t xml:space="preserve"> global oil prices and fuel price benchmarks. This will be</w:t>
      </w:r>
      <w:r>
        <w:rPr>
          <w:color w:val="57585A"/>
          <w:sz w:val="20"/>
          <w:szCs w:val="20"/>
        </w:rPr>
        <w:t xml:space="preserve"> </w:t>
      </w:r>
      <w:r>
        <w:rPr>
          <w:color w:val="57585A"/>
          <w:spacing w:val="-10"/>
          <w:sz w:val="20"/>
          <w:szCs w:val="20"/>
        </w:rPr>
        <w:t>supportive of</w:t>
      </w:r>
      <w:r>
        <w:rPr>
          <w:color w:val="57585A"/>
          <w:spacing w:val="-21"/>
          <w:sz w:val="20"/>
          <w:szCs w:val="20"/>
        </w:rPr>
        <w:t xml:space="preserve"> </w:t>
      </w:r>
      <w:r>
        <w:rPr>
          <w:color w:val="57585A"/>
          <w:spacing w:val="-10"/>
          <w:sz w:val="20"/>
          <w:szCs w:val="20"/>
        </w:rPr>
        <w:t>fuels demand growth in 202</w:t>
      </w:r>
      <w:r>
        <w:rPr>
          <w:color w:val="57585A"/>
          <w:spacing w:val="-11"/>
          <w:sz w:val="20"/>
          <w:szCs w:val="20"/>
        </w:rPr>
        <w:t>5.</w:t>
      </w:r>
    </w:p>
    <w:p w14:paraId="36449978">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We have recently revised our long-term fuel demand forecast to reflect an incre</w:t>
      </w:r>
      <w:r>
        <w:rPr>
          <w:color w:val="57585A"/>
          <w:spacing w:val="-11"/>
          <w:sz w:val="20"/>
          <w:szCs w:val="20"/>
        </w:rPr>
        <w:t>asingly bullish outlook on</w:t>
      </w:r>
      <w:r>
        <w:rPr>
          <w:color w:val="57585A"/>
          <w:spacing w:val="-15"/>
          <w:sz w:val="20"/>
          <w:szCs w:val="20"/>
        </w:rPr>
        <w:t xml:space="preserve"> </w:t>
      </w:r>
      <w:r>
        <w:rPr>
          <w:color w:val="57585A"/>
          <w:spacing w:val="-11"/>
          <w:sz w:val="20"/>
          <w:szCs w:val="20"/>
        </w:rPr>
        <w:t>vehicle sales in</w:t>
      </w:r>
    </w:p>
    <w:p w14:paraId="1CED5EFC">
      <w:pPr>
        <w:pStyle w:val="4"/>
        <w:spacing w:before="56" w:line="262" w:lineRule="auto"/>
        <w:ind w:left="613" w:right="582" w:hanging="9"/>
        <w:rPr>
          <w:sz w:val="20"/>
          <w:szCs w:val="20"/>
        </w:rPr>
      </w:pPr>
      <w:r>
        <w:rPr>
          <w:color w:val="57585A"/>
          <w:spacing w:val="-11"/>
          <w:sz w:val="20"/>
          <w:szCs w:val="20"/>
        </w:rPr>
        <w:t>Argentina, and a rising</w:t>
      </w:r>
      <w:r>
        <w:rPr>
          <w:color w:val="57585A"/>
          <w:spacing w:val="-15"/>
          <w:sz w:val="20"/>
          <w:szCs w:val="20"/>
        </w:rPr>
        <w:t xml:space="preserve"> </w:t>
      </w:r>
      <w:r>
        <w:rPr>
          <w:color w:val="57585A"/>
          <w:spacing w:val="-11"/>
          <w:sz w:val="20"/>
          <w:szCs w:val="20"/>
        </w:rPr>
        <w:t>vehicle fleet. We expect the</w:t>
      </w:r>
      <w:r>
        <w:rPr>
          <w:color w:val="57585A"/>
          <w:spacing w:val="-12"/>
          <w:sz w:val="20"/>
          <w:szCs w:val="20"/>
        </w:rPr>
        <w:t xml:space="preserve"> new economic measures should bolster</w:t>
      </w:r>
      <w:r>
        <w:rPr>
          <w:color w:val="57585A"/>
          <w:spacing w:val="-16"/>
          <w:sz w:val="20"/>
          <w:szCs w:val="20"/>
        </w:rPr>
        <w:t xml:space="preserve"> </w:t>
      </w:r>
      <w:r>
        <w:rPr>
          <w:color w:val="57585A"/>
          <w:spacing w:val="-12"/>
          <w:sz w:val="20"/>
          <w:szCs w:val="20"/>
        </w:rPr>
        <w:t>vehicle demand once the market's</w:t>
      </w:r>
      <w:r>
        <w:rPr>
          <w:color w:val="57585A"/>
          <w:sz w:val="20"/>
          <w:szCs w:val="20"/>
        </w:rPr>
        <w:t xml:space="preserve"> </w:t>
      </w:r>
      <w:r>
        <w:rPr>
          <w:color w:val="57585A"/>
          <w:spacing w:val="-11"/>
          <w:sz w:val="20"/>
          <w:szCs w:val="20"/>
        </w:rPr>
        <w:t>economy subsequently recovers. Our</w:t>
      </w:r>
      <w:r>
        <w:rPr>
          <w:color w:val="57585A"/>
          <w:spacing w:val="-16"/>
          <w:sz w:val="20"/>
          <w:szCs w:val="20"/>
        </w:rPr>
        <w:t xml:space="preserve"> </w:t>
      </w:r>
      <w:r>
        <w:rPr>
          <w:color w:val="57585A"/>
          <w:spacing w:val="-11"/>
          <w:sz w:val="20"/>
          <w:szCs w:val="20"/>
        </w:rPr>
        <w:t>Autos team forecasted</w:t>
      </w:r>
      <w:r>
        <w:rPr>
          <w:color w:val="57585A"/>
          <w:spacing w:val="-16"/>
          <w:sz w:val="20"/>
          <w:szCs w:val="20"/>
        </w:rPr>
        <w:t xml:space="preserve"> </w:t>
      </w:r>
      <w:r>
        <w:rPr>
          <w:color w:val="57585A"/>
          <w:spacing w:val="-11"/>
          <w:sz w:val="20"/>
          <w:szCs w:val="20"/>
        </w:rPr>
        <w:t>y-o-y average growth in the</w:t>
      </w:r>
      <w:r>
        <w:rPr>
          <w:color w:val="57585A"/>
          <w:spacing w:val="-15"/>
          <w:sz w:val="20"/>
          <w:szCs w:val="20"/>
        </w:rPr>
        <w:t xml:space="preserve"> </w:t>
      </w:r>
      <w:r>
        <w:rPr>
          <w:color w:val="57585A"/>
          <w:spacing w:val="-11"/>
          <w:sz w:val="20"/>
          <w:szCs w:val="20"/>
        </w:rPr>
        <w:t>vehicl</w:t>
      </w:r>
      <w:r>
        <w:rPr>
          <w:color w:val="57585A"/>
          <w:spacing w:val="-12"/>
          <w:sz w:val="20"/>
          <w:szCs w:val="20"/>
        </w:rPr>
        <w:t>e fleet of 1.2%</w:t>
      </w:r>
      <w:r>
        <w:rPr>
          <w:color w:val="57585A"/>
          <w:spacing w:val="-16"/>
          <w:sz w:val="20"/>
          <w:szCs w:val="20"/>
        </w:rPr>
        <w:t xml:space="preserve"> </w:t>
      </w:r>
      <w:r>
        <w:rPr>
          <w:color w:val="57585A"/>
          <w:spacing w:val="-12"/>
          <w:sz w:val="20"/>
          <w:szCs w:val="20"/>
        </w:rPr>
        <w:t>y-o-y over the</w:t>
      </w:r>
    </w:p>
    <w:p w14:paraId="284A58CF">
      <w:pPr>
        <w:pStyle w:val="4"/>
        <w:spacing w:before="57" w:line="262" w:lineRule="auto"/>
        <w:ind w:left="604" w:right="385" w:firstLine="11"/>
        <w:rPr>
          <w:sz w:val="20"/>
          <w:szCs w:val="20"/>
        </w:rPr>
      </w:pPr>
      <w:r>
        <w:rPr>
          <w:color w:val="57585A"/>
          <w:spacing w:val="-11"/>
          <w:sz w:val="20"/>
          <w:szCs w:val="20"/>
        </w:rPr>
        <w:t>2025-2034 forecast period,</w:t>
      </w:r>
      <w:r>
        <w:rPr>
          <w:color w:val="57585A"/>
          <w:spacing w:val="2"/>
          <w:sz w:val="20"/>
          <w:szCs w:val="20"/>
        </w:rPr>
        <w:t xml:space="preserve"> </w:t>
      </w:r>
      <w:r>
        <w:rPr>
          <w:color w:val="57585A"/>
          <w:spacing w:val="-11"/>
          <w:sz w:val="20"/>
          <w:szCs w:val="20"/>
        </w:rPr>
        <w:t>which</w:t>
      </w:r>
      <w:r>
        <w:rPr>
          <w:color w:val="57585A"/>
          <w:spacing w:val="-15"/>
          <w:sz w:val="20"/>
          <w:szCs w:val="20"/>
        </w:rPr>
        <w:t xml:space="preserve"> </w:t>
      </w:r>
      <w:r>
        <w:rPr>
          <w:color w:val="57585A"/>
          <w:spacing w:val="-11"/>
          <w:sz w:val="20"/>
          <w:szCs w:val="20"/>
        </w:rPr>
        <w:t>will support refined fuels consumption growth. We forecast</w:t>
      </w:r>
      <w:r>
        <w:rPr>
          <w:color w:val="57585A"/>
          <w:spacing w:val="-12"/>
          <w:sz w:val="20"/>
          <w:szCs w:val="20"/>
        </w:rPr>
        <w:t xml:space="preserve"> </w:t>
      </w:r>
      <w:r>
        <w:rPr>
          <w:color w:val="57585A"/>
          <w:spacing w:val="-11"/>
          <w:sz w:val="20"/>
          <w:szCs w:val="20"/>
        </w:rPr>
        <w:t>fuels demand</w:t>
      </w:r>
      <w:r>
        <w:rPr>
          <w:color w:val="57585A"/>
          <w:spacing w:val="-13"/>
          <w:sz w:val="20"/>
          <w:szCs w:val="20"/>
        </w:rPr>
        <w:t xml:space="preserve"> </w:t>
      </w:r>
      <w:r>
        <w:rPr>
          <w:color w:val="57585A"/>
          <w:spacing w:val="-11"/>
          <w:sz w:val="20"/>
          <w:szCs w:val="20"/>
        </w:rPr>
        <w:t>to increase by a</w:t>
      </w:r>
      <w:r>
        <w:rPr>
          <w:color w:val="57585A"/>
          <w:spacing w:val="-15"/>
          <w:sz w:val="20"/>
          <w:szCs w:val="20"/>
        </w:rPr>
        <w:t xml:space="preserve"> </w:t>
      </w:r>
      <w:r>
        <w:rPr>
          <w:color w:val="57585A"/>
          <w:spacing w:val="-11"/>
          <w:sz w:val="20"/>
          <w:szCs w:val="20"/>
        </w:rPr>
        <w:t>y-o-</w:t>
      </w:r>
      <w:r>
        <w:rPr>
          <w:color w:val="57585A"/>
          <w:sz w:val="20"/>
          <w:szCs w:val="20"/>
        </w:rPr>
        <w:t xml:space="preserve"> </w:t>
      </w:r>
      <w:r>
        <w:rPr>
          <w:color w:val="57585A"/>
          <w:spacing w:val="-11"/>
          <w:sz w:val="20"/>
          <w:szCs w:val="20"/>
        </w:rPr>
        <w:t>y average of 1.2% to 2034. Growth</w:t>
      </w:r>
      <w:r>
        <w:rPr>
          <w:color w:val="57585A"/>
          <w:spacing w:val="-4"/>
          <w:sz w:val="20"/>
          <w:szCs w:val="20"/>
        </w:rPr>
        <w:t xml:space="preserve"> </w:t>
      </w:r>
      <w:r>
        <w:rPr>
          <w:color w:val="57585A"/>
          <w:spacing w:val="-11"/>
          <w:sz w:val="20"/>
          <w:szCs w:val="20"/>
        </w:rPr>
        <w:t>will slow however over the latter</w:t>
      </w:r>
      <w:r>
        <w:rPr>
          <w:color w:val="57585A"/>
          <w:spacing w:val="-15"/>
          <w:sz w:val="20"/>
          <w:szCs w:val="20"/>
        </w:rPr>
        <w:t xml:space="preserve"> </w:t>
      </w:r>
      <w:r>
        <w:rPr>
          <w:color w:val="57585A"/>
          <w:spacing w:val="-11"/>
          <w:sz w:val="20"/>
          <w:szCs w:val="20"/>
        </w:rPr>
        <w:t>years of</w:t>
      </w:r>
      <w:r>
        <w:rPr>
          <w:color w:val="57585A"/>
          <w:spacing w:val="-21"/>
          <w:sz w:val="20"/>
          <w:szCs w:val="20"/>
        </w:rPr>
        <w:t xml:space="preserve"> </w:t>
      </w:r>
      <w:r>
        <w:rPr>
          <w:color w:val="57585A"/>
          <w:spacing w:val="-11"/>
          <w:sz w:val="20"/>
          <w:szCs w:val="20"/>
        </w:rPr>
        <w:t>the forecast period,</w:t>
      </w:r>
      <w:r>
        <w:rPr>
          <w:color w:val="57585A"/>
          <w:spacing w:val="-16"/>
          <w:sz w:val="20"/>
          <w:szCs w:val="20"/>
        </w:rPr>
        <w:t xml:space="preserve"> </w:t>
      </w:r>
      <w:r>
        <w:rPr>
          <w:color w:val="57585A"/>
          <w:spacing w:val="-11"/>
          <w:sz w:val="20"/>
          <w:szCs w:val="20"/>
        </w:rPr>
        <w:t>when stronger penetration of</w:t>
      </w:r>
    </w:p>
    <w:p w14:paraId="202BB9FC">
      <w:pPr>
        <w:pStyle w:val="4"/>
        <w:spacing w:before="59" w:line="231" w:lineRule="auto"/>
        <w:ind w:left="614"/>
        <w:rPr>
          <w:sz w:val="20"/>
          <w:szCs w:val="20"/>
        </w:rPr>
      </w:pPr>
      <w:r>
        <w:rPr>
          <w:color w:val="57585A"/>
          <w:spacing w:val="-10"/>
          <w:sz w:val="20"/>
          <w:szCs w:val="20"/>
        </w:rPr>
        <w:t>electric</w:t>
      </w:r>
      <w:r>
        <w:rPr>
          <w:color w:val="57585A"/>
          <w:spacing w:val="-16"/>
          <w:sz w:val="20"/>
          <w:szCs w:val="20"/>
        </w:rPr>
        <w:t xml:space="preserve"> </w:t>
      </w:r>
      <w:r>
        <w:rPr>
          <w:color w:val="57585A"/>
          <w:spacing w:val="-10"/>
          <w:sz w:val="20"/>
          <w:szCs w:val="20"/>
        </w:rPr>
        <w:t>vehicles and increasing fuel effici</w:t>
      </w:r>
      <w:r>
        <w:rPr>
          <w:color w:val="57585A"/>
          <w:spacing w:val="-11"/>
          <w:sz w:val="20"/>
          <w:szCs w:val="20"/>
        </w:rPr>
        <w:t>ency</w:t>
      </w:r>
      <w:r>
        <w:rPr>
          <w:color w:val="57585A"/>
          <w:spacing w:val="-15"/>
          <w:sz w:val="20"/>
          <w:szCs w:val="20"/>
        </w:rPr>
        <w:t xml:space="preserve"> </w:t>
      </w:r>
      <w:r>
        <w:rPr>
          <w:color w:val="57585A"/>
          <w:spacing w:val="-11"/>
          <w:sz w:val="20"/>
          <w:szCs w:val="20"/>
        </w:rPr>
        <w:t>will</w:t>
      </w:r>
      <w:r>
        <w:rPr>
          <w:color w:val="57585A"/>
          <w:spacing w:val="-16"/>
          <w:sz w:val="20"/>
          <w:szCs w:val="20"/>
        </w:rPr>
        <w:t xml:space="preserve"> </w:t>
      </w:r>
      <w:r>
        <w:rPr>
          <w:color w:val="57585A"/>
          <w:spacing w:val="-11"/>
          <w:sz w:val="20"/>
          <w:szCs w:val="20"/>
        </w:rPr>
        <w:t>weaken growth.</w:t>
      </w:r>
    </w:p>
    <w:p w14:paraId="582FA520">
      <w:pPr>
        <w:pStyle w:val="4"/>
        <w:spacing w:line="314" w:lineRule="auto"/>
      </w:pPr>
    </w:p>
    <w:p w14:paraId="5ED650F7">
      <w:pPr>
        <w:pStyle w:val="4"/>
        <w:spacing w:line="314" w:lineRule="auto"/>
      </w:pPr>
    </w:p>
    <w:p w14:paraId="16A258EE">
      <w:pPr>
        <w:pStyle w:val="4"/>
        <w:spacing w:before="70" w:line="324"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5BEE4D4D">
      <w:pPr>
        <w:pStyle w:val="4"/>
        <w:spacing w:line="298" w:lineRule="auto"/>
      </w:pPr>
    </w:p>
    <w:p w14:paraId="2782F559">
      <w:pPr>
        <w:pStyle w:val="4"/>
        <w:spacing w:before="58" w:line="233" w:lineRule="exact"/>
        <w:ind w:left="368"/>
        <w:rPr>
          <w:sz w:val="20"/>
          <w:szCs w:val="20"/>
        </w:rPr>
      </w:pPr>
      <w:r>
        <w:rPr>
          <w:b/>
          <w:bCs/>
          <w:color w:val="57585A"/>
          <w:spacing w:val="-11"/>
          <w:position w:val="2"/>
          <w:sz w:val="20"/>
          <w:szCs w:val="20"/>
        </w:rPr>
        <w:t>Consumption</w:t>
      </w:r>
      <w:r>
        <w:rPr>
          <w:b/>
          <w:bCs/>
          <w:color w:val="57585A"/>
          <w:spacing w:val="3"/>
          <w:position w:val="2"/>
          <w:sz w:val="20"/>
          <w:szCs w:val="20"/>
        </w:rPr>
        <w:t xml:space="preserve"> </w:t>
      </w:r>
      <w:r>
        <w:rPr>
          <w:b/>
          <w:bCs/>
          <w:color w:val="57585A"/>
          <w:spacing w:val="-11"/>
          <w:position w:val="2"/>
          <w:sz w:val="20"/>
          <w:szCs w:val="20"/>
        </w:rPr>
        <w:t>Tied</w:t>
      </w:r>
      <w:r>
        <w:rPr>
          <w:b/>
          <w:bCs/>
          <w:color w:val="57585A"/>
          <w:spacing w:val="-15"/>
          <w:position w:val="2"/>
          <w:sz w:val="20"/>
          <w:szCs w:val="20"/>
        </w:rPr>
        <w:t xml:space="preserve"> </w:t>
      </w:r>
      <w:r>
        <w:rPr>
          <w:b/>
          <w:bCs/>
          <w:color w:val="57585A"/>
          <w:spacing w:val="-11"/>
          <w:position w:val="2"/>
          <w:sz w:val="20"/>
          <w:szCs w:val="20"/>
        </w:rPr>
        <w:t>To Economic</w:t>
      </w:r>
      <w:r>
        <w:rPr>
          <w:b/>
          <w:bCs/>
          <w:color w:val="57585A"/>
          <w:spacing w:val="-14"/>
          <w:position w:val="2"/>
          <w:sz w:val="20"/>
          <w:szCs w:val="20"/>
        </w:rPr>
        <w:t xml:space="preserve"> </w:t>
      </w:r>
      <w:r>
        <w:rPr>
          <w:b/>
          <w:bCs/>
          <w:color w:val="57585A"/>
          <w:spacing w:val="-11"/>
          <w:position w:val="2"/>
          <w:sz w:val="20"/>
          <w:szCs w:val="20"/>
        </w:rPr>
        <w:t>Trends</w:t>
      </w:r>
    </w:p>
    <w:p w14:paraId="576540AC">
      <w:pPr>
        <w:pStyle w:val="4"/>
        <w:spacing w:line="279" w:lineRule="auto"/>
      </w:pPr>
    </w:p>
    <w:p w14:paraId="1CBD9D1C">
      <w:pPr>
        <w:pStyle w:val="4"/>
        <w:spacing w:before="58" w:line="279" w:lineRule="auto"/>
        <w:ind w:left="371" w:right="533" w:firstLine="4"/>
        <w:jc w:val="both"/>
        <w:rPr>
          <w:sz w:val="20"/>
          <w:szCs w:val="20"/>
        </w:rPr>
      </w:pPr>
      <w:r>
        <w:rPr>
          <w:color w:val="57585A"/>
          <w:spacing w:val="-11"/>
          <w:sz w:val="20"/>
          <w:szCs w:val="20"/>
        </w:rPr>
        <w:t>Refined fuels consumption has been on a downwards trend in</w:t>
      </w:r>
      <w:r>
        <w:rPr>
          <w:color w:val="57585A"/>
          <w:spacing w:val="-12"/>
          <w:sz w:val="20"/>
          <w:szCs w:val="20"/>
        </w:rPr>
        <w:t xml:space="preserve"> recent</w:t>
      </w:r>
      <w:r>
        <w:rPr>
          <w:color w:val="57585A"/>
          <w:spacing w:val="-16"/>
          <w:sz w:val="20"/>
          <w:szCs w:val="20"/>
        </w:rPr>
        <w:t xml:space="preserve"> </w:t>
      </w:r>
      <w:r>
        <w:rPr>
          <w:color w:val="57585A"/>
          <w:spacing w:val="-12"/>
          <w:sz w:val="20"/>
          <w:szCs w:val="20"/>
        </w:rPr>
        <w:t>years, reflecting</w:t>
      </w:r>
      <w:r>
        <w:rPr>
          <w:color w:val="57585A"/>
          <w:spacing w:val="-15"/>
          <w:sz w:val="20"/>
          <w:szCs w:val="20"/>
        </w:rPr>
        <w:t xml:space="preserve"> </w:t>
      </w:r>
      <w:r>
        <w:rPr>
          <w:color w:val="57585A"/>
          <w:spacing w:val="-12"/>
          <w:sz w:val="20"/>
          <w:szCs w:val="20"/>
        </w:rPr>
        <w:t>Argentina's</w:t>
      </w:r>
      <w:r>
        <w:rPr>
          <w:color w:val="57585A"/>
          <w:spacing w:val="-16"/>
          <w:sz w:val="20"/>
          <w:szCs w:val="20"/>
        </w:rPr>
        <w:t xml:space="preserve"> </w:t>
      </w:r>
      <w:r>
        <w:rPr>
          <w:color w:val="57585A"/>
          <w:spacing w:val="-12"/>
          <w:sz w:val="20"/>
          <w:szCs w:val="20"/>
        </w:rPr>
        <w:t>wider economic struggles. The</w:t>
      </w:r>
      <w:r>
        <w:rPr>
          <w:color w:val="57585A"/>
          <w:sz w:val="20"/>
          <w:szCs w:val="20"/>
        </w:rPr>
        <w:t xml:space="preserve"> </w:t>
      </w:r>
      <w:r>
        <w:rPr>
          <w:color w:val="57585A"/>
          <w:spacing w:val="-10"/>
          <w:sz w:val="20"/>
          <w:szCs w:val="20"/>
        </w:rPr>
        <w:t>market has been mired in a r</w:t>
      </w:r>
      <w:r>
        <w:rPr>
          <w:color w:val="57585A"/>
          <w:spacing w:val="-11"/>
          <w:sz w:val="20"/>
          <w:szCs w:val="20"/>
        </w:rPr>
        <w:t>ecession coupled</w:t>
      </w:r>
      <w:r>
        <w:rPr>
          <w:color w:val="57585A"/>
          <w:spacing w:val="-15"/>
          <w:sz w:val="20"/>
          <w:szCs w:val="20"/>
        </w:rPr>
        <w:t xml:space="preserve"> </w:t>
      </w:r>
      <w:r>
        <w:rPr>
          <w:color w:val="57585A"/>
          <w:spacing w:val="-11"/>
          <w:sz w:val="20"/>
          <w:szCs w:val="20"/>
        </w:rPr>
        <w:t>with high rates of inflation</w:t>
      </w:r>
      <w:r>
        <w:rPr>
          <w:color w:val="57585A"/>
          <w:spacing w:val="-16"/>
          <w:sz w:val="20"/>
          <w:szCs w:val="20"/>
        </w:rPr>
        <w:t xml:space="preserve"> </w:t>
      </w:r>
      <w:r>
        <w:rPr>
          <w:color w:val="57585A"/>
          <w:spacing w:val="-11"/>
          <w:sz w:val="20"/>
          <w:szCs w:val="20"/>
        </w:rPr>
        <w:t>which has put a cap on private consumption growth and</w:t>
      </w:r>
      <w:r>
        <w:rPr>
          <w:color w:val="57585A"/>
          <w:sz w:val="20"/>
          <w:szCs w:val="20"/>
        </w:rPr>
        <w:t xml:space="preserve"> </w:t>
      </w:r>
      <w:r>
        <w:rPr>
          <w:color w:val="57585A"/>
          <w:spacing w:val="-10"/>
          <w:sz w:val="20"/>
          <w:szCs w:val="20"/>
        </w:rPr>
        <w:t>in turn limited refined fuels consumption growth, despite government restrictions on fuel price increases.</w:t>
      </w:r>
    </w:p>
    <w:p w14:paraId="1CDF803D">
      <w:pPr>
        <w:pStyle w:val="4"/>
        <w:spacing w:line="265" w:lineRule="auto"/>
      </w:pPr>
    </w:p>
    <w:p w14:paraId="60B08C8B">
      <w:pPr>
        <w:pStyle w:val="4"/>
        <w:spacing w:before="59" w:line="231" w:lineRule="auto"/>
        <w:ind w:left="366"/>
        <w:rPr>
          <w:sz w:val="20"/>
          <w:szCs w:val="20"/>
        </w:rPr>
      </w:pPr>
      <w:r>
        <w:rPr>
          <w:color w:val="57585A"/>
          <w:spacing w:val="-11"/>
          <w:sz w:val="20"/>
          <w:szCs w:val="20"/>
        </w:rPr>
        <w:t>Since 2016, fuel demand has declined from over 760,000b/d to 680,000 in 2019. The Covid-19</w:t>
      </w:r>
      <w:r>
        <w:rPr>
          <w:color w:val="57585A"/>
          <w:spacing w:val="-12"/>
          <w:sz w:val="20"/>
          <w:szCs w:val="20"/>
        </w:rPr>
        <w:t xml:space="preserve"> pandemic brought a severe</w:t>
      </w:r>
    </w:p>
    <w:p w14:paraId="66BFB446">
      <w:pPr>
        <w:pStyle w:val="4"/>
        <w:spacing w:before="58" w:line="273" w:lineRule="auto"/>
        <w:ind w:left="367" w:right="392" w:firstLine="1"/>
        <w:rPr>
          <w:sz w:val="20"/>
          <w:szCs w:val="20"/>
        </w:rPr>
      </w:pPr>
      <w:r>
        <w:rPr>
          <w:color w:val="57585A"/>
          <w:spacing w:val="-10"/>
          <w:sz w:val="20"/>
          <w:szCs w:val="20"/>
        </w:rPr>
        <w:t>contraction on the fuel market in</w:t>
      </w:r>
      <w:r>
        <w:rPr>
          <w:color w:val="57585A"/>
          <w:spacing w:val="-15"/>
          <w:sz w:val="20"/>
          <w:szCs w:val="20"/>
        </w:rPr>
        <w:t xml:space="preserve"> </w:t>
      </w:r>
      <w:r>
        <w:rPr>
          <w:color w:val="57585A"/>
          <w:spacing w:val="-10"/>
          <w:sz w:val="20"/>
          <w:szCs w:val="20"/>
        </w:rPr>
        <w:t>Argentina</w:t>
      </w:r>
      <w:r>
        <w:rPr>
          <w:color w:val="57585A"/>
          <w:spacing w:val="-16"/>
          <w:sz w:val="20"/>
          <w:szCs w:val="20"/>
        </w:rPr>
        <w:t xml:space="preserve"> </w:t>
      </w:r>
      <w:r>
        <w:rPr>
          <w:color w:val="57585A"/>
          <w:spacing w:val="-10"/>
          <w:sz w:val="20"/>
          <w:szCs w:val="20"/>
        </w:rPr>
        <w:t>with total demand declining by 34% to shy of</w:t>
      </w:r>
      <w:r>
        <w:rPr>
          <w:color w:val="57585A"/>
          <w:spacing w:val="-16"/>
          <w:sz w:val="20"/>
          <w:szCs w:val="20"/>
        </w:rPr>
        <w:t xml:space="preserve"> </w:t>
      </w:r>
      <w:r>
        <w:rPr>
          <w:color w:val="57585A"/>
          <w:spacing w:val="-10"/>
          <w:sz w:val="20"/>
          <w:szCs w:val="20"/>
        </w:rPr>
        <w:t>450,000b/d. Subsequently</w:t>
      </w:r>
      <w:r>
        <w:rPr>
          <w:color w:val="57585A"/>
          <w:spacing w:val="-16"/>
          <w:sz w:val="20"/>
          <w:szCs w:val="20"/>
        </w:rPr>
        <w:t xml:space="preserve"> </w:t>
      </w:r>
      <w:r>
        <w:rPr>
          <w:color w:val="57585A"/>
          <w:spacing w:val="-10"/>
          <w:sz w:val="20"/>
          <w:szCs w:val="20"/>
        </w:rPr>
        <w:t>Argen</w:t>
      </w:r>
      <w:r>
        <w:rPr>
          <w:color w:val="57585A"/>
          <w:spacing w:val="-11"/>
          <w:sz w:val="20"/>
          <w:szCs w:val="20"/>
        </w:rPr>
        <w:t>tina saw</w:t>
      </w:r>
      <w:r>
        <w:rPr>
          <w:color w:val="57585A"/>
          <w:sz w:val="20"/>
          <w:szCs w:val="20"/>
        </w:rPr>
        <w:t xml:space="preserve"> </w:t>
      </w:r>
      <w:r>
        <w:rPr>
          <w:color w:val="57585A"/>
          <w:spacing w:val="-10"/>
          <w:sz w:val="20"/>
          <w:szCs w:val="20"/>
        </w:rPr>
        <w:t>a robust growth in fuel demand reaching an average of 675,000b/d i</w:t>
      </w:r>
      <w:r>
        <w:rPr>
          <w:color w:val="57585A"/>
          <w:spacing w:val="-11"/>
          <w:sz w:val="20"/>
          <w:szCs w:val="20"/>
        </w:rPr>
        <w:t>n 2021. Over 2022-2023, total fuel consumption grew to an</w:t>
      </w:r>
    </w:p>
    <w:p w14:paraId="5352CC1E">
      <w:pPr>
        <w:pStyle w:val="4"/>
        <w:spacing w:before="37" w:line="231" w:lineRule="auto"/>
        <w:ind w:left="367"/>
        <w:rPr>
          <w:sz w:val="20"/>
          <w:szCs w:val="20"/>
        </w:rPr>
      </w:pPr>
      <w:r>
        <w:rPr>
          <w:color w:val="57585A"/>
          <w:spacing w:val="-10"/>
          <w:sz w:val="20"/>
          <w:szCs w:val="20"/>
        </w:rPr>
        <w:t>average of</w:t>
      </w:r>
      <w:r>
        <w:rPr>
          <w:color w:val="57585A"/>
          <w:spacing w:val="-16"/>
          <w:sz w:val="20"/>
          <w:szCs w:val="20"/>
        </w:rPr>
        <w:t xml:space="preserve"> </w:t>
      </w:r>
      <w:r>
        <w:rPr>
          <w:color w:val="57585A"/>
          <w:spacing w:val="-10"/>
          <w:sz w:val="20"/>
          <w:szCs w:val="20"/>
        </w:rPr>
        <w:t>707,000b/d in 2023 as</w:t>
      </w:r>
      <w:r>
        <w:rPr>
          <w:color w:val="57585A"/>
          <w:spacing w:val="-16"/>
          <w:sz w:val="20"/>
          <w:szCs w:val="20"/>
        </w:rPr>
        <w:t xml:space="preserve"> </w:t>
      </w:r>
      <w:r>
        <w:rPr>
          <w:color w:val="57585A"/>
          <w:spacing w:val="-10"/>
          <w:sz w:val="20"/>
          <w:szCs w:val="20"/>
        </w:rPr>
        <w:t>Argentina struggled</w:t>
      </w:r>
      <w:r>
        <w:rPr>
          <w:color w:val="57585A"/>
          <w:spacing w:val="-15"/>
          <w:sz w:val="20"/>
          <w:szCs w:val="20"/>
        </w:rPr>
        <w:t xml:space="preserve"> </w:t>
      </w:r>
      <w:r>
        <w:rPr>
          <w:color w:val="57585A"/>
          <w:spacing w:val="-10"/>
          <w:sz w:val="20"/>
          <w:szCs w:val="20"/>
        </w:rPr>
        <w:t>with inflation</w:t>
      </w:r>
      <w:r>
        <w:rPr>
          <w:color w:val="57585A"/>
          <w:spacing w:val="-11"/>
          <w:sz w:val="20"/>
          <w:szCs w:val="20"/>
        </w:rPr>
        <w:t>s.</w:t>
      </w:r>
    </w:p>
    <w:p w14:paraId="1B1ED1EE">
      <w:pPr>
        <w:spacing w:line="231" w:lineRule="auto"/>
        <w:rPr>
          <w:sz w:val="20"/>
          <w:szCs w:val="20"/>
        </w:rPr>
        <w:sectPr>
          <w:footerReference r:id="rId32" w:type="default"/>
          <w:pgSz w:w="11906" w:h="16838"/>
          <w:pgMar w:top="400" w:right="490" w:bottom="883" w:left="490" w:header="0" w:footer="0" w:gutter="0"/>
          <w:cols w:space="720" w:num="1"/>
        </w:sectPr>
      </w:pPr>
    </w:p>
    <w:p w14:paraId="012F594C">
      <w:pPr>
        <w:pStyle w:val="4"/>
        <w:spacing w:before="73" w:line="241" w:lineRule="auto"/>
        <w:ind w:left="7372"/>
        <w:rPr>
          <w:sz w:val="20"/>
          <w:szCs w:val="20"/>
        </w:rPr>
      </w:pPr>
      <w:r>
        <w:drawing>
          <wp:anchor distT="0" distB="0" distL="0" distR="0" simplePos="0" relativeHeight="25177907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80096" behindDoc="0" locked="0" layoutInCell="0" allowOverlap="1">
            <wp:simplePos x="0" y="0"/>
            <wp:positionH relativeFrom="page">
              <wp:posOffset>311150</wp:posOffset>
            </wp:positionH>
            <wp:positionV relativeFrom="page">
              <wp:posOffset>0</wp:posOffset>
            </wp:positionV>
            <wp:extent cx="19050" cy="814070"/>
            <wp:effectExtent l="0" t="0" r="0" b="0"/>
            <wp:wrapNone/>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395A579">
      <w:pPr>
        <w:pStyle w:val="4"/>
        <w:spacing w:line="278" w:lineRule="auto"/>
      </w:pPr>
    </w:p>
    <w:p w14:paraId="7F59F46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EE7CF6A">
      <w:pPr>
        <w:pStyle w:val="4"/>
        <w:spacing w:line="437" w:lineRule="auto"/>
      </w:pPr>
    </w:p>
    <w:p w14:paraId="54AA511E">
      <w:pPr>
        <w:pStyle w:val="4"/>
        <w:spacing w:before="69" w:line="234" w:lineRule="auto"/>
        <w:ind w:left="3300"/>
        <w:outlineLvl w:val="1"/>
        <w:rPr>
          <w:sz w:val="24"/>
          <w:szCs w:val="24"/>
        </w:rPr>
      </w:pPr>
      <w:r>
        <w:rPr>
          <w:color w:val="174174"/>
          <w:spacing w:val="-11"/>
          <w:sz w:val="24"/>
          <w:szCs w:val="24"/>
        </w:rPr>
        <w:t>Return To Growth In 2025, Boos</w:t>
      </w:r>
      <w:r>
        <w:rPr>
          <w:color w:val="174174"/>
          <w:spacing w:val="-12"/>
          <w:sz w:val="24"/>
          <w:szCs w:val="24"/>
        </w:rPr>
        <w:t>ting Demand</w:t>
      </w:r>
    </w:p>
    <w:p w14:paraId="3850A9FF">
      <w:pPr>
        <w:pStyle w:val="4"/>
        <w:spacing w:before="32" w:line="231" w:lineRule="auto"/>
        <w:ind w:left="3378"/>
        <w:outlineLvl w:val="1"/>
        <w:rPr>
          <w:sz w:val="20"/>
          <w:szCs w:val="20"/>
        </w:rPr>
      </w:pPr>
      <w:r>
        <w:rPr>
          <w:color w:val="333333"/>
          <w:spacing w:val="-14"/>
          <w:sz w:val="20"/>
          <w:szCs w:val="20"/>
        </w:rPr>
        <w:t>Argentina - Real GDP Growth Forecas</w:t>
      </w:r>
      <w:r>
        <w:rPr>
          <w:color w:val="333333"/>
          <w:spacing w:val="-15"/>
          <w:sz w:val="20"/>
          <w:szCs w:val="20"/>
        </w:rPr>
        <w:t>t, % (2022-2028)</w:t>
      </w:r>
    </w:p>
    <w:p w14:paraId="1B982E75">
      <w:pPr>
        <w:spacing w:before="96" w:line="4500" w:lineRule="exact"/>
        <w:ind w:firstLine="1862"/>
      </w:pPr>
      <w:r>
        <w:rPr>
          <w:position w:val="-89"/>
        </w:rPr>
        <w:drawing>
          <wp:inline distT="0" distB="0" distL="0" distR="0">
            <wp:extent cx="4572000" cy="2856865"/>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22"/>
                    <a:stretch>
                      <a:fillRect/>
                    </a:stretch>
                  </pic:blipFill>
                  <pic:spPr>
                    <a:xfrm>
                      <a:off x="0" y="0"/>
                      <a:ext cx="4572000" cy="2857499"/>
                    </a:xfrm>
                    <a:prstGeom prst="rect">
                      <a:avLst/>
                    </a:prstGeom>
                  </pic:spPr>
                </pic:pic>
              </a:graphicData>
            </a:graphic>
          </wp:inline>
        </w:drawing>
      </w:r>
    </w:p>
    <w:p w14:paraId="2F1BE3A0">
      <w:pPr>
        <w:pStyle w:val="4"/>
        <w:spacing w:before="149" w:line="197" w:lineRule="exact"/>
        <w:ind w:left="1875"/>
        <w:rPr>
          <w:sz w:val="15"/>
          <w:szCs w:val="15"/>
        </w:rPr>
      </w:pPr>
      <w:r>
        <w:drawing>
          <wp:anchor distT="0" distB="0" distL="0" distR="0" simplePos="0" relativeHeight="251777024"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2"/>
          <w:position w:val="1"/>
          <w:sz w:val="15"/>
          <w:szCs w:val="15"/>
        </w:rPr>
        <w:t>f</w:t>
      </w:r>
      <w:r>
        <w:rPr>
          <w:i/>
          <w:iCs/>
          <w:color w:val="333333"/>
          <w:spacing w:val="-22"/>
          <w:position w:val="1"/>
          <w:sz w:val="15"/>
          <w:szCs w:val="15"/>
        </w:rPr>
        <w:t xml:space="preserve"> </w:t>
      </w:r>
      <w:r>
        <w:rPr>
          <w:i/>
          <w:iCs/>
          <w:color w:val="333333"/>
          <w:spacing w:val="-5"/>
          <w:w w:val="92"/>
          <w:position w:val="1"/>
          <w:sz w:val="15"/>
          <w:szCs w:val="15"/>
        </w:rPr>
        <w:t>= BMI</w:t>
      </w:r>
      <w:r>
        <w:rPr>
          <w:i/>
          <w:iCs/>
          <w:color w:val="333333"/>
          <w:spacing w:val="-8"/>
          <w:position w:val="1"/>
          <w:sz w:val="15"/>
          <w:szCs w:val="15"/>
        </w:rPr>
        <w:t xml:space="preserve"> </w:t>
      </w:r>
      <w:r>
        <w:rPr>
          <w:i/>
          <w:iCs/>
          <w:color w:val="333333"/>
          <w:spacing w:val="-5"/>
          <w:w w:val="92"/>
          <w:position w:val="1"/>
          <w:sz w:val="15"/>
          <w:szCs w:val="15"/>
        </w:rPr>
        <w:t>forecast. Source: INDEC</w:t>
      </w:r>
    </w:p>
    <w:p w14:paraId="22781283">
      <w:pPr>
        <w:pStyle w:val="4"/>
        <w:spacing w:line="339" w:lineRule="auto"/>
      </w:pPr>
    </w:p>
    <w:p w14:paraId="54F65FDC">
      <w:pPr>
        <w:pStyle w:val="4"/>
        <w:spacing w:before="58" w:line="279" w:lineRule="auto"/>
        <w:ind w:left="368" w:right="421" w:hanging="9"/>
        <w:jc w:val="both"/>
        <w:rPr>
          <w:sz w:val="20"/>
          <w:szCs w:val="20"/>
        </w:rPr>
      </w:pPr>
      <w:r>
        <w:rPr>
          <w:color w:val="57585A"/>
          <w:spacing w:val="-11"/>
          <w:sz w:val="20"/>
          <w:szCs w:val="20"/>
        </w:rPr>
        <w:t>Argentina has faced accelerating inflation over the last</w:t>
      </w:r>
      <w:r>
        <w:rPr>
          <w:color w:val="57585A"/>
          <w:spacing w:val="-15"/>
          <w:sz w:val="20"/>
          <w:szCs w:val="20"/>
        </w:rPr>
        <w:t xml:space="preserve"> </w:t>
      </w:r>
      <w:r>
        <w:rPr>
          <w:color w:val="57585A"/>
          <w:spacing w:val="-11"/>
          <w:sz w:val="20"/>
          <w:szCs w:val="20"/>
        </w:rPr>
        <w:t>years. Elevated inflation remained a c</w:t>
      </w:r>
      <w:r>
        <w:rPr>
          <w:color w:val="57585A"/>
          <w:spacing w:val="-12"/>
          <w:sz w:val="20"/>
          <w:szCs w:val="20"/>
        </w:rPr>
        <w:t>ore structural</w:t>
      </w:r>
      <w:r>
        <w:rPr>
          <w:color w:val="57585A"/>
          <w:spacing w:val="-16"/>
          <w:sz w:val="20"/>
          <w:szCs w:val="20"/>
        </w:rPr>
        <w:t xml:space="preserve"> </w:t>
      </w:r>
      <w:r>
        <w:rPr>
          <w:color w:val="57585A"/>
          <w:spacing w:val="-12"/>
          <w:sz w:val="20"/>
          <w:szCs w:val="20"/>
        </w:rPr>
        <w:t>weakness of</w:t>
      </w:r>
      <w:r>
        <w:rPr>
          <w:color w:val="57585A"/>
          <w:spacing w:val="-24"/>
          <w:sz w:val="20"/>
          <w:szCs w:val="20"/>
        </w:rPr>
        <w:t xml:space="preserve"> </w:t>
      </w:r>
      <w:r>
        <w:rPr>
          <w:color w:val="57585A"/>
          <w:spacing w:val="-12"/>
          <w:sz w:val="20"/>
          <w:szCs w:val="20"/>
        </w:rPr>
        <w:t>Argentina's</w:t>
      </w:r>
      <w:r>
        <w:rPr>
          <w:color w:val="57585A"/>
          <w:sz w:val="20"/>
          <w:szCs w:val="20"/>
        </w:rPr>
        <w:t xml:space="preserve"> </w:t>
      </w:r>
      <w:r>
        <w:rPr>
          <w:color w:val="57585A"/>
          <w:spacing w:val="-10"/>
          <w:sz w:val="20"/>
          <w:szCs w:val="20"/>
        </w:rPr>
        <w:t>economy in 2024. However</w:t>
      </w:r>
      <w:r>
        <w:rPr>
          <w:color w:val="57585A"/>
          <w:spacing w:val="-16"/>
          <w:sz w:val="20"/>
          <w:szCs w:val="20"/>
        </w:rPr>
        <w:t xml:space="preserve"> </w:t>
      </w:r>
      <w:r>
        <w:rPr>
          <w:color w:val="57585A"/>
          <w:spacing w:val="-10"/>
          <w:sz w:val="20"/>
          <w:szCs w:val="20"/>
        </w:rPr>
        <w:t>we note improving ou</w:t>
      </w:r>
      <w:r>
        <w:rPr>
          <w:color w:val="57585A"/>
          <w:spacing w:val="-11"/>
          <w:sz w:val="20"/>
          <w:szCs w:val="20"/>
        </w:rPr>
        <w:t>tlook on consumer price inflation rate averaging 28.0%</w:t>
      </w:r>
      <w:r>
        <w:rPr>
          <w:color w:val="57585A"/>
          <w:spacing w:val="-15"/>
          <w:sz w:val="20"/>
          <w:szCs w:val="20"/>
        </w:rPr>
        <w:t xml:space="preserve"> </w:t>
      </w:r>
      <w:r>
        <w:rPr>
          <w:color w:val="57585A"/>
          <w:spacing w:val="-11"/>
          <w:sz w:val="20"/>
          <w:szCs w:val="20"/>
        </w:rPr>
        <w:t>y-o-y in 2025, down from</w:t>
      </w:r>
      <w:r>
        <w:rPr>
          <w:color w:val="57585A"/>
          <w:sz w:val="20"/>
          <w:szCs w:val="20"/>
        </w:rPr>
        <w:t xml:space="preserve"> </w:t>
      </w:r>
      <w:r>
        <w:rPr>
          <w:color w:val="57585A"/>
          <w:spacing w:val="-11"/>
          <w:sz w:val="20"/>
          <w:szCs w:val="20"/>
        </w:rPr>
        <w:t>its levels of 117.8% in 2024 and 211.4% in 2023, as governmental policies targeting hyperinflation</w:t>
      </w:r>
      <w:r>
        <w:rPr>
          <w:color w:val="57585A"/>
          <w:spacing w:val="-6"/>
          <w:sz w:val="20"/>
          <w:szCs w:val="20"/>
        </w:rPr>
        <w:t xml:space="preserve"> </w:t>
      </w:r>
      <w:r>
        <w:rPr>
          <w:color w:val="57585A"/>
          <w:spacing w:val="-11"/>
          <w:sz w:val="20"/>
          <w:szCs w:val="20"/>
        </w:rPr>
        <w:t>work.</w:t>
      </w:r>
    </w:p>
    <w:p w14:paraId="525685F0">
      <w:pPr>
        <w:pStyle w:val="4"/>
        <w:spacing w:line="295" w:lineRule="auto"/>
      </w:pPr>
    </w:p>
    <w:p w14:paraId="518251D3">
      <w:pPr>
        <w:pStyle w:val="4"/>
        <w:spacing w:line="295" w:lineRule="auto"/>
      </w:pPr>
    </w:p>
    <w:p w14:paraId="0910C1C3">
      <w:pPr>
        <w:pStyle w:val="4"/>
        <w:spacing w:before="70" w:line="234" w:lineRule="auto"/>
        <w:ind w:left="3623"/>
        <w:outlineLvl w:val="1"/>
        <w:rPr>
          <w:sz w:val="24"/>
          <w:szCs w:val="24"/>
        </w:rPr>
      </w:pPr>
      <w:r>
        <w:rPr>
          <w:color w:val="174174"/>
          <w:spacing w:val="-10"/>
          <w:sz w:val="24"/>
          <w:szCs w:val="24"/>
        </w:rPr>
        <w:t>Inflation Finally Returns</w:t>
      </w:r>
      <w:r>
        <w:rPr>
          <w:color w:val="174174"/>
          <w:spacing w:val="-8"/>
          <w:sz w:val="24"/>
          <w:szCs w:val="24"/>
        </w:rPr>
        <w:t xml:space="preserve"> </w:t>
      </w:r>
      <w:r>
        <w:rPr>
          <w:color w:val="174174"/>
          <w:spacing w:val="-10"/>
          <w:sz w:val="24"/>
          <w:szCs w:val="24"/>
        </w:rPr>
        <w:t>To Downtrend</w:t>
      </w:r>
    </w:p>
    <w:p w14:paraId="0E72182A">
      <w:pPr>
        <w:pStyle w:val="4"/>
        <w:spacing w:before="33" w:line="231" w:lineRule="auto"/>
        <w:ind w:left="3214"/>
        <w:outlineLvl w:val="1"/>
        <w:rPr>
          <w:sz w:val="20"/>
          <w:szCs w:val="20"/>
        </w:rPr>
      </w:pPr>
      <w:r>
        <w:rPr>
          <w:color w:val="333333"/>
          <w:spacing w:val="-11"/>
          <w:sz w:val="20"/>
          <w:szCs w:val="20"/>
        </w:rPr>
        <w:t>Argentina - Consumer price inflation, %</w:t>
      </w:r>
      <w:r>
        <w:rPr>
          <w:color w:val="333333"/>
          <w:spacing w:val="-8"/>
          <w:sz w:val="20"/>
          <w:szCs w:val="20"/>
        </w:rPr>
        <w:t xml:space="preserve"> </w:t>
      </w:r>
      <w:r>
        <w:rPr>
          <w:color w:val="333333"/>
          <w:spacing w:val="-11"/>
          <w:sz w:val="20"/>
          <w:szCs w:val="20"/>
        </w:rPr>
        <w:t>y-o-y (2016-2034)</w:t>
      </w:r>
    </w:p>
    <w:p w14:paraId="5866F51E">
      <w:pPr>
        <w:spacing w:before="96" w:line="4500" w:lineRule="exact"/>
        <w:ind w:firstLine="1862"/>
      </w:pPr>
      <w:r>
        <w:rPr>
          <w:position w:val="-90"/>
        </w:rPr>
        <w:drawing>
          <wp:inline distT="0" distB="0" distL="0" distR="0">
            <wp:extent cx="4572000" cy="2857500"/>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23"/>
                    <a:stretch>
                      <a:fillRect/>
                    </a:stretch>
                  </pic:blipFill>
                  <pic:spPr>
                    <a:xfrm>
                      <a:off x="0" y="0"/>
                      <a:ext cx="4572000" cy="2857500"/>
                    </a:xfrm>
                    <a:prstGeom prst="rect">
                      <a:avLst/>
                    </a:prstGeom>
                  </pic:spPr>
                </pic:pic>
              </a:graphicData>
            </a:graphic>
          </wp:inline>
        </w:drawing>
      </w:r>
    </w:p>
    <w:p w14:paraId="1356093B">
      <w:pPr>
        <w:pStyle w:val="4"/>
        <w:spacing w:before="149" w:line="177" w:lineRule="exact"/>
        <w:ind w:left="1875"/>
        <w:rPr>
          <w:sz w:val="15"/>
          <w:szCs w:val="15"/>
        </w:rPr>
      </w:pPr>
      <w:r>
        <w:drawing>
          <wp:anchor distT="0" distB="0" distL="0" distR="0" simplePos="0" relativeHeight="251778048"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6"/>
          <w:w w:val="91"/>
          <w:position w:val="1"/>
          <w:sz w:val="15"/>
          <w:szCs w:val="15"/>
        </w:rPr>
        <w:t>f</w:t>
      </w:r>
      <w:r>
        <w:rPr>
          <w:i/>
          <w:iCs/>
          <w:color w:val="333333"/>
          <w:spacing w:val="-13"/>
          <w:position w:val="1"/>
          <w:sz w:val="15"/>
          <w:szCs w:val="15"/>
        </w:rPr>
        <w:t xml:space="preserve"> </w:t>
      </w:r>
      <w:r>
        <w:rPr>
          <w:i/>
          <w:iCs/>
          <w:color w:val="333333"/>
          <w:spacing w:val="-6"/>
          <w:w w:val="91"/>
          <w:position w:val="1"/>
          <w:sz w:val="15"/>
          <w:szCs w:val="15"/>
        </w:rPr>
        <w:t>= BMI forecast. Source: IDNEC, BMI</w:t>
      </w:r>
    </w:p>
    <w:p w14:paraId="6A92F6CB">
      <w:pPr>
        <w:spacing w:line="177" w:lineRule="exact"/>
        <w:rPr>
          <w:sz w:val="15"/>
          <w:szCs w:val="15"/>
        </w:rPr>
        <w:sectPr>
          <w:footerReference r:id="rId33" w:type="default"/>
          <w:pgSz w:w="11906" w:h="16838"/>
          <w:pgMar w:top="400" w:right="490" w:bottom="883" w:left="490" w:header="0" w:footer="0" w:gutter="0"/>
          <w:cols w:space="720" w:num="1"/>
        </w:sectPr>
      </w:pPr>
    </w:p>
    <w:p w14:paraId="2082FDA0">
      <w:pPr>
        <w:pStyle w:val="4"/>
        <w:spacing w:before="73" w:line="241" w:lineRule="auto"/>
        <w:ind w:left="7372"/>
        <w:rPr>
          <w:sz w:val="20"/>
          <w:szCs w:val="20"/>
        </w:rPr>
      </w:pPr>
      <w:r>
        <w:drawing>
          <wp:anchor distT="0" distB="0" distL="0" distR="0" simplePos="0" relativeHeight="25178419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85216" behindDoc="0" locked="0" layoutInCell="0" allowOverlap="1">
            <wp:simplePos x="0" y="0"/>
            <wp:positionH relativeFrom="page">
              <wp:posOffset>311150</wp:posOffset>
            </wp:positionH>
            <wp:positionV relativeFrom="page">
              <wp:posOffset>0</wp:posOffset>
            </wp:positionV>
            <wp:extent cx="19050" cy="814070"/>
            <wp:effectExtent l="0" t="0" r="0" b="0"/>
            <wp:wrapNone/>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7EC5B44">
      <w:pPr>
        <w:pStyle w:val="4"/>
        <w:spacing w:line="278" w:lineRule="auto"/>
      </w:pPr>
    </w:p>
    <w:p w14:paraId="6548694D">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B6F2B8E">
      <w:pPr>
        <w:pStyle w:val="4"/>
        <w:spacing w:line="252" w:lineRule="auto"/>
      </w:pPr>
    </w:p>
    <w:p w14:paraId="043C6F5C">
      <w:pPr>
        <w:pStyle w:val="4"/>
        <w:spacing w:line="252" w:lineRule="auto"/>
      </w:pPr>
    </w:p>
    <w:p w14:paraId="580560E9">
      <w:pPr>
        <w:pStyle w:val="4"/>
        <w:spacing w:line="252" w:lineRule="auto"/>
      </w:pPr>
    </w:p>
    <w:p w14:paraId="559F46CF">
      <w:pPr>
        <w:pStyle w:val="4"/>
        <w:spacing w:before="58" w:line="231" w:lineRule="auto"/>
        <w:ind w:left="361"/>
        <w:rPr>
          <w:sz w:val="20"/>
          <w:szCs w:val="20"/>
        </w:rPr>
      </w:pPr>
      <w:r>
        <w:rPr>
          <w:color w:val="57585A"/>
          <w:spacing w:val="-11"/>
          <w:sz w:val="20"/>
          <w:szCs w:val="20"/>
        </w:rPr>
        <w:t>We forecast that inflation</w:t>
      </w:r>
      <w:r>
        <w:rPr>
          <w:color w:val="57585A"/>
          <w:spacing w:val="-7"/>
          <w:sz w:val="20"/>
          <w:szCs w:val="20"/>
        </w:rPr>
        <w:t xml:space="preserve"> </w:t>
      </w:r>
      <w:r>
        <w:rPr>
          <w:color w:val="57585A"/>
          <w:spacing w:val="-11"/>
          <w:sz w:val="20"/>
          <w:szCs w:val="20"/>
        </w:rPr>
        <w:t>will continue to ease through end-2025, as President</w:t>
      </w:r>
      <w:r>
        <w:rPr>
          <w:color w:val="57585A"/>
          <w:spacing w:val="-23"/>
          <w:sz w:val="20"/>
          <w:szCs w:val="20"/>
        </w:rPr>
        <w:t xml:space="preserve"> </w:t>
      </w:r>
      <w:r>
        <w:rPr>
          <w:color w:val="57585A"/>
          <w:spacing w:val="-11"/>
          <w:sz w:val="20"/>
          <w:szCs w:val="20"/>
        </w:rPr>
        <w:t>Javier Milei and his government implement an</w:t>
      </w:r>
    </w:p>
    <w:p w14:paraId="08A317EC">
      <w:pPr>
        <w:pStyle w:val="4"/>
        <w:spacing w:before="58" w:line="231" w:lineRule="auto"/>
        <w:ind w:left="369"/>
        <w:rPr>
          <w:sz w:val="20"/>
          <w:szCs w:val="20"/>
        </w:rPr>
      </w:pPr>
      <w:r>
        <w:rPr>
          <w:color w:val="57585A"/>
          <w:spacing w:val="-10"/>
          <w:sz w:val="20"/>
          <w:szCs w:val="20"/>
        </w:rPr>
        <w:t xml:space="preserve">economic stablisation plan that targets money supply growth in order to clamp </w:t>
      </w:r>
      <w:r>
        <w:rPr>
          <w:color w:val="57585A"/>
          <w:spacing w:val="-11"/>
          <w:sz w:val="20"/>
          <w:szCs w:val="20"/>
        </w:rPr>
        <w:t>down on inflation and related currency pressures.</w:t>
      </w:r>
    </w:p>
    <w:p w14:paraId="1E7D5667">
      <w:pPr>
        <w:pStyle w:val="4"/>
        <w:spacing w:before="57" w:line="286" w:lineRule="auto"/>
        <w:ind w:left="366" w:right="362" w:firstLine="9"/>
        <w:rPr>
          <w:sz w:val="20"/>
          <w:szCs w:val="20"/>
        </w:rPr>
      </w:pPr>
      <w:r>
        <w:rPr>
          <w:color w:val="57585A"/>
          <w:spacing w:val="-11"/>
          <w:sz w:val="20"/>
          <w:szCs w:val="20"/>
        </w:rPr>
        <w:t>Milei has made clamping down on rampant price growth his number one priority. While the government emphasised that</w:t>
      </w:r>
      <w:r>
        <w:rPr>
          <w:color w:val="57585A"/>
          <w:spacing w:val="-12"/>
          <w:sz w:val="20"/>
          <w:szCs w:val="20"/>
        </w:rPr>
        <w:t xml:space="preserve"> the new</w:t>
      </w:r>
      <w:r>
        <w:rPr>
          <w:color w:val="57585A"/>
          <w:sz w:val="20"/>
          <w:szCs w:val="20"/>
        </w:rPr>
        <w:t xml:space="preserve">  </w:t>
      </w:r>
      <w:r>
        <w:rPr>
          <w:color w:val="57585A"/>
          <w:spacing w:val="-10"/>
          <w:sz w:val="20"/>
          <w:szCs w:val="20"/>
        </w:rPr>
        <w:t>phase of</w:t>
      </w:r>
      <w:r>
        <w:rPr>
          <w:color w:val="57585A"/>
          <w:spacing w:val="-21"/>
          <w:sz w:val="20"/>
          <w:szCs w:val="20"/>
        </w:rPr>
        <w:t xml:space="preserve"> </w:t>
      </w:r>
      <w:r>
        <w:rPr>
          <w:color w:val="57585A"/>
          <w:spacing w:val="-10"/>
          <w:sz w:val="20"/>
          <w:szCs w:val="20"/>
        </w:rPr>
        <w:t>the monetary framework</w:t>
      </w:r>
      <w:r>
        <w:rPr>
          <w:color w:val="57585A"/>
          <w:spacing w:val="-16"/>
          <w:sz w:val="20"/>
          <w:szCs w:val="20"/>
        </w:rPr>
        <w:t xml:space="preserve"> </w:t>
      </w:r>
      <w:r>
        <w:rPr>
          <w:color w:val="57585A"/>
          <w:spacing w:val="-10"/>
          <w:sz w:val="20"/>
          <w:szCs w:val="20"/>
        </w:rPr>
        <w:t>– dubbed</w:t>
      </w:r>
      <w:r>
        <w:rPr>
          <w:color w:val="57585A"/>
          <w:spacing w:val="-23"/>
          <w:sz w:val="20"/>
          <w:szCs w:val="20"/>
        </w:rPr>
        <w:t xml:space="preserve"> </w:t>
      </w:r>
      <w:r>
        <w:rPr>
          <w:color w:val="57585A"/>
          <w:spacing w:val="-10"/>
          <w:sz w:val="20"/>
          <w:szCs w:val="20"/>
        </w:rPr>
        <w:t>‘Stage II’</w:t>
      </w:r>
      <w:r>
        <w:rPr>
          <w:color w:val="57585A"/>
          <w:spacing w:val="-29"/>
          <w:sz w:val="20"/>
          <w:szCs w:val="20"/>
        </w:rPr>
        <w:t xml:space="preserve"> </w:t>
      </w:r>
      <w:r>
        <w:rPr>
          <w:color w:val="57585A"/>
          <w:spacing w:val="-10"/>
          <w:sz w:val="20"/>
          <w:szCs w:val="20"/>
        </w:rPr>
        <w:t>–</w:t>
      </w:r>
      <w:r>
        <w:rPr>
          <w:color w:val="57585A"/>
          <w:spacing w:val="-15"/>
          <w:sz w:val="20"/>
          <w:szCs w:val="20"/>
        </w:rPr>
        <w:t xml:space="preserve"> </w:t>
      </w:r>
      <w:r>
        <w:rPr>
          <w:color w:val="57585A"/>
          <w:spacing w:val="-10"/>
          <w:sz w:val="20"/>
          <w:szCs w:val="20"/>
        </w:rPr>
        <w:t>will prioritise reducing drivers of</w:t>
      </w:r>
      <w:r>
        <w:rPr>
          <w:color w:val="57585A"/>
          <w:spacing w:val="-21"/>
          <w:sz w:val="20"/>
          <w:szCs w:val="20"/>
        </w:rPr>
        <w:t xml:space="preserve"> </w:t>
      </w:r>
      <w:r>
        <w:rPr>
          <w:color w:val="57585A"/>
          <w:spacing w:val="-10"/>
          <w:sz w:val="20"/>
          <w:szCs w:val="20"/>
        </w:rPr>
        <w:t>the monetary base, the fir</w:t>
      </w:r>
      <w:r>
        <w:rPr>
          <w:color w:val="57585A"/>
          <w:spacing w:val="-11"/>
          <w:sz w:val="20"/>
          <w:szCs w:val="20"/>
        </w:rPr>
        <w:t>st eight months of</w:t>
      </w:r>
      <w:r>
        <w:rPr>
          <w:color w:val="57585A"/>
          <w:sz w:val="20"/>
          <w:szCs w:val="20"/>
        </w:rPr>
        <w:t xml:space="preserve"> </w:t>
      </w:r>
      <w:r>
        <w:rPr>
          <w:color w:val="57585A"/>
          <w:spacing w:val="-11"/>
          <w:sz w:val="20"/>
          <w:szCs w:val="20"/>
        </w:rPr>
        <w:t>Milei’s tenure have already de</w:t>
      </w:r>
      <w:r>
        <w:rPr>
          <w:color w:val="57585A"/>
          <w:spacing w:val="-12"/>
          <w:sz w:val="20"/>
          <w:szCs w:val="20"/>
        </w:rPr>
        <w:t>monstrated some progress. Most notably, the government established a strong</w:t>
      </w:r>
      <w:r>
        <w:rPr>
          <w:color w:val="57585A"/>
          <w:spacing w:val="-23"/>
          <w:sz w:val="20"/>
          <w:szCs w:val="20"/>
        </w:rPr>
        <w:t xml:space="preserve"> </w:t>
      </w:r>
      <w:r>
        <w:rPr>
          <w:color w:val="57585A"/>
          <w:spacing w:val="-12"/>
          <w:sz w:val="20"/>
          <w:szCs w:val="20"/>
        </w:rPr>
        <w:t>‘fiscal anchor’,</w:t>
      </w:r>
      <w:r>
        <w:rPr>
          <w:color w:val="57585A"/>
          <w:spacing w:val="-15"/>
          <w:sz w:val="20"/>
          <w:szCs w:val="20"/>
        </w:rPr>
        <w:t xml:space="preserve"> </w:t>
      </w:r>
      <w:r>
        <w:rPr>
          <w:color w:val="57585A"/>
          <w:spacing w:val="-12"/>
          <w:sz w:val="20"/>
          <w:szCs w:val="20"/>
        </w:rPr>
        <w:t>which</w:t>
      </w:r>
      <w:r>
        <w:rPr>
          <w:color w:val="57585A"/>
          <w:sz w:val="20"/>
          <w:szCs w:val="20"/>
        </w:rPr>
        <w:t xml:space="preserve">  </w:t>
      </w:r>
      <w:r>
        <w:rPr>
          <w:color w:val="57585A"/>
          <w:spacing w:val="-12"/>
          <w:sz w:val="20"/>
          <w:szCs w:val="20"/>
        </w:rPr>
        <w:t>has now accumulated a sizable fiscal surplus (ARS5.9trn) in the first seven months of his government. This has no</w:t>
      </w:r>
      <w:r>
        <w:rPr>
          <w:color w:val="57585A"/>
          <w:spacing w:val="-13"/>
          <w:sz w:val="20"/>
          <w:szCs w:val="20"/>
        </w:rPr>
        <w:t>t only removed a</w:t>
      </w:r>
      <w:r>
        <w:rPr>
          <w:color w:val="57585A"/>
          <w:sz w:val="20"/>
          <w:szCs w:val="20"/>
        </w:rPr>
        <w:t xml:space="preserve">  </w:t>
      </w:r>
      <w:r>
        <w:rPr>
          <w:color w:val="57585A"/>
          <w:spacing w:val="-10"/>
          <w:sz w:val="20"/>
          <w:szCs w:val="20"/>
        </w:rPr>
        <w:t>sizable amount of</w:t>
      </w:r>
      <w:r>
        <w:rPr>
          <w:color w:val="57585A"/>
          <w:spacing w:val="-15"/>
          <w:sz w:val="20"/>
          <w:szCs w:val="20"/>
        </w:rPr>
        <w:t xml:space="preserve"> </w:t>
      </w:r>
      <w:r>
        <w:rPr>
          <w:color w:val="57585A"/>
          <w:spacing w:val="-10"/>
          <w:sz w:val="20"/>
          <w:szCs w:val="20"/>
        </w:rPr>
        <w:t xml:space="preserve">currency from the economy, but has also eliminated the </w:t>
      </w:r>
      <w:r>
        <w:rPr>
          <w:color w:val="57585A"/>
          <w:spacing w:val="-11"/>
          <w:sz w:val="20"/>
          <w:szCs w:val="20"/>
        </w:rPr>
        <w:t>need to monetise the deficit</w:t>
      </w:r>
      <w:r>
        <w:rPr>
          <w:color w:val="57585A"/>
          <w:spacing w:val="-16"/>
          <w:sz w:val="20"/>
          <w:szCs w:val="20"/>
        </w:rPr>
        <w:t xml:space="preserve"> </w:t>
      </w:r>
      <w:r>
        <w:rPr>
          <w:color w:val="57585A"/>
          <w:spacing w:val="-11"/>
          <w:sz w:val="20"/>
          <w:szCs w:val="20"/>
        </w:rPr>
        <w:t>which</w:t>
      </w:r>
      <w:r>
        <w:rPr>
          <w:color w:val="57585A"/>
          <w:spacing w:val="-16"/>
          <w:sz w:val="20"/>
          <w:szCs w:val="20"/>
        </w:rPr>
        <w:t xml:space="preserve"> </w:t>
      </w:r>
      <w:r>
        <w:rPr>
          <w:color w:val="57585A"/>
          <w:spacing w:val="-11"/>
          <w:sz w:val="20"/>
          <w:szCs w:val="20"/>
        </w:rPr>
        <w:t>was a prime driver of</w:t>
      </w:r>
      <w:r>
        <w:rPr>
          <w:color w:val="57585A"/>
          <w:sz w:val="20"/>
          <w:szCs w:val="20"/>
        </w:rPr>
        <w:t xml:space="preserve"> </w:t>
      </w:r>
      <w:r>
        <w:rPr>
          <w:color w:val="57585A"/>
          <w:spacing w:val="-11"/>
          <w:sz w:val="20"/>
          <w:szCs w:val="20"/>
        </w:rPr>
        <w:t>money supply growth.</w:t>
      </w:r>
    </w:p>
    <w:p w14:paraId="655E01AA">
      <w:pPr>
        <w:pStyle w:val="4"/>
        <w:spacing w:line="266" w:lineRule="auto"/>
      </w:pPr>
    </w:p>
    <w:p w14:paraId="20AB9390">
      <w:pPr>
        <w:pStyle w:val="4"/>
        <w:spacing w:before="58" w:line="292" w:lineRule="auto"/>
        <w:ind w:left="359" w:right="869" w:firstLine="1"/>
        <w:jc w:val="both"/>
        <w:rPr>
          <w:sz w:val="20"/>
          <w:szCs w:val="20"/>
        </w:rPr>
      </w:pPr>
      <w:r>
        <w:rPr>
          <w:color w:val="57585A"/>
          <w:spacing w:val="-12"/>
          <w:sz w:val="20"/>
          <w:szCs w:val="20"/>
        </w:rPr>
        <w:t>We expect</w:t>
      </w:r>
      <w:r>
        <w:rPr>
          <w:color w:val="57585A"/>
          <w:spacing w:val="-13"/>
          <w:sz w:val="20"/>
          <w:szCs w:val="20"/>
        </w:rPr>
        <w:t xml:space="preserve"> </w:t>
      </w:r>
      <w:r>
        <w:rPr>
          <w:color w:val="57585A"/>
          <w:spacing w:val="-12"/>
          <w:sz w:val="20"/>
          <w:szCs w:val="20"/>
        </w:rPr>
        <w:t>Argentina's economy to commence recovery in 2025,</w:t>
      </w:r>
      <w:r>
        <w:rPr>
          <w:color w:val="57585A"/>
          <w:spacing w:val="-16"/>
          <w:sz w:val="20"/>
          <w:szCs w:val="20"/>
        </w:rPr>
        <w:t xml:space="preserve"> </w:t>
      </w:r>
      <w:r>
        <w:rPr>
          <w:color w:val="57585A"/>
          <w:spacing w:val="-12"/>
          <w:sz w:val="20"/>
          <w:szCs w:val="20"/>
        </w:rPr>
        <w:t>with forecasted real GDP growth rate of</w:t>
      </w:r>
      <w:r>
        <w:rPr>
          <w:color w:val="57585A"/>
          <w:spacing w:val="-16"/>
          <w:sz w:val="20"/>
          <w:szCs w:val="20"/>
        </w:rPr>
        <w:t xml:space="preserve"> </w:t>
      </w:r>
      <w:r>
        <w:rPr>
          <w:color w:val="57585A"/>
          <w:spacing w:val="-12"/>
          <w:sz w:val="20"/>
          <w:szCs w:val="20"/>
        </w:rPr>
        <w:t>4.8%</w:t>
      </w:r>
      <w:r>
        <w:rPr>
          <w:color w:val="57585A"/>
          <w:spacing w:val="-16"/>
          <w:sz w:val="20"/>
          <w:szCs w:val="20"/>
        </w:rPr>
        <w:t xml:space="preserve"> </w:t>
      </w:r>
      <w:r>
        <w:rPr>
          <w:color w:val="57585A"/>
          <w:spacing w:val="-12"/>
          <w:sz w:val="20"/>
          <w:szCs w:val="20"/>
        </w:rPr>
        <w:t>y-o-y, after an</w:t>
      </w:r>
      <w:r>
        <w:rPr>
          <w:color w:val="57585A"/>
          <w:sz w:val="20"/>
          <w:szCs w:val="20"/>
        </w:rPr>
        <w:t xml:space="preserve"> </w:t>
      </w:r>
      <w:r>
        <w:rPr>
          <w:color w:val="57585A"/>
          <w:spacing w:val="-10"/>
          <w:sz w:val="20"/>
          <w:szCs w:val="20"/>
        </w:rPr>
        <w:t>estimated contraction of 1.7% in 2024. We expect this</w:t>
      </w:r>
      <w:r>
        <w:rPr>
          <w:color w:val="57585A"/>
          <w:spacing w:val="-16"/>
          <w:sz w:val="20"/>
          <w:szCs w:val="20"/>
        </w:rPr>
        <w:t xml:space="preserve"> </w:t>
      </w:r>
      <w:r>
        <w:rPr>
          <w:color w:val="57585A"/>
          <w:spacing w:val="-10"/>
          <w:sz w:val="20"/>
          <w:szCs w:val="20"/>
        </w:rPr>
        <w:t>will translate into an improved outlo</w:t>
      </w:r>
      <w:r>
        <w:rPr>
          <w:color w:val="57585A"/>
          <w:spacing w:val="-11"/>
          <w:sz w:val="20"/>
          <w:szCs w:val="20"/>
        </w:rPr>
        <w:t>ok for refined fuels consumption in</w:t>
      </w:r>
      <w:r>
        <w:rPr>
          <w:color w:val="57585A"/>
          <w:sz w:val="20"/>
          <w:szCs w:val="20"/>
        </w:rPr>
        <w:t xml:space="preserve"> </w:t>
      </w:r>
      <w:r>
        <w:rPr>
          <w:color w:val="57585A"/>
          <w:spacing w:val="-10"/>
          <w:sz w:val="20"/>
          <w:szCs w:val="20"/>
        </w:rPr>
        <w:t>Argentina over 2025:</w:t>
      </w:r>
      <w:r>
        <w:rPr>
          <w:color w:val="57585A"/>
          <w:spacing w:val="-15"/>
          <w:sz w:val="20"/>
          <w:szCs w:val="20"/>
        </w:rPr>
        <w:t xml:space="preserve"> </w:t>
      </w:r>
      <w:r>
        <w:rPr>
          <w:color w:val="57585A"/>
          <w:spacing w:val="-10"/>
          <w:sz w:val="20"/>
          <w:szCs w:val="20"/>
        </w:rPr>
        <w:t>we forecast total fue</w:t>
      </w:r>
      <w:r>
        <w:rPr>
          <w:color w:val="57585A"/>
          <w:spacing w:val="-11"/>
          <w:sz w:val="20"/>
          <w:szCs w:val="20"/>
        </w:rPr>
        <w:t>ls consumption to expand by 2.5%</w:t>
      </w:r>
      <w:r>
        <w:rPr>
          <w:color w:val="57585A"/>
          <w:spacing w:val="-16"/>
          <w:sz w:val="20"/>
          <w:szCs w:val="20"/>
        </w:rPr>
        <w:t xml:space="preserve"> </w:t>
      </w:r>
      <w:r>
        <w:rPr>
          <w:color w:val="57585A"/>
          <w:spacing w:val="-11"/>
          <w:sz w:val="20"/>
          <w:szCs w:val="20"/>
        </w:rPr>
        <w:t>y-o-y in 2025, after an estimated contraction in</w:t>
      </w:r>
      <w:r>
        <w:rPr>
          <w:color w:val="57585A"/>
          <w:sz w:val="20"/>
          <w:szCs w:val="20"/>
        </w:rPr>
        <w:t xml:space="preserve"> </w:t>
      </w:r>
      <w:r>
        <w:rPr>
          <w:color w:val="57585A"/>
          <w:spacing w:val="-12"/>
          <w:sz w:val="20"/>
          <w:szCs w:val="20"/>
        </w:rPr>
        <w:t>demand of</w:t>
      </w:r>
      <w:r>
        <w:rPr>
          <w:color w:val="57585A"/>
          <w:spacing w:val="-8"/>
          <w:sz w:val="20"/>
          <w:szCs w:val="20"/>
        </w:rPr>
        <w:t xml:space="preserve"> </w:t>
      </w:r>
      <w:r>
        <w:rPr>
          <w:color w:val="57585A"/>
          <w:spacing w:val="-12"/>
          <w:sz w:val="20"/>
          <w:szCs w:val="20"/>
        </w:rPr>
        <w:t>3.4% in 2024.</w:t>
      </w:r>
    </w:p>
    <w:p w14:paraId="2862BCA8">
      <w:pPr>
        <w:pStyle w:val="4"/>
        <w:spacing w:line="276" w:lineRule="auto"/>
      </w:pPr>
    </w:p>
    <w:p w14:paraId="24152955">
      <w:pPr>
        <w:pStyle w:val="4"/>
        <w:spacing w:line="277" w:lineRule="auto"/>
      </w:pPr>
    </w:p>
    <w:p w14:paraId="0DE60C7D">
      <w:pPr>
        <w:pStyle w:val="4"/>
        <w:spacing w:before="70" w:line="234" w:lineRule="auto"/>
        <w:ind w:left="2482"/>
        <w:outlineLvl w:val="1"/>
        <w:rPr>
          <w:sz w:val="24"/>
          <w:szCs w:val="24"/>
        </w:rPr>
      </w:pPr>
      <w:r>
        <w:rPr>
          <w:color w:val="174174"/>
          <w:spacing w:val="-11"/>
          <w:sz w:val="24"/>
          <w:szCs w:val="24"/>
        </w:rPr>
        <w:t xml:space="preserve">Demand Recovery Supported By Improving </w:t>
      </w:r>
      <w:r>
        <w:rPr>
          <w:color w:val="174174"/>
          <w:spacing w:val="-12"/>
          <w:sz w:val="24"/>
          <w:szCs w:val="24"/>
        </w:rPr>
        <w:t>Economic Growth</w:t>
      </w:r>
    </w:p>
    <w:p w14:paraId="794714AE">
      <w:pPr>
        <w:pStyle w:val="4"/>
        <w:spacing w:before="33" w:line="231" w:lineRule="auto"/>
        <w:ind w:left="2396"/>
        <w:outlineLvl w:val="1"/>
        <w:rPr>
          <w:sz w:val="20"/>
          <w:szCs w:val="20"/>
        </w:rPr>
      </w:pPr>
      <w:r>
        <w:rPr>
          <w:color w:val="333333"/>
          <w:spacing w:val="-11"/>
          <w:sz w:val="20"/>
          <w:szCs w:val="20"/>
        </w:rPr>
        <w:t>Argentina - Refined Products Production &amp; C</w:t>
      </w:r>
      <w:r>
        <w:rPr>
          <w:color w:val="333333"/>
          <w:spacing w:val="-12"/>
          <w:sz w:val="20"/>
          <w:szCs w:val="20"/>
        </w:rPr>
        <w:t>onsumption Forecast (2023-2034)</w:t>
      </w:r>
    </w:p>
    <w:p w14:paraId="190A3E3E">
      <w:pPr>
        <w:spacing w:before="96" w:line="4500" w:lineRule="exact"/>
        <w:ind w:firstLine="1862"/>
      </w:pPr>
      <w:r>
        <w:rPr>
          <w:position w:val="-90"/>
        </w:rPr>
        <w:drawing>
          <wp:inline distT="0" distB="0" distL="0" distR="0">
            <wp:extent cx="4572000" cy="285750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24"/>
                    <a:stretch>
                      <a:fillRect/>
                    </a:stretch>
                  </pic:blipFill>
                  <pic:spPr>
                    <a:xfrm>
                      <a:off x="0" y="0"/>
                      <a:ext cx="4572000" cy="2857500"/>
                    </a:xfrm>
                    <a:prstGeom prst="rect">
                      <a:avLst/>
                    </a:prstGeom>
                  </pic:spPr>
                </pic:pic>
              </a:graphicData>
            </a:graphic>
          </wp:inline>
        </w:drawing>
      </w:r>
    </w:p>
    <w:p w14:paraId="7D45359D">
      <w:pPr>
        <w:pStyle w:val="4"/>
        <w:spacing w:before="149" w:line="177" w:lineRule="exact"/>
        <w:ind w:left="1876"/>
        <w:rPr>
          <w:sz w:val="15"/>
          <w:szCs w:val="15"/>
        </w:rPr>
      </w:pPr>
      <w:r>
        <w:drawing>
          <wp:anchor distT="0" distB="0" distL="0" distR="0" simplePos="0" relativeHeight="251783168"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24"/>
          <w:position w:val="1"/>
          <w:sz w:val="15"/>
          <w:szCs w:val="15"/>
        </w:rPr>
        <w:t xml:space="preserve"> </w:t>
      </w:r>
      <w:r>
        <w:rPr>
          <w:i/>
          <w:iCs/>
          <w:color w:val="333333"/>
          <w:spacing w:val="-3"/>
          <w:w w:val="93"/>
          <w:position w:val="1"/>
          <w:sz w:val="15"/>
          <w:szCs w:val="15"/>
        </w:rPr>
        <w:t>= BMI estimate/fore</w:t>
      </w:r>
      <w:r>
        <w:rPr>
          <w:i/>
          <w:iCs/>
          <w:color w:val="333333"/>
          <w:spacing w:val="-4"/>
          <w:w w:val="93"/>
          <w:position w:val="1"/>
          <w:sz w:val="15"/>
          <w:szCs w:val="15"/>
        </w:rPr>
        <w:t>cast. Source: Minem, BMI</w:t>
      </w:r>
    </w:p>
    <w:p w14:paraId="32E2A53B">
      <w:pPr>
        <w:pStyle w:val="4"/>
        <w:spacing w:line="358" w:lineRule="auto"/>
      </w:pPr>
    </w:p>
    <w:p w14:paraId="60FAD3AA">
      <w:pPr>
        <w:pStyle w:val="4"/>
        <w:spacing w:before="58" w:line="231" w:lineRule="auto"/>
        <w:ind w:left="360"/>
        <w:rPr>
          <w:sz w:val="20"/>
          <w:szCs w:val="20"/>
        </w:rPr>
      </w:pPr>
      <w:r>
        <w:rPr>
          <w:color w:val="57585A"/>
          <w:spacing w:val="-10"/>
          <w:sz w:val="20"/>
          <w:szCs w:val="20"/>
        </w:rPr>
        <w:t>The anticipated growth in demand for fuels over the medium-to-long term</w:t>
      </w:r>
      <w:r>
        <w:rPr>
          <w:color w:val="57585A"/>
          <w:spacing w:val="-16"/>
          <w:sz w:val="20"/>
          <w:szCs w:val="20"/>
        </w:rPr>
        <w:t xml:space="preserve"> </w:t>
      </w:r>
      <w:r>
        <w:rPr>
          <w:color w:val="57585A"/>
          <w:spacing w:val="-10"/>
          <w:sz w:val="20"/>
          <w:szCs w:val="20"/>
        </w:rPr>
        <w:t>will be driven by the demand fr</w:t>
      </w:r>
      <w:r>
        <w:rPr>
          <w:color w:val="57585A"/>
          <w:spacing w:val="-11"/>
          <w:sz w:val="20"/>
          <w:szCs w:val="20"/>
        </w:rPr>
        <w:t>om</w:t>
      </w:r>
      <w:r>
        <w:rPr>
          <w:color w:val="57585A"/>
          <w:spacing w:val="-12"/>
          <w:sz w:val="20"/>
          <w:szCs w:val="20"/>
        </w:rPr>
        <w:t xml:space="preserve"> </w:t>
      </w:r>
      <w:r>
        <w:rPr>
          <w:color w:val="57585A"/>
          <w:spacing w:val="-11"/>
          <w:sz w:val="20"/>
          <w:szCs w:val="20"/>
        </w:rPr>
        <w:t>the agribusiness</w:t>
      </w:r>
    </w:p>
    <w:p w14:paraId="6DFDDDB0">
      <w:pPr>
        <w:pStyle w:val="4"/>
        <w:spacing w:before="60" w:line="279" w:lineRule="auto"/>
        <w:ind w:left="361" w:right="496" w:firstLine="5"/>
        <w:rPr>
          <w:sz w:val="20"/>
          <w:szCs w:val="20"/>
        </w:rPr>
      </w:pPr>
      <w:r>
        <w:rPr>
          <w:color w:val="57585A"/>
          <w:spacing w:val="-11"/>
          <w:sz w:val="20"/>
          <w:szCs w:val="20"/>
        </w:rPr>
        <w:t>sector and expanding transportation sector, expected to be bolstered by ec</w:t>
      </w:r>
      <w:r>
        <w:rPr>
          <w:color w:val="57585A"/>
          <w:spacing w:val="-12"/>
          <w:sz w:val="20"/>
          <w:szCs w:val="20"/>
        </w:rPr>
        <w:t>onomic measures introduced by president</w:t>
      </w:r>
      <w:r>
        <w:rPr>
          <w:color w:val="57585A"/>
          <w:spacing w:val="-23"/>
          <w:sz w:val="20"/>
          <w:szCs w:val="20"/>
        </w:rPr>
        <w:t xml:space="preserve"> </w:t>
      </w:r>
      <w:r>
        <w:rPr>
          <w:color w:val="57585A"/>
          <w:spacing w:val="-12"/>
          <w:sz w:val="20"/>
          <w:szCs w:val="20"/>
        </w:rPr>
        <w:t>Javier Milei's</w:t>
      </w:r>
      <w:r>
        <w:rPr>
          <w:color w:val="57585A"/>
          <w:sz w:val="20"/>
          <w:szCs w:val="20"/>
        </w:rPr>
        <w:t xml:space="preserve"> </w:t>
      </w:r>
      <w:r>
        <w:rPr>
          <w:color w:val="57585A"/>
          <w:spacing w:val="-11"/>
          <w:sz w:val="20"/>
          <w:szCs w:val="20"/>
        </w:rPr>
        <w:t>economic measures. Notab</w:t>
      </w:r>
      <w:r>
        <w:rPr>
          <w:color w:val="57585A"/>
          <w:spacing w:val="-12"/>
          <w:sz w:val="20"/>
          <w:szCs w:val="20"/>
        </w:rPr>
        <w:t>ly, our fuel demand forecast is also underpinned by</w:t>
      </w:r>
      <w:r>
        <w:rPr>
          <w:color w:val="57585A"/>
          <w:spacing w:val="-15"/>
          <w:sz w:val="20"/>
          <w:szCs w:val="20"/>
        </w:rPr>
        <w:t xml:space="preserve"> </w:t>
      </w:r>
      <w:r>
        <w:rPr>
          <w:color w:val="57585A"/>
          <w:spacing w:val="-12"/>
          <w:sz w:val="20"/>
          <w:szCs w:val="20"/>
        </w:rPr>
        <w:t>vehicle sales forecast provided by our</w:t>
      </w:r>
      <w:r>
        <w:rPr>
          <w:color w:val="57585A"/>
          <w:spacing w:val="-16"/>
          <w:sz w:val="20"/>
          <w:szCs w:val="20"/>
        </w:rPr>
        <w:t xml:space="preserve"> </w:t>
      </w:r>
      <w:r>
        <w:rPr>
          <w:color w:val="57585A"/>
          <w:spacing w:val="-12"/>
          <w:sz w:val="20"/>
          <w:szCs w:val="20"/>
        </w:rPr>
        <w:t>Autos team.</w:t>
      </w:r>
      <w:r>
        <w:rPr>
          <w:color w:val="57585A"/>
          <w:sz w:val="20"/>
          <w:szCs w:val="20"/>
        </w:rPr>
        <w:t xml:space="preserve"> </w:t>
      </w:r>
      <w:r>
        <w:rPr>
          <w:color w:val="57585A"/>
          <w:spacing w:val="-11"/>
          <w:sz w:val="20"/>
          <w:szCs w:val="20"/>
        </w:rPr>
        <w:t>We expect</w:t>
      </w:r>
      <w:r>
        <w:rPr>
          <w:color w:val="57585A"/>
          <w:spacing w:val="-15"/>
          <w:sz w:val="20"/>
          <w:szCs w:val="20"/>
        </w:rPr>
        <w:t xml:space="preserve"> </w:t>
      </w:r>
      <w:r>
        <w:rPr>
          <w:color w:val="57585A"/>
          <w:spacing w:val="-11"/>
          <w:sz w:val="20"/>
          <w:szCs w:val="20"/>
        </w:rPr>
        <w:t>vehicle sales in</w:t>
      </w:r>
      <w:r>
        <w:rPr>
          <w:color w:val="57585A"/>
          <w:spacing w:val="-16"/>
          <w:sz w:val="20"/>
          <w:szCs w:val="20"/>
        </w:rPr>
        <w:t xml:space="preserve"> </w:t>
      </w:r>
      <w:r>
        <w:rPr>
          <w:color w:val="57585A"/>
          <w:spacing w:val="-11"/>
          <w:sz w:val="20"/>
          <w:szCs w:val="20"/>
        </w:rPr>
        <w:t xml:space="preserve">Argentina to </w:t>
      </w:r>
      <w:r>
        <w:rPr>
          <w:color w:val="57585A"/>
          <w:spacing w:val="-12"/>
          <w:sz w:val="20"/>
          <w:szCs w:val="20"/>
        </w:rPr>
        <w:t>rebound strongly in 2025 (+16.9%</w:t>
      </w:r>
      <w:r>
        <w:rPr>
          <w:color w:val="57585A"/>
          <w:spacing w:val="-15"/>
          <w:sz w:val="20"/>
          <w:szCs w:val="20"/>
        </w:rPr>
        <w:t xml:space="preserve"> </w:t>
      </w:r>
      <w:r>
        <w:rPr>
          <w:color w:val="57585A"/>
          <w:spacing w:val="-12"/>
          <w:sz w:val="20"/>
          <w:szCs w:val="20"/>
        </w:rPr>
        <w:t>y-o-y), driven by a more favourable economic</w:t>
      </w:r>
    </w:p>
    <w:p w14:paraId="5A189FB4">
      <w:pPr>
        <w:pStyle w:val="4"/>
        <w:spacing w:before="36" w:line="294" w:lineRule="auto"/>
        <w:ind w:left="363" w:right="584" w:firstLine="6"/>
        <w:rPr>
          <w:sz w:val="20"/>
          <w:szCs w:val="20"/>
        </w:rPr>
      </w:pPr>
      <w:r>
        <w:rPr>
          <w:color w:val="57585A"/>
          <w:spacing w:val="-10"/>
          <w:sz w:val="20"/>
          <w:szCs w:val="20"/>
        </w:rPr>
        <w:t>environment, including a rebound in economic activity, lower inflation, and the continuance of higher credit availability</w:t>
      </w:r>
      <w:r>
        <w:rPr>
          <w:color w:val="57585A"/>
          <w:spacing w:val="-3"/>
          <w:sz w:val="20"/>
          <w:szCs w:val="20"/>
        </w:rPr>
        <w:t xml:space="preserve"> </w:t>
      </w:r>
      <w:r>
        <w:rPr>
          <w:color w:val="57585A"/>
          <w:spacing w:val="-10"/>
          <w:sz w:val="20"/>
          <w:szCs w:val="20"/>
        </w:rPr>
        <w:t>with more</w:t>
      </w:r>
      <w:r>
        <w:rPr>
          <w:color w:val="57585A"/>
          <w:sz w:val="20"/>
          <w:szCs w:val="20"/>
        </w:rPr>
        <w:t xml:space="preserve"> </w:t>
      </w:r>
      <w:r>
        <w:rPr>
          <w:color w:val="57585A"/>
          <w:spacing w:val="-12"/>
          <w:sz w:val="20"/>
          <w:szCs w:val="20"/>
        </w:rPr>
        <w:t>favourable car loan terms.</w:t>
      </w:r>
    </w:p>
    <w:p w14:paraId="2FB1A62D">
      <w:pPr>
        <w:pStyle w:val="4"/>
        <w:spacing w:before="285" w:line="231" w:lineRule="auto"/>
        <w:ind w:left="359"/>
        <w:rPr>
          <w:sz w:val="20"/>
          <w:szCs w:val="20"/>
        </w:rPr>
      </w:pPr>
      <w:r>
        <w:rPr>
          <w:color w:val="57585A"/>
          <w:spacing w:val="-10"/>
          <w:sz w:val="20"/>
          <w:szCs w:val="20"/>
        </w:rPr>
        <w:t>An improving trend in fuel demand in</w:t>
      </w:r>
      <w:r>
        <w:rPr>
          <w:color w:val="57585A"/>
          <w:spacing w:val="-15"/>
          <w:sz w:val="20"/>
          <w:szCs w:val="20"/>
        </w:rPr>
        <w:t xml:space="preserve"> </w:t>
      </w:r>
      <w:r>
        <w:rPr>
          <w:color w:val="57585A"/>
          <w:spacing w:val="-10"/>
          <w:sz w:val="20"/>
          <w:szCs w:val="20"/>
        </w:rPr>
        <w:t>Argentina</w:t>
      </w:r>
      <w:r>
        <w:rPr>
          <w:color w:val="57585A"/>
          <w:spacing w:val="-16"/>
          <w:sz w:val="20"/>
          <w:szCs w:val="20"/>
        </w:rPr>
        <w:t xml:space="preserve"> </w:t>
      </w:r>
      <w:r>
        <w:rPr>
          <w:color w:val="57585A"/>
          <w:spacing w:val="-10"/>
          <w:sz w:val="20"/>
          <w:szCs w:val="20"/>
        </w:rPr>
        <w:t>will also be support</w:t>
      </w:r>
      <w:r>
        <w:rPr>
          <w:color w:val="57585A"/>
          <w:spacing w:val="-11"/>
          <w:sz w:val="20"/>
          <w:szCs w:val="20"/>
        </w:rPr>
        <w:t>ed by our price forecasts for crude oil and global fuel price</w:t>
      </w:r>
    </w:p>
    <w:p w14:paraId="3AF3903E">
      <w:pPr>
        <w:pStyle w:val="4"/>
        <w:spacing w:before="59" w:line="274" w:lineRule="auto"/>
        <w:ind w:left="359" w:right="524" w:firstLine="13"/>
        <w:rPr>
          <w:sz w:val="20"/>
          <w:szCs w:val="20"/>
        </w:rPr>
      </w:pPr>
      <w:r>
        <w:rPr>
          <w:color w:val="57585A"/>
          <w:spacing w:val="-11"/>
          <w:sz w:val="20"/>
          <w:szCs w:val="20"/>
        </w:rPr>
        <w:t>benchmarks. We currently expect Brent prices to decline to an average of USD68.0/bbl in 2</w:t>
      </w:r>
      <w:r>
        <w:rPr>
          <w:color w:val="57585A"/>
          <w:spacing w:val="-12"/>
          <w:sz w:val="20"/>
          <w:szCs w:val="20"/>
        </w:rPr>
        <w:t>025, from USD79.9/bbl in 2024,</w:t>
      </w:r>
      <w:r>
        <w:rPr>
          <w:color w:val="57585A"/>
          <w:spacing w:val="-16"/>
          <w:sz w:val="20"/>
          <w:szCs w:val="20"/>
        </w:rPr>
        <w:t xml:space="preserve"> </w:t>
      </w:r>
      <w:r>
        <w:rPr>
          <w:color w:val="57585A"/>
          <w:spacing w:val="-12"/>
          <w:sz w:val="20"/>
          <w:szCs w:val="20"/>
        </w:rPr>
        <w:t>which</w:t>
      </w:r>
      <w:r>
        <w:rPr>
          <w:color w:val="57585A"/>
          <w:sz w:val="20"/>
          <w:szCs w:val="20"/>
        </w:rPr>
        <w:t xml:space="preserve"> </w:t>
      </w:r>
      <w:r>
        <w:rPr>
          <w:color w:val="57585A"/>
          <w:spacing w:val="-10"/>
          <w:sz w:val="20"/>
          <w:szCs w:val="20"/>
        </w:rPr>
        <w:t>will support demand.</w:t>
      </w:r>
    </w:p>
    <w:p w14:paraId="37F2B97D">
      <w:pPr>
        <w:pStyle w:val="4"/>
        <w:spacing w:line="263" w:lineRule="auto"/>
      </w:pPr>
    </w:p>
    <w:p w14:paraId="0544810A">
      <w:pPr>
        <w:pStyle w:val="4"/>
        <w:spacing w:before="58" w:line="231" w:lineRule="auto"/>
        <w:ind w:left="369"/>
        <w:rPr>
          <w:sz w:val="20"/>
          <w:szCs w:val="20"/>
        </w:rPr>
      </w:pPr>
      <w:r>
        <w:rPr>
          <w:color w:val="57585A"/>
          <w:spacing w:val="-12"/>
          <w:sz w:val="20"/>
          <w:szCs w:val="20"/>
        </w:rPr>
        <w:t>Our</w:t>
      </w:r>
      <w:r>
        <w:rPr>
          <w:color w:val="57585A"/>
          <w:spacing w:val="-15"/>
          <w:sz w:val="20"/>
          <w:szCs w:val="20"/>
        </w:rPr>
        <w:t xml:space="preserve"> </w:t>
      </w:r>
      <w:r>
        <w:rPr>
          <w:color w:val="57585A"/>
          <w:spacing w:val="-12"/>
          <w:sz w:val="20"/>
          <w:szCs w:val="20"/>
        </w:rPr>
        <w:t>Autos team has become increasingly bullish in long-term</w:t>
      </w:r>
      <w:r>
        <w:rPr>
          <w:color w:val="57585A"/>
          <w:spacing w:val="-16"/>
          <w:sz w:val="20"/>
          <w:szCs w:val="20"/>
        </w:rPr>
        <w:t xml:space="preserve"> </w:t>
      </w:r>
      <w:r>
        <w:rPr>
          <w:color w:val="57585A"/>
          <w:spacing w:val="-12"/>
          <w:sz w:val="20"/>
          <w:szCs w:val="20"/>
        </w:rPr>
        <w:t>vehicle sales forecast. We stress that the new economic measure</w:t>
      </w:r>
      <w:r>
        <w:rPr>
          <w:color w:val="57585A"/>
          <w:spacing w:val="-13"/>
          <w:sz w:val="20"/>
          <w:szCs w:val="20"/>
        </w:rPr>
        <w:t>s, as</w:t>
      </w:r>
    </w:p>
    <w:p w14:paraId="48E704EB">
      <w:pPr>
        <w:spacing w:line="231" w:lineRule="auto"/>
        <w:rPr>
          <w:sz w:val="20"/>
          <w:szCs w:val="20"/>
        </w:rPr>
        <w:sectPr>
          <w:footerReference r:id="rId34" w:type="default"/>
          <w:pgSz w:w="11906" w:h="16838"/>
          <w:pgMar w:top="400" w:right="490" w:bottom="883" w:left="490" w:header="0" w:footer="0" w:gutter="0"/>
          <w:cols w:space="720" w:num="1"/>
        </w:sectPr>
      </w:pPr>
    </w:p>
    <w:p w14:paraId="70E0647D">
      <w:pPr>
        <w:pStyle w:val="4"/>
        <w:spacing w:before="73" w:line="241" w:lineRule="auto"/>
        <w:ind w:left="7372"/>
        <w:rPr>
          <w:sz w:val="20"/>
          <w:szCs w:val="20"/>
        </w:rPr>
      </w:pPr>
      <w:r>
        <w:drawing>
          <wp:anchor distT="0" distB="0" distL="0" distR="0" simplePos="0" relativeHeight="25178828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89312" behindDoc="0" locked="0" layoutInCell="0" allowOverlap="1">
            <wp:simplePos x="0" y="0"/>
            <wp:positionH relativeFrom="page">
              <wp:posOffset>311150</wp:posOffset>
            </wp:positionH>
            <wp:positionV relativeFrom="page">
              <wp:posOffset>0</wp:posOffset>
            </wp:positionV>
            <wp:extent cx="19050" cy="814070"/>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6B822C0">
      <w:pPr>
        <w:pStyle w:val="4"/>
        <w:spacing w:line="278" w:lineRule="auto"/>
      </w:pPr>
    </w:p>
    <w:p w14:paraId="6EFBAE7D">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974F7B6">
      <w:pPr>
        <w:pStyle w:val="4"/>
        <w:spacing w:line="469" w:lineRule="auto"/>
      </w:pPr>
    </w:p>
    <w:p w14:paraId="010C5EAD">
      <w:pPr>
        <w:pStyle w:val="4"/>
        <w:spacing w:before="57" w:line="283" w:lineRule="auto"/>
        <w:ind w:left="363" w:right="493" w:firstLine="10"/>
        <w:rPr>
          <w:sz w:val="20"/>
          <w:szCs w:val="20"/>
        </w:rPr>
      </w:pPr>
      <w:r>
        <w:rPr>
          <w:color w:val="57585A"/>
          <w:spacing w:val="-10"/>
          <w:sz w:val="20"/>
          <w:szCs w:val="20"/>
        </w:rPr>
        <w:t>part of</w:t>
      </w:r>
      <w:r>
        <w:rPr>
          <w:color w:val="57585A"/>
          <w:spacing w:val="-21"/>
          <w:sz w:val="20"/>
          <w:szCs w:val="20"/>
        </w:rPr>
        <w:t xml:space="preserve"> </w:t>
      </w:r>
      <w:r>
        <w:rPr>
          <w:color w:val="57585A"/>
          <w:spacing w:val="-10"/>
          <w:sz w:val="20"/>
          <w:szCs w:val="20"/>
        </w:rPr>
        <w:t>the new administration’s broader plan to tackle</w:t>
      </w:r>
      <w:r>
        <w:rPr>
          <w:color w:val="57585A"/>
          <w:spacing w:val="-15"/>
          <w:sz w:val="20"/>
          <w:szCs w:val="20"/>
        </w:rPr>
        <w:t xml:space="preserve"> </w:t>
      </w:r>
      <w:r>
        <w:rPr>
          <w:color w:val="57585A"/>
          <w:spacing w:val="-10"/>
          <w:sz w:val="20"/>
          <w:szCs w:val="20"/>
        </w:rPr>
        <w:t>Argentina’s recurrent</w:t>
      </w:r>
      <w:r>
        <w:rPr>
          <w:color w:val="57585A"/>
          <w:spacing w:val="-11"/>
          <w:sz w:val="20"/>
          <w:szCs w:val="20"/>
        </w:rPr>
        <w:t xml:space="preserve"> fiscal deficit, should bolster</w:t>
      </w:r>
      <w:r>
        <w:rPr>
          <w:color w:val="57585A"/>
          <w:spacing w:val="-16"/>
          <w:sz w:val="20"/>
          <w:szCs w:val="20"/>
        </w:rPr>
        <w:t xml:space="preserve"> </w:t>
      </w:r>
      <w:r>
        <w:rPr>
          <w:color w:val="57585A"/>
          <w:spacing w:val="-11"/>
          <w:sz w:val="20"/>
          <w:szCs w:val="20"/>
        </w:rPr>
        <w:t>vehicle demand once the</w:t>
      </w:r>
      <w:r>
        <w:rPr>
          <w:color w:val="57585A"/>
          <w:sz w:val="20"/>
          <w:szCs w:val="20"/>
        </w:rPr>
        <w:t xml:space="preserve"> </w:t>
      </w:r>
      <w:r>
        <w:rPr>
          <w:color w:val="57585A"/>
          <w:spacing w:val="-11"/>
          <w:sz w:val="20"/>
          <w:szCs w:val="20"/>
        </w:rPr>
        <w:t>market's economy subsequently recovers. Our</w:t>
      </w:r>
      <w:r>
        <w:rPr>
          <w:color w:val="57585A"/>
          <w:spacing w:val="-16"/>
          <w:sz w:val="20"/>
          <w:szCs w:val="20"/>
        </w:rPr>
        <w:t xml:space="preserve"> </w:t>
      </w:r>
      <w:r>
        <w:rPr>
          <w:color w:val="57585A"/>
          <w:spacing w:val="-11"/>
          <w:sz w:val="20"/>
          <w:szCs w:val="20"/>
        </w:rPr>
        <w:t>Autos team forecasted</w:t>
      </w:r>
      <w:r>
        <w:rPr>
          <w:color w:val="57585A"/>
          <w:spacing w:val="-16"/>
          <w:sz w:val="20"/>
          <w:szCs w:val="20"/>
        </w:rPr>
        <w:t xml:space="preserve"> </w:t>
      </w:r>
      <w:r>
        <w:rPr>
          <w:color w:val="57585A"/>
          <w:spacing w:val="-11"/>
          <w:sz w:val="20"/>
          <w:szCs w:val="20"/>
        </w:rPr>
        <w:t>y-o-y average</w:t>
      </w:r>
      <w:r>
        <w:rPr>
          <w:color w:val="57585A"/>
          <w:spacing w:val="-12"/>
          <w:sz w:val="20"/>
          <w:szCs w:val="20"/>
        </w:rPr>
        <w:t xml:space="preserve"> growth in the</w:t>
      </w:r>
      <w:r>
        <w:rPr>
          <w:color w:val="57585A"/>
          <w:spacing w:val="-15"/>
          <w:sz w:val="20"/>
          <w:szCs w:val="20"/>
        </w:rPr>
        <w:t xml:space="preserve"> </w:t>
      </w:r>
      <w:r>
        <w:rPr>
          <w:color w:val="57585A"/>
          <w:spacing w:val="-12"/>
          <w:sz w:val="20"/>
          <w:szCs w:val="20"/>
        </w:rPr>
        <w:t>vehicle fleet of 1.2%</w:t>
      </w:r>
      <w:r>
        <w:rPr>
          <w:color w:val="57585A"/>
          <w:spacing w:val="-16"/>
          <w:sz w:val="20"/>
          <w:szCs w:val="20"/>
        </w:rPr>
        <w:t xml:space="preserve"> </w:t>
      </w:r>
      <w:r>
        <w:rPr>
          <w:color w:val="57585A"/>
          <w:spacing w:val="-12"/>
          <w:sz w:val="20"/>
          <w:szCs w:val="20"/>
        </w:rPr>
        <w:t>y-o-y over</w:t>
      </w:r>
      <w:r>
        <w:rPr>
          <w:color w:val="57585A"/>
          <w:sz w:val="20"/>
          <w:szCs w:val="20"/>
        </w:rPr>
        <w:t xml:space="preserve"> </w:t>
      </w:r>
      <w:r>
        <w:rPr>
          <w:color w:val="57585A"/>
          <w:spacing w:val="-10"/>
          <w:sz w:val="20"/>
          <w:szCs w:val="20"/>
        </w:rPr>
        <w:t>the 2025-2034 forecast peri</w:t>
      </w:r>
      <w:r>
        <w:rPr>
          <w:color w:val="57585A"/>
          <w:spacing w:val="-11"/>
          <w:sz w:val="20"/>
          <w:szCs w:val="20"/>
        </w:rPr>
        <w:t>od,</w:t>
      </w:r>
      <w:r>
        <w:rPr>
          <w:color w:val="57585A"/>
          <w:spacing w:val="-15"/>
          <w:sz w:val="20"/>
          <w:szCs w:val="20"/>
        </w:rPr>
        <w:t xml:space="preserve"> </w:t>
      </w:r>
      <w:r>
        <w:rPr>
          <w:color w:val="57585A"/>
          <w:spacing w:val="-11"/>
          <w:sz w:val="20"/>
          <w:szCs w:val="20"/>
        </w:rPr>
        <w:t>which</w:t>
      </w:r>
      <w:r>
        <w:rPr>
          <w:color w:val="57585A"/>
          <w:spacing w:val="-16"/>
          <w:sz w:val="20"/>
          <w:szCs w:val="20"/>
        </w:rPr>
        <w:t xml:space="preserve"> </w:t>
      </w:r>
      <w:r>
        <w:rPr>
          <w:color w:val="57585A"/>
          <w:spacing w:val="-11"/>
          <w:sz w:val="20"/>
          <w:szCs w:val="20"/>
        </w:rPr>
        <w:t>will support refined fuels consumption growth. We forecast fuels demand</w:t>
      </w:r>
      <w:r>
        <w:rPr>
          <w:color w:val="57585A"/>
          <w:spacing w:val="-12"/>
          <w:sz w:val="20"/>
          <w:szCs w:val="20"/>
        </w:rPr>
        <w:t xml:space="preserve"> </w:t>
      </w:r>
      <w:r>
        <w:rPr>
          <w:color w:val="57585A"/>
          <w:spacing w:val="-11"/>
          <w:sz w:val="20"/>
          <w:szCs w:val="20"/>
        </w:rPr>
        <w:t>to increase by a</w:t>
      </w:r>
      <w:r>
        <w:rPr>
          <w:color w:val="57585A"/>
          <w:spacing w:val="-16"/>
          <w:sz w:val="20"/>
          <w:szCs w:val="20"/>
        </w:rPr>
        <w:t xml:space="preserve"> </w:t>
      </w:r>
      <w:r>
        <w:rPr>
          <w:color w:val="57585A"/>
          <w:spacing w:val="-11"/>
          <w:sz w:val="20"/>
          <w:szCs w:val="20"/>
        </w:rPr>
        <w:t>y-</w:t>
      </w:r>
      <w:r>
        <w:rPr>
          <w:color w:val="57585A"/>
          <w:sz w:val="20"/>
          <w:szCs w:val="20"/>
        </w:rPr>
        <w:t xml:space="preserve"> </w:t>
      </w:r>
      <w:r>
        <w:rPr>
          <w:color w:val="57585A"/>
          <w:spacing w:val="-11"/>
          <w:sz w:val="20"/>
          <w:szCs w:val="20"/>
        </w:rPr>
        <w:t>o-y average of 1.2% to 2034. Growth</w:t>
      </w:r>
      <w:r>
        <w:rPr>
          <w:color w:val="57585A"/>
          <w:spacing w:val="1"/>
          <w:sz w:val="20"/>
          <w:szCs w:val="20"/>
        </w:rPr>
        <w:t xml:space="preserve"> </w:t>
      </w:r>
      <w:r>
        <w:rPr>
          <w:color w:val="57585A"/>
          <w:spacing w:val="-11"/>
          <w:sz w:val="20"/>
          <w:szCs w:val="20"/>
        </w:rPr>
        <w:t>will slow however over the latter</w:t>
      </w:r>
      <w:r>
        <w:rPr>
          <w:color w:val="57585A"/>
          <w:spacing w:val="-15"/>
          <w:sz w:val="20"/>
          <w:szCs w:val="20"/>
        </w:rPr>
        <w:t xml:space="preserve"> </w:t>
      </w:r>
      <w:r>
        <w:rPr>
          <w:color w:val="57585A"/>
          <w:spacing w:val="-11"/>
          <w:sz w:val="20"/>
          <w:szCs w:val="20"/>
        </w:rPr>
        <w:t>years of</w:t>
      </w:r>
      <w:r>
        <w:rPr>
          <w:color w:val="57585A"/>
          <w:spacing w:val="-22"/>
          <w:sz w:val="20"/>
          <w:szCs w:val="20"/>
        </w:rPr>
        <w:t xml:space="preserve"> </w:t>
      </w:r>
      <w:r>
        <w:rPr>
          <w:color w:val="57585A"/>
          <w:spacing w:val="-11"/>
          <w:sz w:val="20"/>
          <w:szCs w:val="20"/>
        </w:rPr>
        <w:t>the forecast period,</w:t>
      </w:r>
      <w:r>
        <w:rPr>
          <w:color w:val="57585A"/>
          <w:spacing w:val="-15"/>
          <w:sz w:val="20"/>
          <w:szCs w:val="20"/>
        </w:rPr>
        <w:t xml:space="preserve"> </w:t>
      </w:r>
      <w:r>
        <w:rPr>
          <w:color w:val="57585A"/>
          <w:spacing w:val="-11"/>
          <w:sz w:val="20"/>
          <w:szCs w:val="20"/>
        </w:rPr>
        <w:t>when stronger penetration of</w:t>
      </w:r>
    </w:p>
    <w:p w14:paraId="12068B5F">
      <w:pPr>
        <w:pStyle w:val="4"/>
        <w:spacing w:before="37" w:line="293" w:lineRule="auto"/>
        <w:ind w:left="359" w:right="986" w:firstLine="9"/>
        <w:rPr>
          <w:sz w:val="20"/>
          <w:szCs w:val="20"/>
        </w:rPr>
      </w:pPr>
      <w:r>
        <w:rPr>
          <w:color w:val="57585A"/>
          <w:spacing w:val="-11"/>
          <w:sz w:val="20"/>
          <w:szCs w:val="20"/>
        </w:rPr>
        <w:t>electric</w:t>
      </w:r>
      <w:r>
        <w:rPr>
          <w:color w:val="57585A"/>
          <w:spacing w:val="-15"/>
          <w:sz w:val="20"/>
          <w:szCs w:val="20"/>
        </w:rPr>
        <w:t xml:space="preserve"> </w:t>
      </w:r>
      <w:r>
        <w:rPr>
          <w:color w:val="57585A"/>
          <w:spacing w:val="-11"/>
          <w:sz w:val="20"/>
          <w:szCs w:val="20"/>
        </w:rPr>
        <w:t>vehicles and increasing fuel efficiency</w:t>
      </w:r>
      <w:r>
        <w:rPr>
          <w:color w:val="57585A"/>
          <w:spacing w:val="-16"/>
          <w:sz w:val="20"/>
          <w:szCs w:val="20"/>
        </w:rPr>
        <w:t xml:space="preserve"> </w:t>
      </w:r>
      <w:r>
        <w:rPr>
          <w:color w:val="57585A"/>
          <w:spacing w:val="-11"/>
          <w:sz w:val="20"/>
          <w:szCs w:val="20"/>
        </w:rPr>
        <w:t>will</w:t>
      </w:r>
      <w:r>
        <w:rPr>
          <w:color w:val="57585A"/>
          <w:spacing w:val="-16"/>
          <w:sz w:val="20"/>
          <w:szCs w:val="20"/>
        </w:rPr>
        <w:t xml:space="preserve"> </w:t>
      </w:r>
      <w:r>
        <w:rPr>
          <w:color w:val="57585A"/>
          <w:spacing w:val="-11"/>
          <w:sz w:val="20"/>
          <w:szCs w:val="20"/>
        </w:rPr>
        <w:t>weaken growth. R</w:t>
      </w:r>
      <w:r>
        <w:rPr>
          <w:color w:val="57585A"/>
          <w:spacing w:val="-12"/>
          <w:sz w:val="20"/>
          <w:szCs w:val="20"/>
        </w:rPr>
        <w:t>isks to our forecast are heavily</w:t>
      </w:r>
      <w:r>
        <w:rPr>
          <w:color w:val="57585A"/>
          <w:spacing w:val="-15"/>
          <w:sz w:val="20"/>
          <w:szCs w:val="20"/>
        </w:rPr>
        <w:t xml:space="preserve"> </w:t>
      </w:r>
      <w:r>
        <w:rPr>
          <w:color w:val="57585A"/>
          <w:spacing w:val="-12"/>
          <w:sz w:val="20"/>
          <w:szCs w:val="20"/>
        </w:rPr>
        <w:t>weighed to the upside, as</w:t>
      </w:r>
      <w:r>
        <w:rPr>
          <w:color w:val="57585A"/>
          <w:sz w:val="20"/>
          <w:szCs w:val="20"/>
        </w:rPr>
        <w:t xml:space="preserve"> </w:t>
      </w:r>
      <w:r>
        <w:rPr>
          <w:color w:val="57585A"/>
          <w:spacing w:val="-10"/>
          <w:sz w:val="20"/>
          <w:szCs w:val="20"/>
        </w:rPr>
        <w:t>Argentina's autos market is operating significant</w:t>
      </w:r>
      <w:r>
        <w:rPr>
          <w:color w:val="57585A"/>
          <w:spacing w:val="-11"/>
          <w:sz w:val="20"/>
          <w:szCs w:val="20"/>
        </w:rPr>
        <w:t>ly below its 2010-2017</w:t>
      </w:r>
      <w:r>
        <w:rPr>
          <w:color w:val="57585A"/>
          <w:spacing w:val="-23"/>
          <w:sz w:val="20"/>
          <w:szCs w:val="20"/>
        </w:rPr>
        <w:t xml:space="preserve"> </w:t>
      </w:r>
      <w:r>
        <w:rPr>
          <w:color w:val="57585A"/>
          <w:spacing w:val="-11"/>
          <w:sz w:val="20"/>
          <w:szCs w:val="20"/>
        </w:rPr>
        <w:t>‘pre-crisis’</w:t>
      </w:r>
      <w:r>
        <w:rPr>
          <w:color w:val="57585A"/>
          <w:spacing w:val="-15"/>
          <w:sz w:val="20"/>
          <w:szCs w:val="20"/>
        </w:rPr>
        <w:t xml:space="preserve"> </w:t>
      </w:r>
      <w:r>
        <w:rPr>
          <w:color w:val="57585A"/>
          <w:spacing w:val="-11"/>
          <w:sz w:val="20"/>
          <w:szCs w:val="20"/>
        </w:rPr>
        <w:t>period and there is a growing need from</w:t>
      </w:r>
      <w:r>
        <w:rPr>
          <w:color w:val="57585A"/>
          <w:sz w:val="20"/>
          <w:szCs w:val="20"/>
        </w:rPr>
        <w:t xml:space="preserve"> </w:t>
      </w:r>
      <w:r>
        <w:rPr>
          <w:color w:val="57585A"/>
          <w:spacing w:val="-11"/>
          <w:sz w:val="20"/>
          <w:szCs w:val="20"/>
        </w:rPr>
        <w:t>households and busi</w:t>
      </w:r>
      <w:r>
        <w:rPr>
          <w:color w:val="57585A"/>
          <w:spacing w:val="-12"/>
          <w:sz w:val="20"/>
          <w:szCs w:val="20"/>
        </w:rPr>
        <w:t>nesses to renew</w:t>
      </w:r>
      <w:r>
        <w:rPr>
          <w:color w:val="57585A"/>
          <w:spacing w:val="-15"/>
          <w:sz w:val="20"/>
          <w:szCs w:val="20"/>
        </w:rPr>
        <w:t xml:space="preserve"> </w:t>
      </w:r>
      <w:r>
        <w:rPr>
          <w:color w:val="57585A"/>
          <w:spacing w:val="-12"/>
          <w:sz w:val="20"/>
          <w:szCs w:val="20"/>
        </w:rPr>
        <w:t>vehicle fleets.</w:t>
      </w:r>
    </w:p>
    <w:p w14:paraId="4273800A">
      <w:pPr>
        <w:pStyle w:val="4"/>
        <w:spacing w:line="296" w:lineRule="auto"/>
      </w:pPr>
    </w:p>
    <w:p w14:paraId="397DA81C">
      <w:pPr>
        <w:pStyle w:val="4"/>
        <w:spacing w:line="297" w:lineRule="auto"/>
      </w:pPr>
    </w:p>
    <w:p w14:paraId="041B6ACD">
      <w:pPr>
        <w:pStyle w:val="4"/>
        <w:spacing w:before="69" w:line="234" w:lineRule="auto"/>
        <w:ind w:left="427"/>
        <w:outlineLvl w:val="1"/>
        <w:rPr>
          <w:sz w:val="24"/>
          <w:szCs w:val="24"/>
        </w:rPr>
      </w:pPr>
      <w:r>
        <w:rPr>
          <w:color w:val="174174"/>
          <w:spacing w:val="-9"/>
          <w:sz w:val="24"/>
          <w:szCs w:val="24"/>
        </w:rPr>
        <w:t>Refined Products Consumption (Argentina 2023-2028)</w:t>
      </w:r>
    </w:p>
    <w:p w14:paraId="0707A5F3">
      <w:pPr>
        <w:spacing w:line="42" w:lineRule="exact"/>
      </w:pPr>
    </w:p>
    <w:tbl>
      <w:tblPr>
        <w:tblStyle w:val="7"/>
        <w:tblW w:w="10204" w:type="dxa"/>
        <w:tblInd w:w="35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574"/>
        <w:gridCol w:w="928"/>
        <w:gridCol w:w="962"/>
        <w:gridCol w:w="935"/>
        <w:gridCol w:w="935"/>
        <w:gridCol w:w="935"/>
        <w:gridCol w:w="935"/>
      </w:tblGrid>
      <w:tr w14:paraId="0B11341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7" w:hRule="atLeast"/>
        </w:trPr>
        <w:tc>
          <w:tcPr>
            <w:tcW w:w="4574" w:type="dxa"/>
            <w:tcBorders>
              <w:top w:val="single" w:color="D7DADB" w:sz="4" w:space="0"/>
              <w:bottom w:val="single" w:color="D7DADB" w:sz="4" w:space="0"/>
              <w:right w:val="single" w:color="D7DADB" w:sz="6" w:space="0"/>
            </w:tcBorders>
            <w:vAlign w:val="top"/>
          </w:tcPr>
          <w:p w14:paraId="39A2C396">
            <w:pPr>
              <w:pStyle w:val="8"/>
              <w:spacing w:before="75" w:line="243" w:lineRule="exact"/>
              <w:ind w:left="13"/>
            </w:pPr>
            <w:r>
              <w:rPr>
                <w:b/>
                <w:bCs/>
                <w:color w:val="5F6A72"/>
                <w:spacing w:val="-6"/>
                <w:position w:val="1"/>
              </w:rPr>
              <w:t>Indicator</w:t>
            </w:r>
          </w:p>
        </w:tc>
        <w:tc>
          <w:tcPr>
            <w:tcW w:w="928" w:type="dxa"/>
            <w:tcBorders>
              <w:top w:val="single" w:color="D7DADB" w:sz="4" w:space="0"/>
              <w:left w:val="single" w:color="D7DADB" w:sz="6" w:space="0"/>
              <w:bottom w:val="single" w:color="D7DADB" w:sz="4" w:space="0"/>
            </w:tcBorders>
            <w:vAlign w:val="top"/>
          </w:tcPr>
          <w:p w14:paraId="645F2855">
            <w:pPr>
              <w:pStyle w:val="8"/>
              <w:spacing w:before="75" w:line="243" w:lineRule="exact"/>
              <w:ind w:left="440"/>
            </w:pPr>
            <w:r>
              <w:rPr>
                <w:b/>
                <w:bCs/>
                <w:color w:val="5F6A72"/>
                <w:spacing w:val="-4"/>
                <w:position w:val="1"/>
              </w:rPr>
              <w:t>2023</w:t>
            </w:r>
          </w:p>
        </w:tc>
        <w:tc>
          <w:tcPr>
            <w:tcW w:w="962" w:type="dxa"/>
            <w:tcBorders>
              <w:top w:val="single" w:color="D7DADB" w:sz="4" w:space="0"/>
              <w:bottom w:val="single" w:color="D7DADB" w:sz="4" w:space="0"/>
            </w:tcBorders>
            <w:vAlign w:val="top"/>
          </w:tcPr>
          <w:p w14:paraId="29890BD9">
            <w:pPr>
              <w:pStyle w:val="8"/>
              <w:spacing w:before="75" w:line="243" w:lineRule="exact"/>
              <w:ind w:left="413"/>
            </w:pPr>
            <w:r>
              <w:rPr>
                <w:b/>
                <w:bCs/>
                <w:color w:val="5F6A72"/>
                <w:spacing w:val="-4"/>
                <w:position w:val="1"/>
              </w:rPr>
              <w:t>2024e</w:t>
            </w:r>
          </w:p>
        </w:tc>
        <w:tc>
          <w:tcPr>
            <w:tcW w:w="935" w:type="dxa"/>
            <w:tcBorders>
              <w:top w:val="single" w:color="D7DADB" w:sz="4" w:space="0"/>
              <w:bottom w:val="single" w:color="D7DADB" w:sz="4" w:space="0"/>
            </w:tcBorders>
            <w:vAlign w:val="top"/>
          </w:tcPr>
          <w:p w14:paraId="45919919">
            <w:pPr>
              <w:pStyle w:val="8"/>
              <w:spacing w:before="75" w:line="243" w:lineRule="exact"/>
              <w:ind w:left="420"/>
            </w:pPr>
            <w:r>
              <w:rPr>
                <w:b/>
                <w:bCs/>
                <w:color w:val="5F6A72"/>
                <w:spacing w:val="-1"/>
                <w:position w:val="1"/>
              </w:rPr>
              <w:t>2025f</w:t>
            </w:r>
          </w:p>
        </w:tc>
        <w:tc>
          <w:tcPr>
            <w:tcW w:w="935" w:type="dxa"/>
            <w:tcBorders>
              <w:top w:val="single" w:color="D7DADB" w:sz="4" w:space="0"/>
              <w:bottom w:val="single" w:color="D7DADB" w:sz="4" w:space="0"/>
            </w:tcBorders>
            <w:vAlign w:val="top"/>
          </w:tcPr>
          <w:p w14:paraId="3E097227">
            <w:pPr>
              <w:pStyle w:val="8"/>
              <w:spacing w:before="75" w:line="243" w:lineRule="exact"/>
              <w:ind w:left="419"/>
            </w:pPr>
            <w:r>
              <w:rPr>
                <w:b/>
                <w:bCs/>
                <w:color w:val="5F6A72"/>
                <w:spacing w:val="-1"/>
                <w:position w:val="1"/>
              </w:rPr>
              <w:t>2026f</w:t>
            </w:r>
          </w:p>
        </w:tc>
        <w:tc>
          <w:tcPr>
            <w:tcW w:w="935" w:type="dxa"/>
            <w:tcBorders>
              <w:top w:val="single" w:color="D7DADB" w:sz="4" w:space="0"/>
              <w:bottom w:val="single" w:color="D7DADB" w:sz="4" w:space="0"/>
            </w:tcBorders>
            <w:vAlign w:val="top"/>
          </w:tcPr>
          <w:p w14:paraId="2783CF05">
            <w:pPr>
              <w:pStyle w:val="8"/>
              <w:spacing w:before="75" w:line="243" w:lineRule="exact"/>
              <w:ind w:left="419"/>
            </w:pPr>
            <w:r>
              <w:rPr>
                <w:b/>
                <w:bCs/>
                <w:color w:val="5F6A72"/>
                <w:spacing w:val="-1"/>
                <w:position w:val="1"/>
              </w:rPr>
              <w:t>2027f</w:t>
            </w:r>
          </w:p>
        </w:tc>
        <w:tc>
          <w:tcPr>
            <w:tcW w:w="935" w:type="dxa"/>
            <w:tcBorders>
              <w:top w:val="single" w:color="D7DADB" w:sz="4" w:space="0"/>
              <w:bottom w:val="single" w:color="D7DADB" w:sz="4" w:space="0"/>
            </w:tcBorders>
            <w:vAlign w:val="top"/>
          </w:tcPr>
          <w:p w14:paraId="171ECDDF">
            <w:pPr>
              <w:pStyle w:val="8"/>
              <w:spacing w:before="75" w:line="243" w:lineRule="exact"/>
              <w:ind w:left="419"/>
            </w:pPr>
            <w:r>
              <w:rPr>
                <w:b/>
                <w:bCs/>
                <w:color w:val="5F6A72"/>
                <w:spacing w:val="-1"/>
                <w:position w:val="1"/>
              </w:rPr>
              <w:t>2028f</w:t>
            </w:r>
          </w:p>
        </w:tc>
      </w:tr>
      <w:tr w14:paraId="05BA4D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574" w:type="dxa"/>
            <w:tcBorders>
              <w:top w:val="single" w:color="D7DADB" w:sz="4" w:space="0"/>
              <w:bottom w:val="single" w:color="D7DADB" w:sz="4" w:space="0"/>
              <w:right w:val="single" w:color="D7DADB" w:sz="6" w:space="0"/>
            </w:tcBorders>
            <w:vAlign w:val="top"/>
          </w:tcPr>
          <w:p w14:paraId="47259DC5">
            <w:pPr>
              <w:pStyle w:val="8"/>
              <w:spacing w:before="71" w:line="236" w:lineRule="auto"/>
              <w:ind w:left="18"/>
            </w:pPr>
            <w:r>
              <w:rPr>
                <w:color w:val="2A8ABF"/>
                <w:spacing w:val="-5"/>
              </w:rPr>
              <w:t>Refined products consumption,</w:t>
            </w:r>
            <w:r>
              <w:rPr>
                <w:color w:val="2A8ABF"/>
                <w:spacing w:val="-7"/>
              </w:rPr>
              <w:t xml:space="preserve"> </w:t>
            </w:r>
            <w:r>
              <w:rPr>
                <w:color w:val="2A8ABF"/>
                <w:spacing w:val="-5"/>
              </w:rPr>
              <w:t>000b/d</w:t>
            </w:r>
          </w:p>
        </w:tc>
        <w:tc>
          <w:tcPr>
            <w:tcW w:w="928" w:type="dxa"/>
            <w:tcBorders>
              <w:top w:val="single" w:color="D7DADB" w:sz="4" w:space="0"/>
              <w:left w:val="single" w:color="D7DADB" w:sz="6" w:space="0"/>
              <w:bottom w:val="single" w:color="D7DADB" w:sz="4" w:space="0"/>
            </w:tcBorders>
            <w:vAlign w:val="top"/>
          </w:tcPr>
          <w:p w14:paraId="7D40B983">
            <w:pPr>
              <w:pStyle w:val="8"/>
              <w:spacing w:before="71" w:line="237" w:lineRule="exact"/>
              <w:ind w:left="406"/>
            </w:pPr>
            <w:r>
              <w:rPr>
                <w:color w:val="5F6A72"/>
                <w:spacing w:val="-6"/>
                <w:position w:val="1"/>
              </w:rPr>
              <w:t>748.8</w:t>
            </w:r>
          </w:p>
        </w:tc>
        <w:tc>
          <w:tcPr>
            <w:tcW w:w="962" w:type="dxa"/>
            <w:tcBorders>
              <w:top w:val="single" w:color="D7DADB" w:sz="4" w:space="0"/>
              <w:bottom w:val="single" w:color="D7DADB" w:sz="4" w:space="0"/>
            </w:tcBorders>
            <w:vAlign w:val="top"/>
          </w:tcPr>
          <w:p w14:paraId="0E7895F0">
            <w:pPr>
              <w:pStyle w:val="8"/>
              <w:spacing w:before="71" w:line="237" w:lineRule="exact"/>
              <w:ind w:left="474"/>
            </w:pPr>
            <w:r>
              <w:rPr>
                <w:color w:val="5F6A72"/>
                <w:spacing w:val="-6"/>
                <w:position w:val="1"/>
              </w:rPr>
              <w:t>723.4</w:t>
            </w:r>
          </w:p>
        </w:tc>
        <w:tc>
          <w:tcPr>
            <w:tcW w:w="935" w:type="dxa"/>
            <w:tcBorders>
              <w:top w:val="single" w:color="D7DADB" w:sz="4" w:space="0"/>
              <w:bottom w:val="single" w:color="D7DADB" w:sz="4" w:space="0"/>
            </w:tcBorders>
            <w:vAlign w:val="top"/>
          </w:tcPr>
          <w:p w14:paraId="35EB9697">
            <w:pPr>
              <w:pStyle w:val="8"/>
              <w:spacing w:before="71" w:line="237" w:lineRule="exact"/>
              <w:ind w:left="447"/>
            </w:pPr>
            <w:r>
              <w:rPr>
                <w:color w:val="5F6A72"/>
                <w:spacing w:val="-6"/>
                <w:position w:val="1"/>
              </w:rPr>
              <w:t>741.5</w:t>
            </w:r>
          </w:p>
        </w:tc>
        <w:tc>
          <w:tcPr>
            <w:tcW w:w="935" w:type="dxa"/>
            <w:tcBorders>
              <w:top w:val="single" w:color="D7DADB" w:sz="4" w:space="0"/>
              <w:bottom w:val="single" w:color="D7DADB" w:sz="4" w:space="0"/>
            </w:tcBorders>
            <w:vAlign w:val="top"/>
          </w:tcPr>
          <w:p w14:paraId="5C5CB0A9">
            <w:pPr>
              <w:pStyle w:val="8"/>
              <w:spacing w:before="71" w:line="237" w:lineRule="exact"/>
              <w:ind w:left="446"/>
            </w:pPr>
            <w:r>
              <w:rPr>
                <w:color w:val="5F6A72"/>
                <w:spacing w:val="-6"/>
                <w:position w:val="1"/>
              </w:rPr>
              <w:t>756.3</w:t>
            </w:r>
          </w:p>
        </w:tc>
        <w:tc>
          <w:tcPr>
            <w:tcW w:w="935" w:type="dxa"/>
            <w:tcBorders>
              <w:top w:val="single" w:color="D7DADB" w:sz="4" w:space="0"/>
              <w:bottom w:val="single" w:color="D7DADB" w:sz="4" w:space="0"/>
            </w:tcBorders>
            <w:vAlign w:val="top"/>
          </w:tcPr>
          <w:p w14:paraId="5E1BD770">
            <w:pPr>
              <w:pStyle w:val="8"/>
              <w:spacing w:before="71" w:line="237" w:lineRule="exact"/>
              <w:ind w:left="446"/>
            </w:pPr>
            <w:r>
              <w:rPr>
                <w:color w:val="5F6A72"/>
                <w:spacing w:val="-6"/>
                <w:position w:val="1"/>
              </w:rPr>
              <w:t>768.8</w:t>
            </w:r>
          </w:p>
        </w:tc>
        <w:tc>
          <w:tcPr>
            <w:tcW w:w="935" w:type="dxa"/>
            <w:tcBorders>
              <w:top w:val="single" w:color="D7DADB" w:sz="4" w:space="0"/>
              <w:bottom w:val="single" w:color="D7DADB" w:sz="4" w:space="0"/>
            </w:tcBorders>
            <w:vAlign w:val="top"/>
          </w:tcPr>
          <w:p w14:paraId="079E9F24">
            <w:pPr>
              <w:pStyle w:val="8"/>
              <w:spacing w:before="71" w:line="237" w:lineRule="exact"/>
              <w:ind w:left="446"/>
            </w:pPr>
            <w:r>
              <w:rPr>
                <w:color w:val="5F6A72"/>
                <w:spacing w:val="-6"/>
                <w:position w:val="1"/>
              </w:rPr>
              <w:t>779.5</w:t>
            </w:r>
          </w:p>
        </w:tc>
      </w:tr>
      <w:tr w14:paraId="00A796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574" w:type="dxa"/>
            <w:tcBorders>
              <w:top w:val="single" w:color="D7DADB" w:sz="4" w:space="0"/>
              <w:bottom w:val="single" w:color="333333" w:sz="4" w:space="0"/>
              <w:right w:val="single" w:color="D7DADB" w:sz="6" w:space="0"/>
            </w:tcBorders>
            <w:shd w:val="clear" w:color="auto" w:fill="EAF9FF"/>
            <w:vAlign w:val="top"/>
          </w:tcPr>
          <w:p w14:paraId="667BC909">
            <w:pPr>
              <w:pStyle w:val="8"/>
              <w:spacing w:before="72" w:line="234" w:lineRule="auto"/>
              <w:ind w:left="18"/>
            </w:pPr>
            <w:r>
              <w:rPr>
                <w:color w:val="2A8ABF"/>
                <w:spacing w:val="-7"/>
              </w:rPr>
              <w:t>Refined products consumption,</w:t>
            </w:r>
            <w:r>
              <w:rPr>
                <w:color w:val="2A8ABF"/>
                <w:spacing w:val="-6"/>
              </w:rPr>
              <w:t xml:space="preserve"> </w:t>
            </w:r>
            <w:r>
              <w:rPr>
                <w:color w:val="2A8ABF"/>
                <w:spacing w:val="-7"/>
              </w:rPr>
              <w:t>%</w:t>
            </w:r>
            <w:r>
              <w:rPr>
                <w:color w:val="2A8ABF"/>
                <w:spacing w:val="-18"/>
              </w:rPr>
              <w:t xml:space="preserve"> </w:t>
            </w:r>
            <w:r>
              <w:rPr>
                <w:color w:val="2A8ABF"/>
                <w:spacing w:val="-7"/>
              </w:rPr>
              <w:t>y-o-y</w:t>
            </w:r>
          </w:p>
        </w:tc>
        <w:tc>
          <w:tcPr>
            <w:tcW w:w="928" w:type="dxa"/>
            <w:tcBorders>
              <w:top w:val="single" w:color="D7DADB" w:sz="4" w:space="0"/>
              <w:left w:val="single" w:color="D7DADB" w:sz="6" w:space="0"/>
              <w:bottom w:val="single" w:color="333333" w:sz="4" w:space="0"/>
            </w:tcBorders>
            <w:shd w:val="clear" w:color="auto" w:fill="EAF9FF"/>
            <w:vAlign w:val="top"/>
          </w:tcPr>
          <w:p w14:paraId="438618AD">
            <w:pPr>
              <w:pStyle w:val="8"/>
              <w:spacing w:before="72" w:line="240" w:lineRule="exact"/>
              <w:ind w:left="547"/>
            </w:pPr>
            <w:r>
              <w:rPr>
                <w:color w:val="5F6A72"/>
                <w:spacing w:val="-6"/>
                <w:position w:val="1"/>
              </w:rPr>
              <w:t>-1.4</w:t>
            </w:r>
          </w:p>
        </w:tc>
        <w:tc>
          <w:tcPr>
            <w:tcW w:w="962" w:type="dxa"/>
            <w:tcBorders>
              <w:top w:val="single" w:color="D7DADB" w:sz="4" w:space="0"/>
              <w:bottom w:val="single" w:color="333333" w:sz="4" w:space="0"/>
            </w:tcBorders>
            <w:shd w:val="clear" w:color="auto" w:fill="EAF9FF"/>
            <w:vAlign w:val="top"/>
          </w:tcPr>
          <w:p w14:paraId="484E0F8B">
            <w:pPr>
              <w:pStyle w:val="8"/>
              <w:spacing w:before="72" w:line="237" w:lineRule="exact"/>
              <w:ind w:left="615"/>
            </w:pPr>
            <w:r>
              <w:rPr>
                <w:color w:val="5F6A72"/>
                <w:spacing w:val="-6"/>
                <w:position w:val="1"/>
              </w:rPr>
              <w:t>-3.4</w:t>
            </w:r>
          </w:p>
        </w:tc>
        <w:tc>
          <w:tcPr>
            <w:tcW w:w="935" w:type="dxa"/>
            <w:tcBorders>
              <w:top w:val="single" w:color="D7DADB" w:sz="4" w:space="0"/>
              <w:bottom w:val="single" w:color="333333" w:sz="4" w:space="0"/>
            </w:tcBorders>
            <w:shd w:val="clear" w:color="auto" w:fill="EAF9FF"/>
            <w:vAlign w:val="top"/>
          </w:tcPr>
          <w:p w14:paraId="68EC389A">
            <w:pPr>
              <w:pStyle w:val="8"/>
              <w:spacing w:before="72" w:line="238" w:lineRule="exact"/>
              <w:ind w:left="644"/>
            </w:pPr>
            <w:r>
              <w:rPr>
                <w:color w:val="5F6A72"/>
                <w:spacing w:val="-6"/>
                <w:position w:val="1"/>
              </w:rPr>
              <w:t>2.5</w:t>
            </w:r>
          </w:p>
        </w:tc>
        <w:tc>
          <w:tcPr>
            <w:tcW w:w="935" w:type="dxa"/>
            <w:tcBorders>
              <w:top w:val="single" w:color="D7DADB" w:sz="4" w:space="0"/>
              <w:bottom w:val="single" w:color="333333" w:sz="4" w:space="0"/>
            </w:tcBorders>
            <w:shd w:val="clear" w:color="auto" w:fill="EAF9FF"/>
            <w:vAlign w:val="top"/>
          </w:tcPr>
          <w:p w14:paraId="363207E7">
            <w:pPr>
              <w:pStyle w:val="8"/>
              <w:spacing w:before="72" w:line="238" w:lineRule="exact"/>
              <w:ind w:left="644"/>
            </w:pPr>
            <w:r>
              <w:rPr>
                <w:color w:val="5F6A72"/>
                <w:spacing w:val="-6"/>
                <w:position w:val="1"/>
              </w:rPr>
              <w:t>2.0</w:t>
            </w:r>
          </w:p>
        </w:tc>
        <w:tc>
          <w:tcPr>
            <w:tcW w:w="935" w:type="dxa"/>
            <w:tcBorders>
              <w:top w:val="single" w:color="D7DADB" w:sz="4" w:space="0"/>
              <w:bottom w:val="single" w:color="333333" w:sz="4" w:space="0"/>
            </w:tcBorders>
            <w:shd w:val="clear" w:color="auto" w:fill="EAF9FF"/>
            <w:vAlign w:val="top"/>
          </w:tcPr>
          <w:p w14:paraId="4015A5E8">
            <w:pPr>
              <w:pStyle w:val="8"/>
              <w:spacing w:before="72" w:line="238" w:lineRule="exact"/>
              <w:ind w:left="648"/>
            </w:pPr>
            <w:r>
              <w:rPr>
                <w:color w:val="5F6A72"/>
                <w:spacing w:val="-7"/>
                <w:position w:val="1"/>
              </w:rPr>
              <w:t>1.6</w:t>
            </w:r>
          </w:p>
        </w:tc>
        <w:tc>
          <w:tcPr>
            <w:tcW w:w="935" w:type="dxa"/>
            <w:tcBorders>
              <w:top w:val="single" w:color="D7DADB" w:sz="4" w:space="0"/>
              <w:bottom w:val="single" w:color="333333" w:sz="4" w:space="0"/>
            </w:tcBorders>
            <w:shd w:val="clear" w:color="auto" w:fill="EAF9FF"/>
            <w:vAlign w:val="top"/>
          </w:tcPr>
          <w:p w14:paraId="27BDA1FA">
            <w:pPr>
              <w:pStyle w:val="8"/>
              <w:spacing w:before="72" w:line="240" w:lineRule="exact"/>
              <w:ind w:left="647"/>
            </w:pPr>
            <w:r>
              <w:rPr>
                <w:color w:val="5F6A72"/>
                <w:spacing w:val="-7"/>
                <w:position w:val="1"/>
              </w:rPr>
              <w:t>1.4</w:t>
            </w:r>
          </w:p>
        </w:tc>
      </w:tr>
      <w:tr w14:paraId="0C330C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78" w:hRule="atLeast"/>
        </w:trPr>
        <w:tc>
          <w:tcPr>
            <w:tcW w:w="10204" w:type="dxa"/>
            <w:gridSpan w:val="7"/>
            <w:tcBorders>
              <w:top w:val="single" w:color="333333" w:sz="4" w:space="0"/>
              <w:bottom w:val="single" w:color="D7DADB" w:sz="4" w:space="0"/>
            </w:tcBorders>
            <w:vAlign w:val="top"/>
          </w:tcPr>
          <w:p w14:paraId="18B0AAC8">
            <w:pPr>
              <w:pStyle w:val="8"/>
              <w:spacing w:line="242" w:lineRule="auto"/>
              <w:ind w:left="13"/>
              <w:rPr>
                <w:sz w:val="15"/>
                <w:szCs w:val="15"/>
              </w:rPr>
            </w:pPr>
            <w:r>
              <w:rPr>
                <w:i/>
                <w:iCs/>
                <w:color w:val="333333"/>
                <w:spacing w:val="-3"/>
                <w:w w:val="92"/>
                <w:sz w:val="15"/>
                <w:szCs w:val="15"/>
              </w:rPr>
              <w:t>e/f</w:t>
            </w:r>
            <w:r>
              <w:rPr>
                <w:i/>
                <w:iCs/>
                <w:color w:val="333333"/>
                <w:spacing w:val="-24"/>
                <w:sz w:val="15"/>
                <w:szCs w:val="15"/>
              </w:rPr>
              <w:t xml:space="preserve"> </w:t>
            </w:r>
            <w:r>
              <w:rPr>
                <w:i/>
                <w:iCs/>
                <w:color w:val="333333"/>
                <w:spacing w:val="-3"/>
                <w:w w:val="92"/>
                <w:sz w:val="15"/>
                <w:szCs w:val="15"/>
              </w:rPr>
              <w:t>= BMI estimate/f</w:t>
            </w:r>
            <w:r>
              <w:rPr>
                <w:i/>
                <w:iCs/>
                <w:color w:val="333333"/>
                <w:spacing w:val="-4"/>
                <w:w w:val="92"/>
                <w:sz w:val="15"/>
                <w:szCs w:val="15"/>
              </w:rPr>
              <w:t>orecast. Source: EIA, BMI</w:t>
            </w:r>
          </w:p>
          <w:p w14:paraId="1B8256EA">
            <w:pPr>
              <w:pStyle w:val="8"/>
              <w:spacing w:line="321" w:lineRule="auto"/>
              <w:rPr>
                <w:sz w:val="21"/>
              </w:rPr>
            </w:pPr>
          </w:p>
          <w:p w14:paraId="21681344">
            <w:pPr>
              <w:pStyle w:val="8"/>
              <w:spacing w:before="69" w:line="234" w:lineRule="auto"/>
              <w:ind w:left="67"/>
              <w:outlineLvl w:val="1"/>
              <w:rPr>
                <w:sz w:val="24"/>
                <w:szCs w:val="24"/>
              </w:rPr>
            </w:pPr>
            <w:r>
              <w:rPr>
                <w:color w:val="174174"/>
                <w:spacing w:val="-9"/>
                <w:sz w:val="24"/>
                <w:szCs w:val="24"/>
              </w:rPr>
              <w:t>Refined Products Consumption (Argentina 2029-2034)</w:t>
            </w:r>
          </w:p>
        </w:tc>
      </w:tr>
      <w:tr w14:paraId="52EBA6F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574" w:type="dxa"/>
            <w:tcBorders>
              <w:top w:val="single" w:color="D7DADB" w:sz="4" w:space="0"/>
              <w:bottom w:val="single" w:color="D7DADB" w:sz="4" w:space="0"/>
              <w:right w:val="single" w:color="D7DADB" w:sz="6" w:space="0"/>
            </w:tcBorders>
            <w:vAlign w:val="top"/>
          </w:tcPr>
          <w:p w14:paraId="7BDE49CB">
            <w:pPr>
              <w:pStyle w:val="8"/>
              <w:spacing w:before="74" w:line="243" w:lineRule="exact"/>
              <w:ind w:left="13"/>
            </w:pPr>
            <w:r>
              <w:rPr>
                <w:b/>
                <w:bCs/>
                <w:color w:val="5F6A72"/>
                <w:spacing w:val="-6"/>
                <w:position w:val="1"/>
              </w:rPr>
              <w:t>Indicator</w:t>
            </w:r>
          </w:p>
        </w:tc>
        <w:tc>
          <w:tcPr>
            <w:tcW w:w="928" w:type="dxa"/>
            <w:tcBorders>
              <w:top w:val="single" w:color="D7DADB" w:sz="4" w:space="0"/>
              <w:left w:val="single" w:color="D7DADB" w:sz="6" w:space="0"/>
              <w:bottom w:val="single" w:color="D7DADB" w:sz="4" w:space="0"/>
            </w:tcBorders>
            <w:vAlign w:val="top"/>
          </w:tcPr>
          <w:p w14:paraId="787304FE">
            <w:pPr>
              <w:pStyle w:val="8"/>
              <w:spacing w:before="74" w:line="243" w:lineRule="exact"/>
              <w:ind w:left="426"/>
            </w:pPr>
            <w:r>
              <w:rPr>
                <w:b/>
                <w:bCs/>
                <w:color w:val="5F6A72"/>
                <w:spacing w:val="-1"/>
                <w:position w:val="1"/>
              </w:rPr>
              <w:t>2029f</w:t>
            </w:r>
          </w:p>
        </w:tc>
        <w:tc>
          <w:tcPr>
            <w:tcW w:w="962" w:type="dxa"/>
            <w:tcBorders>
              <w:top w:val="single" w:color="D7DADB" w:sz="4" w:space="0"/>
              <w:bottom w:val="single" w:color="D7DADB" w:sz="4" w:space="0"/>
            </w:tcBorders>
            <w:vAlign w:val="top"/>
          </w:tcPr>
          <w:p w14:paraId="1152A8D0">
            <w:pPr>
              <w:pStyle w:val="8"/>
              <w:spacing w:before="74" w:line="243" w:lineRule="exact"/>
              <w:ind w:left="442"/>
            </w:pPr>
            <w:r>
              <w:rPr>
                <w:b/>
                <w:bCs/>
                <w:color w:val="5F6A72"/>
                <w:spacing w:val="-1"/>
                <w:position w:val="1"/>
              </w:rPr>
              <w:t>2030f</w:t>
            </w:r>
          </w:p>
        </w:tc>
        <w:tc>
          <w:tcPr>
            <w:tcW w:w="935" w:type="dxa"/>
            <w:tcBorders>
              <w:top w:val="single" w:color="D7DADB" w:sz="4" w:space="0"/>
              <w:bottom w:val="single" w:color="D7DADB" w:sz="4" w:space="0"/>
            </w:tcBorders>
            <w:vAlign w:val="top"/>
          </w:tcPr>
          <w:p w14:paraId="70DA47DE">
            <w:pPr>
              <w:pStyle w:val="8"/>
              <w:spacing w:before="74" w:line="243" w:lineRule="exact"/>
              <w:ind w:left="416"/>
            </w:pPr>
            <w:r>
              <w:rPr>
                <w:b/>
                <w:bCs/>
                <w:color w:val="5F6A72"/>
                <w:spacing w:val="-1"/>
                <w:position w:val="1"/>
              </w:rPr>
              <w:t>2031f</w:t>
            </w:r>
          </w:p>
        </w:tc>
        <w:tc>
          <w:tcPr>
            <w:tcW w:w="935" w:type="dxa"/>
            <w:tcBorders>
              <w:top w:val="single" w:color="D7DADB" w:sz="4" w:space="0"/>
              <w:bottom w:val="single" w:color="D7DADB" w:sz="4" w:space="0"/>
            </w:tcBorders>
            <w:vAlign w:val="top"/>
          </w:tcPr>
          <w:p w14:paraId="6A8AFFC9">
            <w:pPr>
              <w:pStyle w:val="8"/>
              <w:spacing w:before="74" w:line="243" w:lineRule="exact"/>
              <w:ind w:left="417"/>
            </w:pPr>
            <w:r>
              <w:rPr>
                <w:b/>
                <w:bCs/>
                <w:color w:val="5F6A72"/>
                <w:spacing w:val="-1"/>
                <w:position w:val="1"/>
              </w:rPr>
              <w:t>2032f</w:t>
            </w:r>
          </w:p>
        </w:tc>
        <w:tc>
          <w:tcPr>
            <w:tcW w:w="935" w:type="dxa"/>
            <w:tcBorders>
              <w:top w:val="single" w:color="D7DADB" w:sz="4" w:space="0"/>
              <w:bottom w:val="single" w:color="D7DADB" w:sz="4" w:space="0"/>
            </w:tcBorders>
            <w:vAlign w:val="top"/>
          </w:tcPr>
          <w:p w14:paraId="30344DAE">
            <w:pPr>
              <w:pStyle w:val="8"/>
              <w:spacing w:before="74" w:line="243" w:lineRule="exact"/>
              <w:ind w:left="418"/>
            </w:pPr>
            <w:r>
              <w:rPr>
                <w:b/>
                <w:bCs/>
                <w:color w:val="5F6A72"/>
                <w:spacing w:val="-1"/>
                <w:position w:val="1"/>
              </w:rPr>
              <w:t>2033f</w:t>
            </w:r>
          </w:p>
        </w:tc>
        <w:tc>
          <w:tcPr>
            <w:tcW w:w="935" w:type="dxa"/>
            <w:tcBorders>
              <w:top w:val="single" w:color="D7DADB" w:sz="4" w:space="0"/>
              <w:bottom w:val="single" w:color="D7DADB" w:sz="4" w:space="0"/>
            </w:tcBorders>
            <w:vAlign w:val="top"/>
          </w:tcPr>
          <w:p w14:paraId="1392B399">
            <w:pPr>
              <w:pStyle w:val="8"/>
              <w:spacing w:before="74" w:line="243" w:lineRule="exact"/>
              <w:ind w:left="419"/>
            </w:pPr>
            <w:r>
              <w:rPr>
                <w:b/>
                <w:bCs/>
                <w:color w:val="5F6A72"/>
                <w:spacing w:val="-1"/>
                <w:position w:val="1"/>
              </w:rPr>
              <w:t>2034f</w:t>
            </w:r>
          </w:p>
        </w:tc>
      </w:tr>
      <w:tr w14:paraId="14307E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574" w:type="dxa"/>
            <w:tcBorders>
              <w:top w:val="single" w:color="D7DADB" w:sz="4" w:space="0"/>
              <w:bottom w:val="single" w:color="D7DADB" w:sz="4" w:space="0"/>
              <w:right w:val="single" w:color="D7DADB" w:sz="6" w:space="0"/>
            </w:tcBorders>
            <w:vAlign w:val="top"/>
          </w:tcPr>
          <w:p w14:paraId="6BA6D942">
            <w:pPr>
              <w:pStyle w:val="8"/>
              <w:spacing w:before="77" w:line="236" w:lineRule="auto"/>
              <w:ind w:left="18"/>
            </w:pPr>
            <w:r>
              <w:rPr>
                <w:color w:val="2A8ABF"/>
                <w:spacing w:val="-5"/>
              </w:rPr>
              <w:t>Refined products consumption,</w:t>
            </w:r>
            <w:r>
              <w:rPr>
                <w:color w:val="2A8ABF"/>
                <w:spacing w:val="-7"/>
              </w:rPr>
              <w:t xml:space="preserve"> </w:t>
            </w:r>
            <w:r>
              <w:rPr>
                <w:color w:val="2A8ABF"/>
                <w:spacing w:val="-5"/>
              </w:rPr>
              <w:t>000b/d</w:t>
            </w:r>
          </w:p>
        </w:tc>
        <w:tc>
          <w:tcPr>
            <w:tcW w:w="928" w:type="dxa"/>
            <w:tcBorders>
              <w:top w:val="single" w:color="D7DADB" w:sz="4" w:space="0"/>
              <w:left w:val="single" w:color="D7DADB" w:sz="6" w:space="0"/>
              <w:bottom w:val="single" w:color="D7DADB" w:sz="4" w:space="0"/>
            </w:tcBorders>
            <w:vAlign w:val="top"/>
          </w:tcPr>
          <w:p w14:paraId="1A06EFAE">
            <w:pPr>
              <w:pStyle w:val="8"/>
              <w:spacing w:before="77" w:line="238" w:lineRule="exact"/>
              <w:ind w:left="453"/>
            </w:pPr>
            <w:r>
              <w:rPr>
                <w:color w:val="5F6A72"/>
                <w:spacing w:val="-6"/>
                <w:position w:val="1"/>
              </w:rPr>
              <w:t>788.9</w:t>
            </w:r>
          </w:p>
        </w:tc>
        <w:tc>
          <w:tcPr>
            <w:tcW w:w="962" w:type="dxa"/>
            <w:tcBorders>
              <w:top w:val="single" w:color="D7DADB" w:sz="4" w:space="0"/>
              <w:bottom w:val="single" w:color="D7DADB" w:sz="4" w:space="0"/>
            </w:tcBorders>
            <w:vAlign w:val="top"/>
          </w:tcPr>
          <w:p w14:paraId="101C7455">
            <w:pPr>
              <w:pStyle w:val="8"/>
              <w:spacing w:before="77" w:line="238" w:lineRule="exact"/>
              <w:ind w:left="469"/>
            </w:pPr>
            <w:r>
              <w:rPr>
                <w:color w:val="5F6A72"/>
                <w:spacing w:val="-6"/>
                <w:position w:val="1"/>
              </w:rPr>
              <w:t>797.6</w:t>
            </w:r>
          </w:p>
        </w:tc>
        <w:tc>
          <w:tcPr>
            <w:tcW w:w="935" w:type="dxa"/>
            <w:tcBorders>
              <w:top w:val="single" w:color="D7DADB" w:sz="4" w:space="0"/>
              <w:bottom w:val="single" w:color="D7DADB" w:sz="4" w:space="0"/>
            </w:tcBorders>
            <w:vAlign w:val="top"/>
          </w:tcPr>
          <w:p w14:paraId="2DE999EA">
            <w:pPr>
              <w:pStyle w:val="8"/>
              <w:spacing w:before="77" w:line="238" w:lineRule="exact"/>
              <w:ind w:left="447"/>
            </w:pPr>
            <w:r>
              <w:rPr>
                <w:color w:val="5F6A72"/>
                <w:spacing w:val="-6"/>
                <w:position w:val="1"/>
              </w:rPr>
              <w:t>804.0</w:t>
            </w:r>
          </w:p>
        </w:tc>
        <w:tc>
          <w:tcPr>
            <w:tcW w:w="935" w:type="dxa"/>
            <w:tcBorders>
              <w:top w:val="single" w:color="D7DADB" w:sz="4" w:space="0"/>
              <w:bottom w:val="single" w:color="D7DADB" w:sz="4" w:space="0"/>
            </w:tcBorders>
            <w:vAlign w:val="top"/>
          </w:tcPr>
          <w:p w14:paraId="6211EA84">
            <w:pPr>
              <w:pStyle w:val="8"/>
              <w:spacing w:before="77" w:line="238" w:lineRule="exact"/>
              <w:ind w:left="448"/>
            </w:pPr>
            <w:r>
              <w:rPr>
                <w:color w:val="5F6A72"/>
                <w:spacing w:val="-6"/>
                <w:position w:val="1"/>
              </w:rPr>
              <w:t>808.0</w:t>
            </w:r>
          </w:p>
        </w:tc>
        <w:tc>
          <w:tcPr>
            <w:tcW w:w="935" w:type="dxa"/>
            <w:tcBorders>
              <w:top w:val="single" w:color="D7DADB" w:sz="4" w:space="0"/>
              <w:bottom w:val="single" w:color="D7DADB" w:sz="4" w:space="0"/>
            </w:tcBorders>
            <w:vAlign w:val="top"/>
          </w:tcPr>
          <w:p w14:paraId="030B483B">
            <w:pPr>
              <w:pStyle w:val="8"/>
              <w:spacing w:before="77" w:line="238" w:lineRule="exact"/>
              <w:ind w:left="449"/>
            </w:pPr>
            <w:r>
              <w:rPr>
                <w:color w:val="5F6A72"/>
                <w:spacing w:val="-6"/>
                <w:position w:val="1"/>
              </w:rPr>
              <w:t>810.4</w:t>
            </w:r>
          </w:p>
        </w:tc>
        <w:tc>
          <w:tcPr>
            <w:tcW w:w="935" w:type="dxa"/>
            <w:tcBorders>
              <w:top w:val="single" w:color="D7DADB" w:sz="4" w:space="0"/>
              <w:bottom w:val="single" w:color="D7DADB" w:sz="4" w:space="0"/>
            </w:tcBorders>
            <w:vAlign w:val="top"/>
          </w:tcPr>
          <w:p w14:paraId="0A86A2D4">
            <w:pPr>
              <w:pStyle w:val="8"/>
              <w:spacing w:before="77" w:line="238" w:lineRule="exact"/>
              <w:ind w:left="450"/>
            </w:pPr>
            <w:r>
              <w:rPr>
                <w:color w:val="5F6A72"/>
                <w:spacing w:val="-6"/>
                <w:position w:val="1"/>
              </w:rPr>
              <w:t>811.2</w:t>
            </w:r>
          </w:p>
        </w:tc>
      </w:tr>
      <w:tr w14:paraId="4D6708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7" w:hRule="atLeast"/>
        </w:trPr>
        <w:tc>
          <w:tcPr>
            <w:tcW w:w="4574" w:type="dxa"/>
            <w:tcBorders>
              <w:top w:val="single" w:color="D7DADB" w:sz="4" w:space="0"/>
              <w:bottom w:val="single" w:color="333333" w:sz="4" w:space="0"/>
              <w:right w:val="single" w:color="D7DADB" w:sz="6" w:space="0"/>
            </w:tcBorders>
            <w:shd w:val="clear" w:color="auto" w:fill="EAF9FF"/>
            <w:vAlign w:val="top"/>
          </w:tcPr>
          <w:p w14:paraId="57EB289A">
            <w:pPr>
              <w:pStyle w:val="8"/>
              <w:spacing w:before="78" w:line="234" w:lineRule="auto"/>
              <w:ind w:left="18"/>
            </w:pPr>
            <w:r>
              <w:rPr>
                <w:color w:val="2A8ABF"/>
                <w:spacing w:val="-7"/>
              </w:rPr>
              <w:t>Refined products consumption,</w:t>
            </w:r>
            <w:r>
              <w:rPr>
                <w:color w:val="2A8ABF"/>
                <w:spacing w:val="-6"/>
              </w:rPr>
              <w:t xml:space="preserve"> </w:t>
            </w:r>
            <w:r>
              <w:rPr>
                <w:color w:val="2A8ABF"/>
                <w:spacing w:val="-7"/>
              </w:rPr>
              <w:t>%</w:t>
            </w:r>
            <w:r>
              <w:rPr>
                <w:color w:val="2A8ABF"/>
                <w:spacing w:val="-18"/>
              </w:rPr>
              <w:t xml:space="preserve"> </w:t>
            </w:r>
            <w:r>
              <w:rPr>
                <w:color w:val="2A8ABF"/>
                <w:spacing w:val="-7"/>
              </w:rPr>
              <w:t>y-o-y</w:t>
            </w:r>
          </w:p>
        </w:tc>
        <w:tc>
          <w:tcPr>
            <w:tcW w:w="928" w:type="dxa"/>
            <w:tcBorders>
              <w:top w:val="single" w:color="D7DADB" w:sz="4" w:space="0"/>
              <w:left w:val="single" w:color="D7DADB" w:sz="6" w:space="0"/>
              <w:bottom w:val="single" w:color="333333" w:sz="4" w:space="0"/>
            </w:tcBorders>
            <w:shd w:val="clear" w:color="auto" w:fill="EAF9FF"/>
            <w:vAlign w:val="top"/>
          </w:tcPr>
          <w:p w14:paraId="1D508F13">
            <w:pPr>
              <w:pStyle w:val="8"/>
              <w:spacing w:before="78" w:line="240" w:lineRule="exact"/>
              <w:ind w:right="35"/>
              <w:jc w:val="right"/>
            </w:pPr>
            <w:r>
              <w:rPr>
                <w:color w:val="5F6A72"/>
                <w:spacing w:val="-7"/>
                <w:position w:val="1"/>
              </w:rPr>
              <w:t>1.2</w:t>
            </w:r>
          </w:p>
        </w:tc>
        <w:tc>
          <w:tcPr>
            <w:tcW w:w="962" w:type="dxa"/>
            <w:tcBorders>
              <w:top w:val="single" w:color="D7DADB" w:sz="4" w:space="0"/>
              <w:bottom w:val="single" w:color="333333" w:sz="4" w:space="0"/>
            </w:tcBorders>
            <w:shd w:val="clear" w:color="auto" w:fill="EAF9FF"/>
            <w:vAlign w:val="top"/>
          </w:tcPr>
          <w:p w14:paraId="72062991">
            <w:pPr>
              <w:pStyle w:val="8"/>
              <w:spacing w:before="78" w:line="240" w:lineRule="exact"/>
              <w:ind w:left="671"/>
            </w:pPr>
            <w:r>
              <w:rPr>
                <w:color w:val="5F6A72"/>
                <w:spacing w:val="-7"/>
                <w:position w:val="1"/>
              </w:rPr>
              <w:t>1.1</w:t>
            </w:r>
          </w:p>
        </w:tc>
        <w:tc>
          <w:tcPr>
            <w:tcW w:w="935" w:type="dxa"/>
            <w:tcBorders>
              <w:top w:val="single" w:color="D7DADB" w:sz="4" w:space="0"/>
              <w:bottom w:val="single" w:color="333333" w:sz="4" w:space="0"/>
            </w:tcBorders>
            <w:shd w:val="clear" w:color="auto" w:fill="EAF9FF"/>
            <w:vAlign w:val="top"/>
          </w:tcPr>
          <w:p w14:paraId="24E23285">
            <w:pPr>
              <w:pStyle w:val="8"/>
              <w:spacing w:before="78" w:line="238" w:lineRule="exact"/>
              <w:ind w:left="636"/>
            </w:pPr>
            <w:r>
              <w:rPr>
                <w:color w:val="5F6A72"/>
                <w:spacing w:val="-6"/>
                <w:position w:val="1"/>
              </w:rPr>
              <w:t>0.8</w:t>
            </w:r>
          </w:p>
        </w:tc>
        <w:tc>
          <w:tcPr>
            <w:tcW w:w="935" w:type="dxa"/>
            <w:tcBorders>
              <w:top w:val="single" w:color="D7DADB" w:sz="4" w:space="0"/>
              <w:bottom w:val="single" w:color="333333" w:sz="4" w:space="0"/>
            </w:tcBorders>
            <w:shd w:val="clear" w:color="auto" w:fill="EAF9FF"/>
            <w:vAlign w:val="top"/>
          </w:tcPr>
          <w:p w14:paraId="08BA1BA7">
            <w:pPr>
              <w:pStyle w:val="8"/>
              <w:spacing w:before="78" w:line="238" w:lineRule="exact"/>
              <w:ind w:left="637"/>
            </w:pPr>
            <w:r>
              <w:rPr>
                <w:color w:val="5F6A72"/>
                <w:spacing w:val="-6"/>
                <w:position w:val="1"/>
              </w:rPr>
              <w:t>0.5</w:t>
            </w:r>
          </w:p>
        </w:tc>
        <w:tc>
          <w:tcPr>
            <w:tcW w:w="935" w:type="dxa"/>
            <w:tcBorders>
              <w:top w:val="single" w:color="D7DADB" w:sz="4" w:space="0"/>
              <w:bottom w:val="single" w:color="333333" w:sz="4" w:space="0"/>
            </w:tcBorders>
            <w:shd w:val="clear" w:color="auto" w:fill="EAF9FF"/>
            <w:vAlign w:val="top"/>
          </w:tcPr>
          <w:p w14:paraId="6D1E98D1">
            <w:pPr>
              <w:pStyle w:val="8"/>
              <w:spacing w:before="78" w:line="238" w:lineRule="exact"/>
              <w:ind w:left="638"/>
            </w:pPr>
            <w:r>
              <w:rPr>
                <w:color w:val="5F6A72"/>
                <w:spacing w:val="-6"/>
                <w:position w:val="1"/>
              </w:rPr>
              <w:t>0.3</w:t>
            </w:r>
          </w:p>
        </w:tc>
        <w:tc>
          <w:tcPr>
            <w:tcW w:w="935" w:type="dxa"/>
            <w:tcBorders>
              <w:top w:val="single" w:color="D7DADB" w:sz="4" w:space="0"/>
              <w:bottom w:val="single" w:color="333333" w:sz="4" w:space="0"/>
            </w:tcBorders>
            <w:shd w:val="clear" w:color="auto" w:fill="EAF9FF"/>
            <w:vAlign w:val="top"/>
          </w:tcPr>
          <w:p w14:paraId="26A2BC24">
            <w:pPr>
              <w:pStyle w:val="8"/>
              <w:spacing w:before="78" w:line="238" w:lineRule="exact"/>
              <w:ind w:left="639"/>
            </w:pPr>
            <w:r>
              <w:rPr>
                <w:color w:val="5F6A72"/>
                <w:spacing w:val="-6"/>
                <w:position w:val="1"/>
              </w:rPr>
              <w:t>0.1</w:t>
            </w:r>
          </w:p>
        </w:tc>
      </w:tr>
    </w:tbl>
    <w:p w14:paraId="1F682050">
      <w:pPr>
        <w:pStyle w:val="4"/>
        <w:spacing w:line="175" w:lineRule="exact"/>
        <w:ind w:left="373"/>
        <w:rPr>
          <w:sz w:val="15"/>
          <w:szCs w:val="15"/>
        </w:rPr>
      </w:pPr>
      <w:r>
        <w:rPr>
          <w:i/>
          <w:iCs/>
          <w:color w:val="333333"/>
          <w:spacing w:val="-5"/>
          <w:w w:val="91"/>
          <w:position w:val="1"/>
          <w:sz w:val="15"/>
          <w:szCs w:val="15"/>
        </w:rPr>
        <w:t>f</w:t>
      </w:r>
      <w:r>
        <w:rPr>
          <w:i/>
          <w:iCs/>
          <w:color w:val="333333"/>
          <w:spacing w:val="-24"/>
          <w:position w:val="1"/>
          <w:sz w:val="15"/>
          <w:szCs w:val="15"/>
        </w:rPr>
        <w:t xml:space="preserve"> </w:t>
      </w:r>
      <w:r>
        <w:rPr>
          <w:i/>
          <w:iCs/>
          <w:color w:val="333333"/>
          <w:spacing w:val="-5"/>
          <w:w w:val="91"/>
          <w:position w:val="1"/>
          <w:sz w:val="15"/>
          <w:szCs w:val="15"/>
        </w:rPr>
        <w:t>= BMI forecast. Sou</w:t>
      </w:r>
      <w:r>
        <w:rPr>
          <w:i/>
          <w:iCs/>
          <w:color w:val="333333"/>
          <w:spacing w:val="-6"/>
          <w:w w:val="91"/>
          <w:position w:val="1"/>
          <w:sz w:val="15"/>
          <w:szCs w:val="15"/>
        </w:rPr>
        <w:t>rce: EIA, BMI</w:t>
      </w:r>
    </w:p>
    <w:p w14:paraId="6CFE50E2">
      <w:pPr>
        <w:spacing w:line="175" w:lineRule="exact"/>
        <w:rPr>
          <w:sz w:val="15"/>
          <w:szCs w:val="15"/>
        </w:rPr>
        <w:sectPr>
          <w:footerReference r:id="rId35" w:type="default"/>
          <w:pgSz w:w="11906" w:h="16838"/>
          <w:pgMar w:top="400" w:right="490" w:bottom="883" w:left="490" w:header="0" w:footer="0" w:gutter="0"/>
          <w:cols w:space="720" w:num="1"/>
        </w:sectPr>
      </w:pPr>
    </w:p>
    <w:p w14:paraId="1CE1278B">
      <w:pPr>
        <w:pStyle w:val="4"/>
        <w:spacing w:before="73" w:line="241" w:lineRule="auto"/>
        <w:ind w:left="7372"/>
        <w:rPr>
          <w:sz w:val="20"/>
          <w:szCs w:val="20"/>
        </w:rPr>
      </w:pPr>
      <w:r>
        <w:drawing>
          <wp:anchor distT="0" distB="0" distL="0" distR="0" simplePos="0" relativeHeight="25179238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93408" behindDoc="0" locked="0" layoutInCell="0" allowOverlap="1">
            <wp:simplePos x="0" y="0"/>
            <wp:positionH relativeFrom="page">
              <wp:posOffset>311150</wp:posOffset>
            </wp:positionH>
            <wp:positionV relativeFrom="page">
              <wp:posOffset>0</wp:posOffset>
            </wp:positionV>
            <wp:extent cx="19050" cy="814070"/>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AB298EC">
      <w:pPr>
        <w:pStyle w:val="4"/>
        <w:spacing w:line="278" w:lineRule="auto"/>
      </w:pPr>
    </w:p>
    <w:p w14:paraId="58785A43">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75C7EB8">
      <w:pPr>
        <w:pStyle w:val="4"/>
        <w:spacing w:line="246" w:lineRule="auto"/>
      </w:pPr>
    </w:p>
    <w:p w14:paraId="3BF4725C">
      <w:pPr>
        <w:pStyle w:val="4"/>
        <w:spacing w:line="247" w:lineRule="auto"/>
      </w:pPr>
    </w:p>
    <w:p w14:paraId="48B8E123">
      <w:pPr>
        <w:pStyle w:val="4"/>
        <w:spacing w:before="86" w:line="184" w:lineRule="auto"/>
        <w:ind w:left="374"/>
        <w:outlineLvl w:val="0"/>
        <w:rPr>
          <w:sz w:val="30"/>
          <w:szCs w:val="30"/>
        </w:rPr>
      </w:pPr>
      <w:bookmarkStart w:id="16" w:name="bookmark11"/>
      <w:bookmarkEnd w:id="16"/>
      <w:r>
        <w:rPr>
          <w:color w:val="2A8ABF"/>
          <w:spacing w:val="-16"/>
          <w:sz w:val="30"/>
          <w:szCs w:val="30"/>
        </w:rPr>
        <w:t>Gas Consumption</w:t>
      </w:r>
    </w:p>
    <w:p w14:paraId="52003512">
      <w:pPr>
        <w:pStyle w:val="4"/>
        <w:spacing w:line="271" w:lineRule="auto"/>
      </w:pPr>
    </w:p>
    <w:p w14:paraId="0971F4B0">
      <w:pPr>
        <w:pStyle w:val="4"/>
        <w:spacing w:before="58" w:line="233" w:lineRule="auto"/>
        <w:ind w:left="386"/>
        <w:rPr>
          <w:sz w:val="20"/>
          <w:szCs w:val="20"/>
        </w:rPr>
      </w:pPr>
      <w:r>
        <w:rPr>
          <w:b/>
          <w:bCs/>
          <w:i/>
          <w:iCs/>
          <w:color w:val="57585A"/>
          <w:spacing w:val="-6"/>
          <w:w w:val="95"/>
          <w:sz w:val="20"/>
          <w:szCs w:val="20"/>
        </w:rPr>
        <w:t xml:space="preserve">Key View: </w:t>
      </w:r>
      <w:r>
        <w:rPr>
          <w:i/>
          <w:iCs/>
          <w:color w:val="57585A"/>
          <w:spacing w:val="-6"/>
          <w:w w:val="95"/>
          <w:sz w:val="20"/>
          <w:szCs w:val="20"/>
        </w:rPr>
        <w:t>Economic recovery</w:t>
      </w:r>
      <w:r>
        <w:rPr>
          <w:i/>
          <w:iCs/>
          <w:color w:val="57585A"/>
          <w:spacing w:val="-17"/>
          <w:sz w:val="20"/>
          <w:szCs w:val="20"/>
        </w:rPr>
        <w:t xml:space="preserve"> </w:t>
      </w:r>
      <w:r>
        <w:rPr>
          <w:i/>
          <w:iCs/>
          <w:color w:val="57585A"/>
          <w:spacing w:val="-6"/>
          <w:w w:val="95"/>
          <w:sz w:val="20"/>
          <w:szCs w:val="20"/>
        </w:rPr>
        <w:t>will</w:t>
      </w:r>
      <w:r>
        <w:rPr>
          <w:i/>
          <w:iCs/>
          <w:color w:val="57585A"/>
          <w:spacing w:val="-19"/>
          <w:sz w:val="20"/>
          <w:szCs w:val="20"/>
        </w:rPr>
        <w:t xml:space="preserve"> </w:t>
      </w:r>
      <w:r>
        <w:rPr>
          <w:i/>
          <w:iCs/>
          <w:color w:val="57585A"/>
          <w:spacing w:val="-6"/>
          <w:w w:val="95"/>
          <w:sz w:val="20"/>
          <w:szCs w:val="20"/>
        </w:rPr>
        <w:t>support</w:t>
      </w:r>
      <w:r>
        <w:rPr>
          <w:i/>
          <w:iCs/>
          <w:color w:val="57585A"/>
          <w:spacing w:val="-19"/>
          <w:sz w:val="20"/>
          <w:szCs w:val="20"/>
        </w:rPr>
        <w:t xml:space="preserve"> </w:t>
      </w:r>
      <w:r>
        <w:rPr>
          <w:i/>
          <w:iCs/>
          <w:color w:val="57585A"/>
          <w:spacing w:val="-6"/>
          <w:w w:val="95"/>
          <w:sz w:val="20"/>
          <w:szCs w:val="20"/>
        </w:rPr>
        <w:t>a 2.5%y-o-y</w:t>
      </w:r>
      <w:r>
        <w:rPr>
          <w:i/>
          <w:iCs/>
          <w:color w:val="57585A"/>
          <w:spacing w:val="-32"/>
          <w:sz w:val="20"/>
          <w:szCs w:val="20"/>
        </w:rPr>
        <w:t xml:space="preserve"> </w:t>
      </w:r>
      <w:r>
        <w:rPr>
          <w:i/>
          <w:iCs/>
          <w:color w:val="57585A"/>
          <w:spacing w:val="-6"/>
          <w:w w:val="95"/>
          <w:sz w:val="20"/>
          <w:szCs w:val="20"/>
        </w:rPr>
        <w:t>growth in gas de</w:t>
      </w:r>
      <w:r>
        <w:rPr>
          <w:i/>
          <w:iCs/>
          <w:color w:val="57585A"/>
          <w:spacing w:val="-7"/>
          <w:w w:val="95"/>
          <w:sz w:val="20"/>
          <w:szCs w:val="20"/>
        </w:rPr>
        <w:t>mand</w:t>
      </w:r>
      <w:r>
        <w:rPr>
          <w:i/>
          <w:iCs/>
          <w:color w:val="57585A"/>
          <w:spacing w:val="-17"/>
          <w:sz w:val="20"/>
          <w:szCs w:val="20"/>
        </w:rPr>
        <w:t xml:space="preserve"> </w:t>
      </w:r>
      <w:r>
        <w:rPr>
          <w:i/>
          <w:iCs/>
          <w:color w:val="57585A"/>
          <w:spacing w:val="-7"/>
          <w:w w:val="95"/>
          <w:sz w:val="20"/>
          <w:szCs w:val="20"/>
        </w:rPr>
        <w:t>in 2025 and</w:t>
      </w:r>
      <w:r>
        <w:rPr>
          <w:i/>
          <w:iCs/>
          <w:color w:val="57585A"/>
          <w:spacing w:val="-19"/>
          <w:sz w:val="20"/>
          <w:szCs w:val="20"/>
        </w:rPr>
        <w:t xml:space="preserve"> </w:t>
      </w:r>
      <w:r>
        <w:rPr>
          <w:i/>
          <w:iCs/>
          <w:color w:val="57585A"/>
          <w:spacing w:val="-7"/>
          <w:w w:val="95"/>
          <w:sz w:val="20"/>
          <w:szCs w:val="20"/>
        </w:rPr>
        <w:t>3.0%</w:t>
      </w:r>
      <w:r>
        <w:rPr>
          <w:i/>
          <w:iCs/>
          <w:color w:val="57585A"/>
          <w:spacing w:val="-22"/>
          <w:sz w:val="20"/>
          <w:szCs w:val="20"/>
        </w:rPr>
        <w:t xml:space="preserve"> </w:t>
      </w:r>
      <w:r>
        <w:rPr>
          <w:i/>
          <w:iCs/>
          <w:color w:val="57585A"/>
          <w:spacing w:val="-7"/>
          <w:w w:val="95"/>
          <w:sz w:val="20"/>
          <w:szCs w:val="20"/>
        </w:rPr>
        <w:t>in 2026.</w:t>
      </w:r>
      <w:r>
        <w:rPr>
          <w:i/>
          <w:iCs/>
          <w:color w:val="57585A"/>
          <w:spacing w:val="7"/>
          <w:sz w:val="20"/>
          <w:szCs w:val="20"/>
        </w:rPr>
        <w:t xml:space="preserve"> </w:t>
      </w:r>
      <w:r>
        <w:rPr>
          <w:i/>
          <w:iCs/>
          <w:color w:val="57585A"/>
          <w:spacing w:val="-7"/>
          <w:w w:val="95"/>
          <w:sz w:val="20"/>
          <w:szCs w:val="20"/>
        </w:rPr>
        <w:t>Over</w:t>
      </w:r>
      <w:r>
        <w:rPr>
          <w:i/>
          <w:iCs/>
          <w:color w:val="57585A"/>
          <w:spacing w:val="-15"/>
          <w:sz w:val="20"/>
          <w:szCs w:val="20"/>
        </w:rPr>
        <w:t xml:space="preserve"> </w:t>
      </w:r>
      <w:r>
        <w:rPr>
          <w:i/>
          <w:iCs/>
          <w:color w:val="57585A"/>
          <w:spacing w:val="-7"/>
          <w:w w:val="95"/>
          <w:sz w:val="20"/>
          <w:szCs w:val="20"/>
        </w:rPr>
        <w:t>the long term,</w:t>
      </w:r>
    </w:p>
    <w:p w14:paraId="26937C05">
      <w:pPr>
        <w:pStyle w:val="4"/>
        <w:spacing w:before="57" w:line="273" w:lineRule="auto"/>
        <w:ind w:left="365" w:right="568" w:firstLine="12"/>
        <w:rPr>
          <w:sz w:val="20"/>
          <w:szCs w:val="20"/>
        </w:rPr>
      </w:pPr>
      <w:r>
        <w:rPr>
          <w:i/>
          <w:iCs/>
          <w:color w:val="57585A"/>
          <w:spacing w:val="-8"/>
          <w:w w:val="97"/>
          <w:sz w:val="20"/>
          <w:szCs w:val="20"/>
        </w:rPr>
        <w:t>continued economic recovery, alongside rising</w:t>
      </w:r>
      <w:r>
        <w:rPr>
          <w:i/>
          <w:iCs/>
          <w:color w:val="57585A"/>
          <w:spacing w:val="-25"/>
          <w:sz w:val="20"/>
          <w:szCs w:val="20"/>
        </w:rPr>
        <w:t xml:space="preserve"> </w:t>
      </w:r>
      <w:r>
        <w:rPr>
          <w:i/>
          <w:iCs/>
          <w:color w:val="57585A"/>
          <w:spacing w:val="-8"/>
          <w:w w:val="97"/>
          <w:sz w:val="20"/>
          <w:szCs w:val="20"/>
        </w:rPr>
        <w:t>gas</w:t>
      </w:r>
      <w:r>
        <w:rPr>
          <w:i/>
          <w:iCs/>
          <w:color w:val="57585A"/>
          <w:spacing w:val="-20"/>
          <w:sz w:val="20"/>
          <w:szCs w:val="20"/>
        </w:rPr>
        <w:t xml:space="preserve"> </w:t>
      </w:r>
      <w:r>
        <w:rPr>
          <w:i/>
          <w:iCs/>
          <w:color w:val="57585A"/>
          <w:spacing w:val="-8"/>
          <w:w w:val="97"/>
          <w:sz w:val="20"/>
          <w:szCs w:val="20"/>
        </w:rPr>
        <w:t>pow</w:t>
      </w:r>
      <w:r>
        <w:rPr>
          <w:i/>
          <w:iCs/>
          <w:color w:val="57585A"/>
          <w:spacing w:val="-9"/>
          <w:w w:val="97"/>
          <w:sz w:val="20"/>
          <w:szCs w:val="20"/>
        </w:rPr>
        <w:t>er</w:t>
      </w:r>
      <w:r>
        <w:rPr>
          <w:i/>
          <w:iCs/>
          <w:color w:val="57585A"/>
          <w:spacing w:val="-19"/>
          <w:sz w:val="20"/>
          <w:szCs w:val="20"/>
        </w:rPr>
        <w:t xml:space="preserve"> </w:t>
      </w:r>
      <w:r>
        <w:rPr>
          <w:i/>
          <w:iCs/>
          <w:color w:val="57585A"/>
          <w:spacing w:val="-9"/>
          <w:w w:val="97"/>
          <w:sz w:val="20"/>
          <w:szCs w:val="20"/>
        </w:rPr>
        <w:t>capacity</w:t>
      </w:r>
      <w:r>
        <w:rPr>
          <w:i/>
          <w:iCs/>
          <w:color w:val="57585A"/>
          <w:spacing w:val="-23"/>
          <w:sz w:val="20"/>
          <w:szCs w:val="20"/>
        </w:rPr>
        <w:t xml:space="preserve"> </w:t>
      </w:r>
      <w:r>
        <w:rPr>
          <w:i/>
          <w:iCs/>
          <w:color w:val="57585A"/>
          <w:spacing w:val="-9"/>
          <w:w w:val="97"/>
          <w:sz w:val="20"/>
          <w:szCs w:val="20"/>
        </w:rPr>
        <w:t>and</w:t>
      </w:r>
      <w:r>
        <w:rPr>
          <w:i/>
          <w:iCs/>
          <w:color w:val="57585A"/>
          <w:spacing w:val="-26"/>
          <w:sz w:val="20"/>
          <w:szCs w:val="20"/>
        </w:rPr>
        <w:t xml:space="preserve"> </w:t>
      </w:r>
      <w:r>
        <w:rPr>
          <w:i/>
          <w:iCs/>
          <w:color w:val="57585A"/>
          <w:spacing w:val="-9"/>
          <w:w w:val="97"/>
          <w:sz w:val="20"/>
          <w:szCs w:val="20"/>
        </w:rPr>
        <w:t>generation should ensure an average annual</w:t>
      </w:r>
      <w:r>
        <w:rPr>
          <w:i/>
          <w:iCs/>
          <w:color w:val="57585A"/>
          <w:spacing w:val="-25"/>
          <w:sz w:val="20"/>
          <w:szCs w:val="20"/>
        </w:rPr>
        <w:t xml:space="preserve"> </w:t>
      </w:r>
      <w:r>
        <w:rPr>
          <w:i/>
          <w:iCs/>
          <w:color w:val="57585A"/>
          <w:spacing w:val="-9"/>
          <w:w w:val="97"/>
          <w:sz w:val="20"/>
          <w:szCs w:val="20"/>
        </w:rPr>
        <w:t>gas demand</w:t>
      </w:r>
      <w:r>
        <w:rPr>
          <w:i/>
          <w:iCs/>
          <w:color w:val="57585A"/>
          <w:sz w:val="20"/>
          <w:szCs w:val="20"/>
        </w:rPr>
        <w:t xml:space="preserve"> </w:t>
      </w:r>
      <w:r>
        <w:rPr>
          <w:i/>
          <w:iCs/>
          <w:color w:val="57585A"/>
          <w:spacing w:val="-10"/>
          <w:sz w:val="20"/>
          <w:szCs w:val="20"/>
        </w:rPr>
        <w:t>growth rate of2.6% to 2034, boosting</w:t>
      </w:r>
      <w:r>
        <w:rPr>
          <w:i/>
          <w:iCs/>
          <w:color w:val="57585A"/>
          <w:spacing w:val="-25"/>
          <w:sz w:val="20"/>
          <w:szCs w:val="20"/>
        </w:rPr>
        <w:t xml:space="preserve"> </w:t>
      </w:r>
      <w:r>
        <w:rPr>
          <w:i/>
          <w:iCs/>
          <w:color w:val="57585A"/>
          <w:spacing w:val="-10"/>
          <w:sz w:val="20"/>
          <w:szCs w:val="20"/>
        </w:rPr>
        <w:t>ga</w:t>
      </w:r>
      <w:r>
        <w:rPr>
          <w:i/>
          <w:iCs/>
          <w:color w:val="57585A"/>
          <w:spacing w:val="-11"/>
          <w:sz w:val="20"/>
          <w:szCs w:val="20"/>
        </w:rPr>
        <w:t>s consumption to 60.4bcm by</w:t>
      </w:r>
      <w:r>
        <w:rPr>
          <w:i/>
          <w:iCs/>
          <w:color w:val="57585A"/>
          <w:spacing w:val="-23"/>
          <w:sz w:val="20"/>
          <w:szCs w:val="20"/>
        </w:rPr>
        <w:t xml:space="preserve"> </w:t>
      </w:r>
      <w:r>
        <w:rPr>
          <w:i/>
          <w:iCs/>
          <w:color w:val="57585A"/>
          <w:spacing w:val="-11"/>
          <w:sz w:val="20"/>
          <w:szCs w:val="20"/>
        </w:rPr>
        <w:t>2034. Notably, an economic recovery</w:t>
      </w:r>
      <w:r>
        <w:rPr>
          <w:i/>
          <w:iCs/>
          <w:color w:val="57585A"/>
          <w:spacing w:val="-26"/>
          <w:sz w:val="20"/>
          <w:szCs w:val="20"/>
        </w:rPr>
        <w:t xml:space="preserve"> </w:t>
      </w:r>
      <w:r>
        <w:rPr>
          <w:i/>
          <w:iCs/>
          <w:color w:val="57585A"/>
          <w:spacing w:val="-11"/>
          <w:sz w:val="20"/>
          <w:szCs w:val="20"/>
        </w:rPr>
        <w:t>seeing</w:t>
      </w:r>
      <w:r>
        <w:rPr>
          <w:i/>
          <w:iCs/>
          <w:color w:val="57585A"/>
          <w:spacing w:val="-16"/>
          <w:sz w:val="20"/>
          <w:szCs w:val="20"/>
        </w:rPr>
        <w:t xml:space="preserve"> </w:t>
      </w:r>
      <w:r>
        <w:rPr>
          <w:i/>
          <w:iCs/>
          <w:color w:val="57585A"/>
          <w:spacing w:val="-11"/>
          <w:sz w:val="20"/>
          <w:szCs w:val="20"/>
        </w:rPr>
        <w:t>real GDP</w:t>
      </w:r>
    </w:p>
    <w:p w14:paraId="319050F9">
      <w:pPr>
        <w:pStyle w:val="4"/>
        <w:spacing w:before="37" w:line="273" w:lineRule="auto"/>
        <w:ind w:left="377" w:right="697" w:hanging="12"/>
        <w:rPr>
          <w:sz w:val="20"/>
          <w:szCs w:val="20"/>
        </w:rPr>
      </w:pPr>
      <w:r>
        <w:rPr>
          <w:i/>
          <w:iCs/>
          <w:color w:val="57585A"/>
          <w:spacing w:val="-5"/>
          <w:w w:val="95"/>
          <w:sz w:val="20"/>
          <w:szCs w:val="20"/>
        </w:rPr>
        <w:t>growth average 3.3%y-o-ygrowth over</w:t>
      </w:r>
      <w:r>
        <w:rPr>
          <w:i/>
          <w:iCs/>
          <w:color w:val="57585A"/>
          <w:spacing w:val="-23"/>
          <w:sz w:val="20"/>
          <w:szCs w:val="20"/>
        </w:rPr>
        <w:t xml:space="preserve"> </w:t>
      </w:r>
      <w:r>
        <w:rPr>
          <w:i/>
          <w:iCs/>
          <w:color w:val="57585A"/>
          <w:spacing w:val="-5"/>
          <w:w w:val="95"/>
          <w:sz w:val="20"/>
          <w:szCs w:val="20"/>
        </w:rPr>
        <w:t>2025-2034 boosting the demand from gas-heavy</w:t>
      </w:r>
      <w:r>
        <w:rPr>
          <w:i/>
          <w:iCs/>
          <w:color w:val="57585A"/>
          <w:spacing w:val="-23"/>
          <w:sz w:val="20"/>
          <w:szCs w:val="20"/>
        </w:rPr>
        <w:t xml:space="preserve"> </w:t>
      </w:r>
      <w:r>
        <w:rPr>
          <w:i/>
          <w:iCs/>
          <w:color w:val="57585A"/>
          <w:spacing w:val="-5"/>
          <w:w w:val="95"/>
          <w:sz w:val="20"/>
          <w:szCs w:val="20"/>
        </w:rPr>
        <w:t>industries like</w:t>
      </w:r>
      <w:r>
        <w:rPr>
          <w:i/>
          <w:iCs/>
          <w:color w:val="57585A"/>
          <w:spacing w:val="-16"/>
          <w:sz w:val="20"/>
          <w:szCs w:val="20"/>
        </w:rPr>
        <w:t xml:space="preserve"> </w:t>
      </w:r>
      <w:r>
        <w:rPr>
          <w:i/>
          <w:iCs/>
          <w:color w:val="57585A"/>
          <w:spacing w:val="-5"/>
          <w:w w:val="95"/>
          <w:sz w:val="20"/>
          <w:szCs w:val="20"/>
        </w:rPr>
        <w:t>petroch</w:t>
      </w:r>
      <w:r>
        <w:rPr>
          <w:i/>
          <w:iCs/>
          <w:color w:val="57585A"/>
          <w:spacing w:val="-6"/>
          <w:w w:val="95"/>
          <w:sz w:val="20"/>
          <w:szCs w:val="20"/>
        </w:rPr>
        <w:t>emicals</w:t>
      </w:r>
      <w:r>
        <w:rPr>
          <w:i/>
          <w:iCs/>
          <w:color w:val="57585A"/>
          <w:spacing w:val="-15"/>
          <w:sz w:val="20"/>
          <w:szCs w:val="20"/>
        </w:rPr>
        <w:t xml:space="preserve"> </w:t>
      </w:r>
      <w:r>
        <w:rPr>
          <w:i/>
          <w:iCs/>
          <w:color w:val="57585A"/>
          <w:spacing w:val="-6"/>
          <w:w w:val="95"/>
          <w:sz w:val="20"/>
          <w:szCs w:val="20"/>
        </w:rPr>
        <w:t>should</w:t>
      </w:r>
      <w:r>
        <w:rPr>
          <w:i/>
          <w:iCs/>
          <w:color w:val="57585A"/>
          <w:sz w:val="20"/>
          <w:szCs w:val="20"/>
        </w:rPr>
        <w:t xml:space="preserve"> </w:t>
      </w:r>
      <w:r>
        <w:rPr>
          <w:i/>
          <w:iCs/>
          <w:color w:val="57585A"/>
          <w:spacing w:val="-8"/>
          <w:w w:val="97"/>
          <w:sz w:val="20"/>
          <w:szCs w:val="20"/>
        </w:rPr>
        <w:t>drive up gas demand</w:t>
      </w:r>
      <w:r>
        <w:rPr>
          <w:i/>
          <w:iCs/>
          <w:color w:val="57585A"/>
          <w:spacing w:val="-4"/>
          <w:sz w:val="20"/>
          <w:szCs w:val="20"/>
        </w:rPr>
        <w:t xml:space="preserve"> </w:t>
      </w:r>
      <w:r>
        <w:rPr>
          <w:i/>
          <w:iCs/>
          <w:color w:val="57585A"/>
          <w:spacing w:val="-8"/>
          <w:w w:val="97"/>
          <w:sz w:val="20"/>
          <w:szCs w:val="20"/>
        </w:rPr>
        <w:t>in</w:t>
      </w:r>
      <w:r>
        <w:rPr>
          <w:i/>
          <w:iCs/>
          <w:color w:val="57585A"/>
          <w:spacing w:val="-15"/>
          <w:sz w:val="20"/>
          <w:szCs w:val="20"/>
        </w:rPr>
        <w:t xml:space="preserve"> </w:t>
      </w:r>
      <w:r>
        <w:rPr>
          <w:i/>
          <w:iCs/>
          <w:color w:val="57585A"/>
          <w:spacing w:val="-8"/>
          <w:w w:val="97"/>
          <w:sz w:val="20"/>
          <w:szCs w:val="20"/>
        </w:rPr>
        <w:t>Argentina over</w:t>
      </w:r>
      <w:r>
        <w:rPr>
          <w:i/>
          <w:iCs/>
          <w:color w:val="57585A"/>
          <w:spacing w:val="-16"/>
          <w:sz w:val="20"/>
          <w:szCs w:val="20"/>
        </w:rPr>
        <w:t xml:space="preserve"> </w:t>
      </w:r>
      <w:r>
        <w:rPr>
          <w:i/>
          <w:iCs/>
          <w:color w:val="57585A"/>
          <w:spacing w:val="-8"/>
          <w:w w:val="97"/>
          <w:sz w:val="20"/>
          <w:szCs w:val="20"/>
        </w:rPr>
        <w:t>the entire forecast</w:t>
      </w:r>
      <w:r>
        <w:rPr>
          <w:i/>
          <w:iCs/>
          <w:color w:val="57585A"/>
          <w:spacing w:val="-26"/>
          <w:sz w:val="20"/>
          <w:szCs w:val="20"/>
        </w:rPr>
        <w:t xml:space="preserve"> </w:t>
      </w:r>
      <w:r>
        <w:rPr>
          <w:i/>
          <w:iCs/>
          <w:color w:val="57585A"/>
          <w:spacing w:val="-8"/>
          <w:w w:val="97"/>
          <w:sz w:val="20"/>
          <w:szCs w:val="20"/>
        </w:rPr>
        <w:t>period.</w:t>
      </w:r>
    </w:p>
    <w:p w14:paraId="3D1E33DD">
      <w:pPr>
        <w:pStyle w:val="4"/>
        <w:spacing w:line="332" w:lineRule="auto"/>
      </w:pPr>
    </w:p>
    <w:p w14:paraId="6DD5DFC7">
      <w:pPr>
        <w:pStyle w:val="4"/>
        <w:spacing w:line="332" w:lineRule="auto"/>
      </w:pPr>
    </w:p>
    <w:p w14:paraId="4E16AEF9">
      <w:pPr>
        <w:pStyle w:val="4"/>
        <w:spacing w:before="70" w:line="182" w:lineRule="auto"/>
        <w:ind w:left="378"/>
        <w:outlineLvl w:val="2"/>
        <w:rPr>
          <w:sz w:val="24"/>
          <w:szCs w:val="24"/>
        </w:rPr>
      </w:pPr>
      <w:r>
        <w:rPr>
          <w:b/>
          <w:bCs/>
          <w:color w:val="174174"/>
          <w:spacing w:val="-9"/>
          <w:sz w:val="24"/>
          <w:szCs w:val="24"/>
        </w:rPr>
        <w:t>Latest Updates</w:t>
      </w:r>
    </w:p>
    <w:p w14:paraId="09F0C214">
      <w:pPr>
        <w:pStyle w:val="4"/>
        <w:spacing w:line="357" w:lineRule="auto"/>
      </w:pPr>
    </w:p>
    <w:p w14:paraId="53AA53AB">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We forecast a continuation of</w:t>
      </w:r>
      <w:r>
        <w:rPr>
          <w:color w:val="57585A"/>
          <w:spacing w:val="-17"/>
          <w:sz w:val="20"/>
          <w:szCs w:val="20"/>
        </w:rPr>
        <w:t xml:space="preserve"> </w:t>
      </w:r>
      <w:r>
        <w:rPr>
          <w:color w:val="57585A"/>
          <w:spacing w:val="-10"/>
          <w:sz w:val="20"/>
          <w:szCs w:val="20"/>
        </w:rPr>
        <w:t>gas demand growth in 2025,</w:t>
      </w:r>
      <w:r>
        <w:rPr>
          <w:color w:val="57585A"/>
          <w:spacing w:val="-15"/>
          <w:sz w:val="20"/>
          <w:szCs w:val="20"/>
        </w:rPr>
        <w:t xml:space="preserve"> </w:t>
      </w:r>
      <w:r>
        <w:rPr>
          <w:color w:val="57585A"/>
          <w:spacing w:val="-10"/>
          <w:sz w:val="20"/>
          <w:szCs w:val="20"/>
        </w:rPr>
        <w:t>with our current forecasts for 2025 indica</w:t>
      </w:r>
      <w:r>
        <w:rPr>
          <w:color w:val="57585A"/>
          <w:spacing w:val="-11"/>
          <w:sz w:val="20"/>
          <w:szCs w:val="20"/>
        </w:rPr>
        <w:t>ting a 2.5%</w:t>
      </w:r>
      <w:r>
        <w:rPr>
          <w:color w:val="57585A"/>
          <w:spacing w:val="-16"/>
          <w:sz w:val="20"/>
          <w:szCs w:val="20"/>
        </w:rPr>
        <w:t xml:space="preserve"> </w:t>
      </w:r>
      <w:r>
        <w:rPr>
          <w:color w:val="57585A"/>
          <w:spacing w:val="-11"/>
          <w:sz w:val="20"/>
          <w:szCs w:val="20"/>
        </w:rPr>
        <w:t>y-o-y rise to</w:t>
      </w:r>
    </w:p>
    <w:p w14:paraId="18666D5A">
      <w:pPr>
        <w:pStyle w:val="4"/>
        <w:spacing w:before="56" w:line="284" w:lineRule="auto"/>
        <w:ind w:left="612" w:right="363"/>
        <w:jc w:val="both"/>
        <w:rPr>
          <w:sz w:val="20"/>
          <w:szCs w:val="20"/>
        </w:rPr>
      </w:pPr>
      <w:r>
        <w:rPr>
          <w:color w:val="57585A"/>
          <w:spacing w:val="-10"/>
          <w:sz w:val="20"/>
          <w:szCs w:val="20"/>
        </w:rPr>
        <w:t>48.1bcm. This</w:t>
      </w:r>
      <w:r>
        <w:rPr>
          <w:color w:val="57585A"/>
          <w:spacing w:val="-16"/>
          <w:sz w:val="20"/>
          <w:szCs w:val="20"/>
        </w:rPr>
        <w:t xml:space="preserve"> </w:t>
      </w:r>
      <w:r>
        <w:rPr>
          <w:color w:val="57585A"/>
          <w:spacing w:val="-10"/>
          <w:sz w:val="20"/>
          <w:szCs w:val="20"/>
        </w:rPr>
        <w:t>will notably be pulled up</w:t>
      </w:r>
      <w:r>
        <w:rPr>
          <w:color w:val="57585A"/>
          <w:spacing w:val="-11"/>
          <w:sz w:val="20"/>
          <w:szCs w:val="20"/>
        </w:rPr>
        <w:t xml:space="preserve"> by our expectation for a return to economic growth,</w:t>
      </w:r>
      <w:r>
        <w:rPr>
          <w:color w:val="57585A"/>
          <w:spacing w:val="-16"/>
          <w:sz w:val="20"/>
          <w:szCs w:val="20"/>
        </w:rPr>
        <w:t xml:space="preserve"> </w:t>
      </w:r>
      <w:r>
        <w:rPr>
          <w:color w:val="57585A"/>
          <w:spacing w:val="-11"/>
          <w:sz w:val="20"/>
          <w:szCs w:val="20"/>
        </w:rPr>
        <w:t>which should stimulate gas demand</w:t>
      </w:r>
      <w:r>
        <w:rPr>
          <w:color w:val="57585A"/>
          <w:sz w:val="20"/>
          <w:szCs w:val="20"/>
        </w:rPr>
        <w:t xml:space="preserve"> </w:t>
      </w:r>
      <w:r>
        <w:rPr>
          <w:color w:val="57585A"/>
          <w:spacing w:val="-11"/>
          <w:sz w:val="20"/>
          <w:szCs w:val="20"/>
        </w:rPr>
        <w:t>growth from the power sector and the industrial se</w:t>
      </w:r>
      <w:r>
        <w:rPr>
          <w:color w:val="57585A"/>
          <w:spacing w:val="-12"/>
          <w:sz w:val="20"/>
          <w:szCs w:val="20"/>
        </w:rPr>
        <w:t>ctors in particular. Our Country Risk team forecasts real GDP growth of</w:t>
      </w:r>
      <w:r>
        <w:rPr>
          <w:color w:val="57585A"/>
          <w:spacing w:val="-16"/>
          <w:sz w:val="20"/>
          <w:szCs w:val="20"/>
        </w:rPr>
        <w:t xml:space="preserve"> </w:t>
      </w:r>
      <w:r>
        <w:rPr>
          <w:color w:val="57585A"/>
          <w:spacing w:val="-12"/>
          <w:sz w:val="20"/>
          <w:szCs w:val="20"/>
        </w:rPr>
        <w:t>4.8% in</w:t>
      </w:r>
      <w:r>
        <w:rPr>
          <w:color w:val="57585A"/>
          <w:sz w:val="20"/>
          <w:szCs w:val="20"/>
        </w:rPr>
        <w:t xml:space="preserve"> </w:t>
      </w:r>
      <w:r>
        <w:rPr>
          <w:color w:val="57585A"/>
          <w:spacing w:val="-11"/>
          <w:sz w:val="20"/>
          <w:szCs w:val="20"/>
        </w:rPr>
        <w:t>2025 and 4.4% in 2026, after another contraction of 1.7% in 2024.</w:t>
      </w:r>
    </w:p>
    <w:p w14:paraId="6B05D75A">
      <w:pPr>
        <w:pStyle w:val="4"/>
        <w:spacing w:before="23" w:line="272" w:lineRule="auto"/>
        <w:ind w:left="618" w:right="583" w:hanging="261"/>
        <w:rPr>
          <w:sz w:val="20"/>
          <w:szCs w:val="20"/>
        </w:rPr>
      </w:pPr>
      <w:r>
        <w:rPr>
          <w:color w:val="33CCFF"/>
          <w:spacing w:val="-12"/>
          <w:sz w:val="20"/>
          <w:szCs w:val="20"/>
        </w:rPr>
        <w:t xml:space="preserve">•   </w:t>
      </w:r>
      <w:r>
        <w:rPr>
          <w:color w:val="57585A"/>
          <w:spacing w:val="-12"/>
          <w:sz w:val="20"/>
          <w:szCs w:val="20"/>
        </w:rPr>
        <w:t>Our Power &amp; Renewables team forecast gas power generation to rise by a</w:t>
      </w:r>
      <w:r>
        <w:rPr>
          <w:color w:val="57585A"/>
          <w:spacing w:val="-6"/>
          <w:sz w:val="20"/>
          <w:szCs w:val="20"/>
        </w:rPr>
        <w:t xml:space="preserve"> </w:t>
      </w:r>
      <w:r>
        <w:rPr>
          <w:color w:val="57585A"/>
          <w:spacing w:val="-12"/>
          <w:sz w:val="20"/>
          <w:szCs w:val="20"/>
        </w:rPr>
        <w:t>yearly average of 2.5% over the 2025-2034 forecast</w:t>
      </w:r>
      <w:r>
        <w:rPr>
          <w:color w:val="57585A"/>
          <w:sz w:val="20"/>
          <w:szCs w:val="20"/>
        </w:rPr>
        <w:t xml:space="preserve"> </w:t>
      </w:r>
      <w:r>
        <w:rPr>
          <w:color w:val="57585A"/>
          <w:spacing w:val="-9"/>
          <w:sz w:val="20"/>
          <w:szCs w:val="20"/>
        </w:rPr>
        <w:t>period,</w:t>
      </w:r>
      <w:r>
        <w:rPr>
          <w:color w:val="57585A"/>
          <w:spacing w:val="-16"/>
          <w:sz w:val="20"/>
          <w:szCs w:val="20"/>
        </w:rPr>
        <w:t xml:space="preserve"> </w:t>
      </w:r>
      <w:r>
        <w:rPr>
          <w:color w:val="57585A"/>
          <w:spacing w:val="-9"/>
          <w:sz w:val="20"/>
          <w:szCs w:val="20"/>
        </w:rPr>
        <w:t>with gas power representing about</w:t>
      </w:r>
      <w:r>
        <w:rPr>
          <w:color w:val="57585A"/>
          <w:spacing w:val="-10"/>
          <w:sz w:val="20"/>
          <w:szCs w:val="20"/>
        </w:rPr>
        <w:t xml:space="preserve"> 47-48% of</w:t>
      </w:r>
      <w:r>
        <w:rPr>
          <w:color w:val="57585A"/>
          <w:spacing w:val="-21"/>
          <w:sz w:val="20"/>
          <w:szCs w:val="20"/>
        </w:rPr>
        <w:t xml:space="preserve"> </w:t>
      </w:r>
      <w:r>
        <w:rPr>
          <w:color w:val="57585A"/>
          <w:spacing w:val="-10"/>
          <w:sz w:val="20"/>
          <w:szCs w:val="20"/>
        </w:rPr>
        <w:t>total power output throughout the forecast period. In addition to</w:t>
      </w:r>
    </w:p>
    <w:p w14:paraId="5CD3E7D9">
      <w:pPr>
        <w:pStyle w:val="4"/>
        <w:spacing w:before="39" w:line="273" w:lineRule="auto"/>
        <w:ind w:left="612" w:right="418" w:firstLine="1"/>
        <w:rPr>
          <w:sz w:val="20"/>
          <w:szCs w:val="20"/>
        </w:rPr>
      </w:pPr>
      <w:r>
        <w:rPr>
          <w:color w:val="57585A"/>
          <w:spacing w:val="-11"/>
          <w:sz w:val="20"/>
          <w:szCs w:val="20"/>
        </w:rPr>
        <w:t>continued use in the indu</w:t>
      </w:r>
      <w:r>
        <w:rPr>
          <w:color w:val="57585A"/>
          <w:spacing w:val="-12"/>
          <w:sz w:val="20"/>
          <w:szCs w:val="20"/>
        </w:rPr>
        <w:t>strial and residential segments,</w:t>
      </w:r>
      <w:r>
        <w:rPr>
          <w:color w:val="57585A"/>
          <w:spacing w:val="-16"/>
          <w:sz w:val="20"/>
          <w:szCs w:val="20"/>
        </w:rPr>
        <w:t xml:space="preserve"> </w:t>
      </w:r>
      <w:r>
        <w:rPr>
          <w:color w:val="57585A"/>
          <w:spacing w:val="-12"/>
          <w:sz w:val="20"/>
          <w:szCs w:val="20"/>
        </w:rPr>
        <w:t>with an economic recovery seeing real GDP growth average 3.3%</w:t>
      </w:r>
      <w:r>
        <w:rPr>
          <w:color w:val="57585A"/>
          <w:spacing w:val="-15"/>
          <w:sz w:val="20"/>
          <w:szCs w:val="20"/>
        </w:rPr>
        <w:t xml:space="preserve"> </w:t>
      </w:r>
      <w:r>
        <w:rPr>
          <w:color w:val="57585A"/>
          <w:spacing w:val="-12"/>
          <w:sz w:val="20"/>
          <w:szCs w:val="20"/>
        </w:rPr>
        <w:t>y-o-y</w:t>
      </w:r>
      <w:r>
        <w:rPr>
          <w:color w:val="57585A"/>
          <w:sz w:val="20"/>
          <w:szCs w:val="20"/>
        </w:rPr>
        <w:t xml:space="preserve"> </w:t>
      </w:r>
      <w:r>
        <w:rPr>
          <w:color w:val="57585A"/>
          <w:spacing w:val="-10"/>
          <w:sz w:val="20"/>
          <w:szCs w:val="20"/>
        </w:rPr>
        <w:t>growth over 2025-2034, this should driv</w:t>
      </w:r>
      <w:r>
        <w:rPr>
          <w:color w:val="57585A"/>
          <w:spacing w:val="-11"/>
          <w:sz w:val="20"/>
          <w:szCs w:val="20"/>
        </w:rPr>
        <w:t>e up gas demand in</w:t>
      </w:r>
      <w:r>
        <w:rPr>
          <w:color w:val="57585A"/>
          <w:spacing w:val="-16"/>
          <w:sz w:val="20"/>
          <w:szCs w:val="20"/>
        </w:rPr>
        <w:t xml:space="preserve"> </w:t>
      </w:r>
      <w:r>
        <w:rPr>
          <w:color w:val="57585A"/>
          <w:spacing w:val="-11"/>
          <w:sz w:val="20"/>
          <w:szCs w:val="20"/>
        </w:rPr>
        <w:t>Argentina over the entire forecast period.</w:t>
      </w:r>
    </w:p>
    <w:p w14:paraId="7435EE50">
      <w:pPr>
        <w:pStyle w:val="4"/>
        <w:spacing w:line="303" w:lineRule="auto"/>
      </w:pPr>
    </w:p>
    <w:p w14:paraId="724EEE9A">
      <w:pPr>
        <w:pStyle w:val="4"/>
        <w:spacing w:line="304" w:lineRule="auto"/>
      </w:pPr>
    </w:p>
    <w:p w14:paraId="48EDB97C">
      <w:pPr>
        <w:pStyle w:val="4"/>
        <w:spacing w:before="69" w:line="325"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446C6C12">
      <w:pPr>
        <w:pStyle w:val="4"/>
        <w:spacing w:line="301" w:lineRule="auto"/>
      </w:pPr>
    </w:p>
    <w:p w14:paraId="4D3F566E">
      <w:pPr>
        <w:pStyle w:val="4"/>
        <w:spacing w:before="57" w:line="231" w:lineRule="auto"/>
        <w:ind w:left="369"/>
        <w:rPr>
          <w:sz w:val="20"/>
          <w:szCs w:val="20"/>
        </w:rPr>
      </w:pPr>
      <w:r>
        <w:rPr>
          <w:color w:val="57585A"/>
          <w:spacing w:val="-10"/>
          <w:sz w:val="20"/>
          <w:szCs w:val="20"/>
        </w:rPr>
        <w:t>One of</w:t>
      </w:r>
      <w:r>
        <w:rPr>
          <w:color w:val="57585A"/>
          <w:spacing w:val="-21"/>
          <w:sz w:val="20"/>
          <w:szCs w:val="20"/>
        </w:rPr>
        <w:t xml:space="preserve"> </w:t>
      </w:r>
      <w:r>
        <w:rPr>
          <w:color w:val="57585A"/>
          <w:spacing w:val="-10"/>
          <w:sz w:val="20"/>
          <w:szCs w:val="20"/>
        </w:rPr>
        <w:t xml:space="preserve">the longest lockdowns </w:t>
      </w:r>
      <w:r>
        <w:rPr>
          <w:color w:val="57585A"/>
          <w:spacing w:val="-11"/>
          <w:sz w:val="20"/>
          <w:szCs w:val="20"/>
        </w:rPr>
        <w:t>imposed by the federal government in</w:t>
      </w:r>
      <w:r>
        <w:rPr>
          <w:color w:val="57585A"/>
          <w:spacing w:val="-16"/>
          <w:sz w:val="20"/>
          <w:szCs w:val="20"/>
        </w:rPr>
        <w:t xml:space="preserve"> </w:t>
      </w:r>
      <w:r>
        <w:rPr>
          <w:color w:val="57585A"/>
          <w:spacing w:val="-11"/>
          <w:sz w:val="20"/>
          <w:szCs w:val="20"/>
        </w:rPr>
        <w:t>Argentina has</w:t>
      </w:r>
      <w:r>
        <w:rPr>
          <w:color w:val="57585A"/>
          <w:spacing w:val="-16"/>
          <w:sz w:val="20"/>
          <w:szCs w:val="20"/>
        </w:rPr>
        <w:t xml:space="preserve"> </w:t>
      </w:r>
      <w:r>
        <w:rPr>
          <w:color w:val="57585A"/>
          <w:spacing w:val="-11"/>
          <w:sz w:val="20"/>
          <w:szCs w:val="20"/>
        </w:rPr>
        <w:t>weighed on industrial and power sector</w:t>
      </w:r>
    </w:p>
    <w:p w14:paraId="58BB378B">
      <w:pPr>
        <w:pStyle w:val="4"/>
        <w:spacing w:before="59" w:line="231" w:lineRule="auto"/>
        <w:ind w:left="369"/>
        <w:rPr>
          <w:sz w:val="20"/>
          <w:szCs w:val="20"/>
        </w:rPr>
      </w:pPr>
      <w:r>
        <w:rPr>
          <w:color w:val="57585A"/>
          <w:spacing w:val="-11"/>
          <w:sz w:val="20"/>
          <w:szCs w:val="20"/>
        </w:rPr>
        <w:t>demand for natural gas over 2020.</w:t>
      </w:r>
      <w:r>
        <w:rPr>
          <w:color w:val="57585A"/>
          <w:spacing w:val="2"/>
          <w:sz w:val="20"/>
          <w:szCs w:val="20"/>
        </w:rPr>
        <w:t xml:space="preserve"> </w:t>
      </w:r>
      <w:r>
        <w:rPr>
          <w:color w:val="57585A"/>
          <w:spacing w:val="-11"/>
          <w:sz w:val="20"/>
          <w:szCs w:val="20"/>
        </w:rPr>
        <w:t>After a steep recession in 2019, the combination of</w:t>
      </w:r>
      <w:r>
        <w:rPr>
          <w:color w:val="57585A"/>
          <w:spacing w:val="-21"/>
          <w:sz w:val="20"/>
          <w:szCs w:val="20"/>
        </w:rPr>
        <w:t xml:space="preserve"> </w:t>
      </w:r>
      <w:r>
        <w:rPr>
          <w:color w:val="57585A"/>
          <w:spacing w:val="-11"/>
          <w:sz w:val="20"/>
          <w:szCs w:val="20"/>
        </w:rPr>
        <w:t>the Covid-19 pandemic and lingering</w:t>
      </w:r>
    </w:p>
    <w:p w14:paraId="4FD01617">
      <w:pPr>
        <w:pStyle w:val="4"/>
        <w:spacing w:before="59" w:line="273" w:lineRule="auto"/>
        <w:ind w:left="371" w:right="449" w:hanging="2"/>
        <w:rPr>
          <w:sz w:val="20"/>
          <w:szCs w:val="20"/>
        </w:rPr>
      </w:pPr>
      <w:r>
        <w:rPr>
          <w:color w:val="57585A"/>
          <w:spacing w:val="-11"/>
          <w:sz w:val="20"/>
          <w:szCs w:val="20"/>
        </w:rPr>
        <w:t>economic challenges led to a 7.0% decline in gas demand over 2020,</w:t>
      </w:r>
      <w:r>
        <w:rPr>
          <w:color w:val="57585A"/>
          <w:spacing w:val="-12"/>
          <w:sz w:val="20"/>
          <w:szCs w:val="20"/>
        </w:rPr>
        <w:t xml:space="preserve"> followed by another three</w:t>
      </w:r>
      <w:r>
        <w:rPr>
          <w:color w:val="57585A"/>
          <w:spacing w:val="-16"/>
          <w:sz w:val="20"/>
          <w:szCs w:val="20"/>
        </w:rPr>
        <w:t xml:space="preserve"> </w:t>
      </w:r>
      <w:r>
        <w:rPr>
          <w:color w:val="57585A"/>
          <w:spacing w:val="-12"/>
          <w:sz w:val="20"/>
          <w:szCs w:val="20"/>
        </w:rPr>
        <w:t>years of</w:t>
      </w:r>
      <w:r>
        <w:rPr>
          <w:color w:val="57585A"/>
          <w:spacing w:val="-15"/>
          <w:sz w:val="20"/>
          <w:szCs w:val="20"/>
        </w:rPr>
        <w:t xml:space="preserve"> </w:t>
      </w:r>
      <w:r>
        <w:rPr>
          <w:color w:val="57585A"/>
          <w:spacing w:val="-12"/>
          <w:sz w:val="20"/>
          <w:szCs w:val="20"/>
        </w:rPr>
        <w:t>contraction, by 1.4%</w:t>
      </w:r>
      <w:r>
        <w:rPr>
          <w:color w:val="57585A"/>
          <w:spacing w:val="-15"/>
          <w:sz w:val="20"/>
          <w:szCs w:val="20"/>
        </w:rPr>
        <w:t xml:space="preserve"> </w:t>
      </w:r>
      <w:r>
        <w:rPr>
          <w:color w:val="57585A"/>
          <w:spacing w:val="-12"/>
          <w:sz w:val="20"/>
          <w:szCs w:val="20"/>
        </w:rPr>
        <w:t>y-o-y</w:t>
      </w:r>
      <w:r>
        <w:rPr>
          <w:color w:val="57585A"/>
          <w:sz w:val="20"/>
          <w:szCs w:val="20"/>
        </w:rPr>
        <w:t xml:space="preserve"> </w:t>
      </w:r>
      <w:r>
        <w:rPr>
          <w:color w:val="57585A"/>
          <w:spacing w:val="-9"/>
          <w:sz w:val="20"/>
          <w:szCs w:val="20"/>
        </w:rPr>
        <w:t>in 2021, a stagnation in 2022,</w:t>
      </w:r>
      <w:r>
        <w:rPr>
          <w:color w:val="57585A"/>
          <w:spacing w:val="-10"/>
          <w:sz w:val="20"/>
          <w:szCs w:val="20"/>
        </w:rPr>
        <w:t xml:space="preserve"> and another 2.0% contraction in 2023, in the context of</w:t>
      </w:r>
      <w:r>
        <w:rPr>
          <w:color w:val="57585A"/>
          <w:spacing w:val="-21"/>
          <w:sz w:val="20"/>
          <w:szCs w:val="20"/>
        </w:rPr>
        <w:t xml:space="preserve"> </w:t>
      </w:r>
      <w:r>
        <w:rPr>
          <w:color w:val="57585A"/>
          <w:spacing w:val="-10"/>
          <w:sz w:val="20"/>
          <w:szCs w:val="20"/>
        </w:rPr>
        <w:t>the difficult macroeconomic context in</w:t>
      </w:r>
    </w:p>
    <w:p w14:paraId="6B170E02">
      <w:pPr>
        <w:pStyle w:val="4"/>
        <w:spacing w:before="36" w:line="273" w:lineRule="auto"/>
        <w:ind w:left="362" w:right="467" w:hanging="3"/>
        <w:rPr>
          <w:sz w:val="20"/>
          <w:szCs w:val="20"/>
        </w:rPr>
      </w:pPr>
      <w:r>
        <w:rPr>
          <w:color w:val="57585A"/>
          <w:spacing w:val="-11"/>
          <w:sz w:val="20"/>
          <w:szCs w:val="20"/>
        </w:rPr>
        <w:t>Argentina. In 2024,</w:t>
      </w:r>
      <w:r>
        <w:rPr>
          <w:color w:val="57585A"/>
          <w:spacing w:val="-16"/>
          <w:sz w:val="20"/>
          <w:szCs w:val="20"/>
        </w:rPr>
        <w:t xml:space="preserve"> </w:t>
      </w:r>
      <w:r>
        <w:rPr>
          <w:color w:val="57585A"/>
          <w:spacing w:val="-11"/>
          <w:sz w:val="20"/>
          <w:szCs w:val="20"/>
        </w:rPr>
        <w:t>we estimate gas demand made a partial recove</w:t>
      </w:r>
      <w:r>
        <w:rPr>
          <w:color w:val="57585A"/>
          <w:spacing w:val="-12"/>
          <w:sz w:val="20"/>
          <w:szCs w:val="20"/>
        </w:rPr>
        <w:t>ry of 2.0%</w:t>
      </w:r>
      <w:r>
        <w:rPr>
          <w:color w:val="57585A"/>
          <w:spacing w:val="-15"/>
          <w:sz w:val="20"/>
          <w:szCs w:val="20"/>
        </w:rPr>
        <w:t xml:space="preserve"> </w:t>
      </w:r>
      <w:r>
        <w:rPr>
          <w:color w:val="57585A"/>
          <w:spacing w:val="-12"/>
          <w:sz w:val="20"/>
          <w:szCs w:val="20"/>
        </w:rPr>
        <w:t>y-o-y, notably on the back of</w:t>
      </w:r>
      <w:r>
        <w:rPr>
          <w:color w:val="57585A"/>
          <w:spacing w:val="-18"/>
          <w:sz w:val="20"/>
          <w:szCs w:val="20"/>
        </w:rPr>
        <w:t xml:space="preserve"> </w:t>
      </w:r>
      <w:r>
        <w:rPr>
          <w:color w:val="57585A"/>
          <w:spacing w:val="-12"/>
          <w:sz w:val="20"/>
          <w:szCs w:val="20"/>
        </w:rPr>
        <w:t>stronger</w:t>
      </w:r>
      <w:r>
        <w:rPr>
          <w:color w:val="57585A"/>
          <w:spacing w:val="-16"/>
          <w:sz w:val="20"/>
          <w:szCs w:val="20"/>
        </w:rPr>
        <w:t xml:space="preserve"> </w:t>
      </w:r>
      <w:r>
        <w:rPr>
          <w:color w:val="57585A"/>
          <w:spacing w:val="-12"/>
          <w:sz w:val="20"/>
          <w:szCs w:val="20"/>
        </w:rPr>
        <w:t>winter demand</w:t>
      </w:r>
      <w:r>
        <w:rPr>
          <w:color w:val="57585A"/>
          <w:sz w:val="20"/>
          <w:szCs w:val="20"/>
        </w:rPr>
        <w:t xml:space="preserve"> </w:t>
      </w:r>
      <w:r>
        <w:rPr>
          <w:color w:val="57585A"/>
          <w:spacing w:val="-11"/>
          <w:sz w:val="20"/>
          <w:szCs w:val="20"/>
        </w:rPr>
        <w:t>for gas from</w:t>
      </w:r>
      <w:r>
        <w:rPr>
          <w:color w:val="57585A"/>
          <w:spacing w:val="-8"/>
          <w:sz w:val="20"/>
          <w:szCs w:val="20"/>
        </w:rPr>
        <w:t xml:space="preserve"> </w:t>
      </w:r>
      <w:r>
        <w:rPr>
          <w:color w:val="57585A"/>
          <w:spacing w:val="-11"/>
          <w:sz w:val="20"/>
          <w:szCs w:val="20"/>
        </w:rPr>
        <w:t>the residential sector, amid extreme cold</w:t>
      </w:r>
      <w:r>
        <w:rPr>
          <w:color w:val="57585A"/>
          <w:spacing w:val="-15"/>
          <w:sz w:val="20"/>
          <w:szCs w:val="20"/>
        </w:rPr>
        <w:t xml:space="preserve"> </w:t>
      </w:r>
      <w:r>
        <w:rPr>
          <w:color w:val="57585A"/>
          <w:spacing w:val="-11"/>
          <w:sz w:val="20"/>
          <w:szCs w:val="20"/>
        </w:rPr>
        <w:t>weather.</w:t>
      </w:r>
    </w:p>
    <w:p w14:paraId="267DF44E">
      <w:pPr>
        <w:spacing w:line="273" w:lineRule="auto"/>
        <w:rPr>
          <w:sz w:val="20"/>
          <w:szCs w:val="20"/>
        </w:rPr>
        <w:sectPr>
          <w:footerReference r:id="rId36" w:type="default"/>
          <w:pgSz w:w="11906" w:h="16838"/>
          <w:pgMar w:top="400" w:right="490" w:bottom="883" w:left="490" w:header="0" w:footer="0" w:gutter="0"/>
          <w:cols w:space="720" w:num="1"/>
        </w:sectPr>
      </w:pPr>
    </w:p>
    <w:p w14:paraId="4CA113A0">
      <w:pPr>
        <w:pStyle w:val="4"/>
        <w:spacing w:before="73" w:line="241" w:lineRule="auto"/>
        <w:ind w:left="7372"/>
        <w:rPr>
          <w:sz w:val="20"/>
          <w:szCs w:val="20"/>
        </w:rPr>
      </w:pPr>
      <w:r>
        <w:drawing>
          <wp:anchor distT="0" distB="0" distL="0" distR="0" simplePos="0" relativeHeight="25179750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799552" behindDoc="0" locked="0" layoutInCell="0" allowOverlap="1">
            <wp:simplePos x="0" y="0"/>
            <wp:positionH relativeFrom="page">
              <wp:posOffset>311150</wp:posOffset>
            </wp:positionH>
            <wp:positionV relativeFrom="page">
              <wp:posOffset>0</wp:posOffset>
            </wp:positionV>
            <wp:extent cx="19050" cy="814070"/>
            <wp:effectExtent l="0" t="0" r="0" b="0"/>
            <wp:wrapNone/>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50C9D48">
      <w:pPr>
        <w:pStyle w:val="4"/>
        <w:spacing w:line="278" w:lineRule="auto"/>
      </w:pPr>
    </w:p>
    <w:p w14:paraId="02286CA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5400AC4">
      <w:pPr>
        <w:pStyle w:val="4"/>
        <w:spacing w:line="437" w:lineRule="auto"/>
      </w:pPr>
    </w:p>
    <w:p w14:paraId="50C6001A">
      <w:pPr>
        <w:pStyle w:val="4"/>
        <w:spacing w:before="69" w:line="234" w:lineRule="auto"/>
        <w:ind w:left="1820"/>
        <w:outlineLvl w:val="1"/>
        <w:rPr>
          <w:sz w:val="24"/>
          <w:szCs w:val="24"/>
        </w:rPr>
      </w:pPr>
      <w:r>
        <w:rPr>
          <w:color w:val="174174"/>
          <w:spacing w:val="-11"/>
          <w:sz w:val="24"/>
          <w:szCs w:val="24"/>
        </w:rPr>
        <w:t>Improving Economic Environment In 2025</w:t>
      </w:r>
      <w:r>
        <w:rPr>
          <w:color w:val="174174"/>
          <w:spacing w:val="1"/>
          <w:sz w:val="24"/>
          <w:szCs w:val="24"/>
        </w:rPr>
        <w:t xml:space="preserve"> </w:t>
      </w:r>
      <w:r>
        <w:rPr>
          <w:color w:val="174174"/>
          <w:spacing w:val="-11"/>
          <w:sz w:val="24"/>
          <w:szCs w:val="24"/>
        </w:rPr>
        <w:t>To Support Gas Demand Growth</w:t>
      </w:r>
    </w:p>
    <w:p w14:paraId="6815755F">
      <w:pPr>
        <w:pStyle w:val="4"/>
        <w:spacing w:before="32" w:line="231" w:lineRule="auto"/>
        <w:ind w:left="2614"/>
        <w:outlineLvl w:val="1"/>
        <w:rPr>
          <w:sz w:val="20"/>
          <w:szCs w:val="20"/>
        </w:rPr>
      </w:pPr>
      <w:r>
        <w:rPr>
          <w:color w:val="333333"/>
          <w:spacing w:val="-12"/>
          <w:sz w:val="20"/>
          <w:szCs w:val="20"/>
        </w:rPr>
        <w:t>Argentina - Natural Gas Production &amp; Consumption Forecast (2023-2034)</w:t>
      </w:r>
    </w:p>
    <w:p w14:paraId="655F2962">
      <w:pPr>
        <w:spacing w:before="96" w:line="4500" w:lineRule="exact"/>
        <w:ind w:firstLine="1862"/>
      </w:pPr>
      <w:r>
        <w:rPr>
          <w:position w:val="-89"/>
        </w:rPr>
        <w:drawing>
          <wp:inline distT="0" distB="0" distL="0" distR="0">
            <wp:extent cx="4572000" cy="2856865"/>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25"/>
                    <a:stretch>
                      <a:fillRect/>
                    </a:stretch>
                  </pic:blipFill>
                  <pic:spPr>
                    <a:xfrm>
                      <a:off x="0" y="0"/>
                      <a:ext cx="4572000" cy="2857499"/>
                    </a:xfrm>
                    <a:prstGeom prst="rect">
                      <a:avLst/>
                    </a:prstGeom>
                  </pic:spPr>
                </pic:pic>
              </a:graphicData>
            </a:graphic>
          </wp:inline>
        </w:drawing>
      </w:r>
    </w:p>
    <w:p w14:paraId="14B5B0EE">
      <w:pPr>
        <w:pStyle w:val="4"/>
        <w:spacing w:before="149" w:line="233" w:lineRule="auto"/>
        <w:ind w:left="1876"/>
        <w:rPr>
          <w:sz w:val="15"/>
          <w:szCs w:val="15"/>
        </w:rPr>
      </w:pPr>
      <w:r>
        <w:drawing>
          <wp:anchor distT="0" distB="0" distL="0" distR="0" simplePos="0" relativeHeight="251796480"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1"/>
          <w:sz w:val="15"/>
          <w:szCs w:val="15"/>
        </w:rPr>
        <w:t>e/f</w:t>
      </w:r>
      <w:r>
        <w:rPr>
          <w:i/>
          <w:iCs/>
          <w:color w:val="333333"/>
          <w:spacing w:val="-24"/>
          <w:sz w:val="15"/>
          <w:szCs w:val="15"/>
        </w:rPr>
        <w:t xml:space="preserve"> </w:t>
      </w:r>
      <w:r>
        <w:rPr>
          <w:i/>
          <w:iCs/>
          <w:color w:val="333333"/>
          <w:spacing w:val="-3"/>
          <w:w w:val="91"/>
          <w:sz w:val="15"/>
          <w:szCs w:val="15"/>
        </w:rPr>
        <w:t>= BMI</w:t>
      </w:r>
      <w:r>
        <w:rPr>
          <w:i/>
          <w:iCs/>
          <w:color w:val="333333"/>
          <w:spacing w:val="-8"/>
          <w:sz w:val="15"/>
          <w:szCs w:val="15"/>
        </w:rPr>
        <w:t xml:space="preserve"> </w:t>
      </w:r>
      <w:r>
        <w:rPr>
          <w:i/>
          <w:iCs/>
          <w:color w:val="333333"/>
          <w:spacing w:val="-3"/>
          <w:w w:val="91"/>
          <w:sz w:val="15"/>
          <w:szCs w:val="15"/>
        </w:rPr>
        <w:t>estimate/fore</w:t>
      </w:r>
      <w:r>
        <w:rPr>
          <w:i/>
          <w:iCs/>
          <w:color w:val="333333"/>
          <w:spacing w:val="-4"/>
          <w:w w:val="91"/>
          <w:sz w:val="15"/>
          <w:szCs w:val="15"/>
        </w:rPr>
        <w:t>cast. Source: EIA, Enargas, BMI</w:t>
      </w:r>
    </w:p>
    <w:p w14:paraId="00556B23">
      <w:pPr>
        <w:pStyle w:val="4"/>
        <w:spacing w:line="367" w:lineRule="auto"/>
      </w:pPr>
    </w:p>
    <w:p w14:paraId="3BEF796C">
      <w:pPr>
        <w:pStyle w:val="4"/>
        <w:spacing w:before="59" w:line="273" w:lineRule="auto"/>
        <w:ind w:left="367" w:right="398" w:firstLine="8"/>
        <w:rPr>
          <w:sz w:val="20"/>
          <w:szCs w:val="20"/>
        </w:rPr>
      </w:pPr>
      <w:r>
        <w:rPr>
          <w:color w:val="57585A"/>
          <w:spacing w:val="-10"/>
          <w:sz w:val="20"/>
          <w:szCs w:val="20"/>
        </w:rPr>
        <w:t>Heading into 2025,</w:t>
      </w:r>
      <w:r>
        <w:rPr>
          <w:color w:val="57585A"/>
          <w:spacing w:val="-16"/>
          <w:sz w:val="20"/>
          <w:szCs w:val="20"/>
        </w:rPr>
        <w:t xml:space="preserve"> </w:t>
      </w:r>
      <w:r>
        <w:rPr>
          <w:color w:val="57585A"/>
          <w:spacing w:val="-10"/>
          <w:sz w:val="20"/>
          <w:szCs w:val="20"/>
        </w:rPr>
        <w:t>we forecast a continuation of</w:t>
      </w:r>
      <w:r>
        <w:rPr>
          <w:color w:val="57585A"/>
          <w:spacing w:val="-15"/>
          <w:sz w:val="20"/>
          <w:szCs w:val="20"/>
        </w:rPr>
        <w:t xml:space="preserve"> </w:t>
      </w:r>
      <w:r>
        <w:rPr>
          <w:color w:val="57585A"/>
          <w:spacing w:val="-10"/>
          <w:sz w:val="20"/>
          <w:szCs w:val="20"/>
        </w:rPr>
        <w:t>demand growth,</w:t>
      </w:r>
      <w:r>
        <w:rPr>
          <w:color w:val="57585A"/>
          <w:spacing w:val="-16"/>
          <w:sz w:val="20"/>
          <w:szCs w:val="20"/>
        </w:rPr>
        <w:t xml:space="preserve"> </w:t>
      </w:r>
      <w:r>
        <w:rPr>
          <w:color w:val="57585A"/>
          <w:spacing w:val="-10"/>
          <w:sz w:val="20"/>
          <w:szCs w:val="20"/>
        </w:rPr>
        <w:t>with ou</w:t>
      </w:r>
      <w:r>
        <w:rPr>
          <w:color w:val="57585A"/>
          <w:spacing w:val="-11"/>
          <w:sz w:val="20"/>
          <w:szCs w:val="20"/>
        </w:rPr>
        <w:t>r current forecasts for 2025 indicating a 2.5%</w:t>
      </w:r>
      <w:r>
        <w:rPr>
          <w:color w:val="57585A"/>
          <w:spacing w:val="-15"/>
          <w:sz w:val="20"/>
          <w:szCs w:val="20"/>
        </w:rPr>
        <w:t xml:space="preserve"> </w:t>
      </w:r>
      <w:r>
        <w:rPr>
          <w:color w:val="57585A"/>
          <w:spacing w:val="-11"/>
          <w:sz w:val="20"/>
          <w:szCs w:val="20"/>
        </w:rPr>
        <w:t>y-o-y rise to</w:t>
      </w:r>
      <w:r>
        <w:rPr>
          <w:color w:val="57585A"/>
          <w:sz w:val="20"/>
          <w:szCs w:val="20"/>
        </w:rPr>
        <w:t xml:space="preserve"> </w:t>
      </w:r>
      <w:r>
        <w:rPr>
          <w:color w:val="57585A"/>
          <w:spacing w:val="-10"/>
          <w:sz w:val="20"/>
          <w:szCs w:val="20"/>
        </w:rPr>
        <w:t>48.1bcm.</w:t>
      </w:r>
      <w:r>
        <w:rPr>
          <w:color w:val="57585A"/>
          <w:spacing w:val="-15"/>
          <w:sz w:val="20"/>
          <w:szCs w:val="20"/>
        </w:rPr>
        <w:t xml:space="preserve"> </w:t>
      </w:r>
      <w:r>
        <w:rPr>
          <w:color w:val="57585A"/>
          <w:spacing w:val="-10"/>
          <w:sz w:val="20"/>
          <w:szCs w:val="20"/>
        </w:rPr>
        <w:t>This</w:t>
      </w:r>
      <w:r>
        <w:rPr>
          <w:color w:val="57585A"/>
          <w:spacing w:val="-15"/>
          <w:sz w:val="20"/>
          <w:szCs w:val="20"/>
        </w:rPr>
        <w:t xml:space="preserve"> </w:t>
      </w:r>
      <w:r>
        <w:rPr>
          <w:color w:val="57585A"/>
          <w:spacing w:val="-10"/>
          <w:sz w:val="20"/>
          <w:szCs w:val="20"/>
        </w:rPr>
        <w:t>will notably be pulled up by our expectat</w:t>
      </w:r>
      <w:r>
        <w:rPr>
          <w:color w:val="57585A"/>
          <w:spacing w:val="-11"/>
          <w:sz w:val="20"/>
          <w:szCs w:val="20"/>
        </w:rPr>
        <w:t>ion for a return to economic growth,</w:t>
      </w:r>
      <w:r>
        <w:rPr>
          <w:color w:val="57585A"/>
          <w:spacing w:val="-16"/>
          <w:sz w:val="20"/>
          <w:szCs w:val="20"/>
        </w:rPr>
        <w:t xml:space="preserve"> </w:t>
      </w:r>
      <w:r>
        <w:rPr>
          <w:color w:val="57585A"/>
          <w:spacing w:val="-11"/>
          <w:sz w:val="20"/>
          <w:szCs w:val="20"/>
        </w:rPr>
        <w:t>which should stimulate gas demand</w:t>
      </w:r>
    </w:p>
    <w:p w14:paraId="25B1BC5B">
      <w:pPr>
        <w:pStyle w:val="4"/>
        <w:spacing w:before="37" w:line="231" w:lineRule="auto"/>
        <w:ind w:left="367"/>
        <w:rPr>
          <w:sz w:val="20"/>
          <w:szCs w:val="20"/>
        </w:rPr>
      </w:pPr>
      <w:r>
        <w:rPr>
          <w:color w:val="57585A"/>
          <w:spacing w:val="-11"/>
          <w:sz w:val="20"/>
          <w:szCs w:val="20"/>
        </w:rPr>
        <w:t>growth from the power sector and the industrial sectors in particula</w:t>
      </w:r>
      <w:r>
        <w:rPr>
          <w:color w:val="57585A"/>
          <w:spacing w:val="-12"/>
          <w:sz w:val="20"/>
          <w:szCs w:val="20"/>
        </w:rPr>
        <w:t>r. Our Country Risk team forecasts real GDP growth of</w:t>
      </w:r>
      <w:r>
        <w:rPr>
          <w:color w:val="57585A"/>
          <w:spacing w:val="-16"/>
          <w:sz w:val="20"/>
          <w:szCs w:val="20"/>
        </w:rPr>
        <w:t xml:space="preserve"> </w:t>
      </w:r>
      <w:r>
        <w:rPr>
          <w:color w:val="57585A"/>
          <w:spacing w:val="-12"/>
          <w:sz w:val="20"/>
          <w:szCs w:val="20"/>
        </w:rPr>
        <w:t>4.8% in</w:t>
      </w:r>
    </w:p>
    <w:p w14:paraId="6F198849">
      <w:pPr>
        <w:pStyle w:val="4"/>
        <w:spacing w:before="58" w:line="273" w:lineRule="auto"/>
        <w:ind w:left="369" w:right="393" w:firstLine="1"/>
        <w:rPr>
          <w:sz w:val="20"/>
          <w:szCs w:val="20"/>
        </w:rPr>
      </w:pPr>
      <w:r>
        <w:rPr>
          <w:color w:val="57585A"/>
          <w:spacing w:val="-10"/>
          <w:sz w:val="20"/>
          <w:szCs w:val="20"/>
        </w:rPr>
        <w:t>2025 and 4.4% in 2026, after another contraction of 1.7% in</w:t>
      </w:r>
      <w:r>
        <w:rPr>
          <w:color w:val="57585A"/>
          <w:spacing w:val="-11"/>
          <w:sz w:val="20"/>
          <w:szCs w:val="20"/>
        </w:rPr>
        <w:t xml:space="preserve"> 2024. They highlight that broader macroeconomic stability, particularly</w:t>
      </w:r>
      <w:r>
        <w:rPr>
          <w:color w:val="57585A"/>
          <w:sz w:val="20"/>
          <w:szCs w:val="20"/>
        </w:rPr>
        <w:t xml:space="preserve"> </w:t>
      </w:r>
      <w:r>
        <w:rPr>
          <w:color w:val="57585A"/>
          <w:spacing w:val="-10"/>
          <w:sz w:val="20"/>
          <w:szCs w:val="20"/>
        </w:rPr>
        <w:t>currency and price stability,</w:t>
      </w:r>
      <w:r>
        <w:rPr>
          <w:color w:val="57585A"/>
          <w:spacing w:val="-16"/>
          <w:sz w:val="20"/>
          <w:szCs w:val="20"/>
        </w:rPr>
        <w:t xml:space="preserve"> </w:t>
      </w:r>
      <w:r>
        <w:rPr>
          <w:color w:val="57585A"/>
          <w:spacing w:val="-11"/>
          <w:sz w:val="20"/>
          <w:szCs w:val="20"/>
        </w:rPr>
        <w:t>will support the recovery in 2025 and 2026.</w:t>
      </w:r>
    </w:p>
    <w:p w14:paraId="4E60C321">
      <w:pPr>
        <w:pStyle w:val="4"/>
        <w:spacing w:line="295" w:lineRule="auto"/>
      </w:pPr>
    </w:p>
    <w:p w14:paraId="6337C277">
      <w:pPr>
        <w:pStyle w:val="4"/>
        <w:spacing w:line="295" w:lineRule="auto"/>
      </w:pPr>
    </w:p>
    <w:p w14:paraId="653F0B85">
      <w:pPr>
        <w:pStyle w:val="4"/>
        <w:spacing w:before="69" w:line="234" w:lineRule="auto"/>
        <w:ind w:left="694"/>
        <w:outlineLvl w:val="1"/>
        <w:rPr>
          <w:sz w:val="24"/>
          <w:szCs w:val="24"/>
        </w:rPr>
      </w:pPr>
      <w:r>
        <w:rPr>
          <w:color w:val="174174"/>
          <w:spacing w:val="-10"/>
          <w:sz w:val="24"/>
          <w:szCs w:val="24"/>
        </w:rPr>
        <w:t>Strong Demand From Power</w:t>
      </w:r>
      <w:r>
        <w:rPr>
          <w:color w:val="174174"/>
          <w:spacing w:val="-19"/>
          <w:sz w:val="24"/>
          <w:szCs w:val="24"/>
        </w:rPr>
        <w:t xml:space="preserve"> </w:t>
      </w:r>
      <w:r>
        <w:rPr>
          <w:color w:val="174174"/>
          <w:spacing w:val="-10"/>
          <w:sz w:val="24"/>
          <w:szCs w:val="24"/>
        </w:rPr>
        <w:t>And</w:t>
      </w:r>
      <w:r>
        <w:rPr>
          <w:color w:val="174174"/>
          <w:spacing w:val="-11"/>
          <w:sz w:val="24"/>
          <w:szCs w:val="24"/>
        </w:rPr>
        <w:t xml:space="preserve"> Residential Segment Outbalanced Declines In Industrial Demand</w:t>
      </w:r>
    </w:p>
    <w:p w14:paraId="77F9CA61">
      <w:pPr>
        <w:pStyle w:val="4"/>
        <w:spacing w:before="33" w:line="231" w:lineRule="auto"/>
        <w:ind w:left="2545"/>
        <w:outlineLvl w:val="1"/>
        <w:rPr>
          <w:sz w:val="20"/>
          <w:szCs w:val="20"/>
        </w:rPr>
      </w:pPr>
      <w:r>
        <w:rPr>
          <w:color w:val="333333"/>
          <w:spacing w:val="-12"/>
          <w:sz w:val="20"/>
          <w:szCs w:val="20"/>
        </w:rPr>
        <w:t>Argentina - Natural Gas Consumption</w:t>
      </w:r>
      <w:r>
        <w:rPr>
          <w:color w:val="333333"/>
          <w:spacing w:val="-13"/>
          <w:sz w:val="20"/>
          <w:szCs w:val="20"/>
        </w:rPr>
        <w:t xml:space="preserve"> Per Recipient Type, bcm (2020-2024)</w:t>
      </w:r>
    </w:p>
    <w:p w14:paraId="5BE8CB33">
      <w:pPr>
        <w:spacing w:before="97" w:line="4500" w:lineRule="exact"/>
        <w:ind w:firstLine="1862"/>
      </w:pPr>
      <w:r>
        <w:drawing>
          <wp:anchor distT="0" distB="0" distL="0" distR="0" simplePos="0" relativeHeight="251798528" behindDoc="0" locked="0" layoutInCell="1" allowOverlap="1">
            <wp:simplePos x="0" y="0"/>
            <wp:positionH relativeFrom="column">
              <wp:posOffset>1182370</wp:posOffset>
            </wp:positionH>
            <wp:positionV relativeFrom="paragraph">
              <wp:posOffset>3006090</wp:posOffset>
            </wp:positionV>
            <wp:extent cx="4572000" cy="9525"/>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12"/>
                    <a:stretch>
                      <a:fillRect/>
                    </a:stretch>
                  </pic:blipFill>
                  <pic:spPr>
                    <a:xfrm>
                      <a:off x="0" y="0"/>
                      <a:ext cx="4572000" cy="9525"/>
                    </a:xfrm>
                    <a:prstGeom prst="rect">
                      <a:avLst/>
                    </a:prstGeom>
                  </pic:spPr>
                </pic:pic>
              </a:graphicData>
            </a:graphic>
          </wp:anchor>
        </w:drawing>
      </w:r>
      <w:r>
        <w:rPr>
          <w:position w:val="-90"/>
        </w:rPr>
        <w:drawing>
          <wp:inline distT="0" distB="0" distL="0" distR="0">
            <wp:extent cx="4572000" cy="285750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26"/>
                    <a:stretch>
                      <a:fillRect/>
                    </a:stretch>
                  </pic:blipFill>
                  <pic:spPr>
                    <a:xfrm>
                      <a:off x="0" y="0"/>
                      <a:ext cx="4572000" cy="2857500"/>
                    </a:xfrm>
                    <a:prstGeom prst="rect">
                      <a:avLst/>
                    </a:prstGeom>
                  </pic:spPr>
                </pic:pic>
              </a:graphicData>
            </a:graphic>
          </wp:inline>
        </w:drawing>
      </w:r>
    </w:p>
    <w:p w14:paraId="2BA38B09">
      <w:pPr>
        <w:pStyle w:val="4"/>
        <w:spacing w:before="181" w:line="185" w:lineRule="auto"/>
        <w:ind w:left="1871"/>
        <w:rPr>
          <w:sz w:val="15"/>
          <w:szCs w:val="15"/>
        </w:rPr>
      </w:pPr>
      <w:r>
        <w:rPr>
          <w:i/>
          <w:iCs/>
          <w:color w:val="333333"/>
          <w:spacing w:val="-7"/>
          <w:w w:val="92"/>
          <w:sz w:val="15"/>
          <w:szCs w:val="15"/>
        </w:rPr>
        <w:t>Source: Enargas, BMI</w:t>
      </w:r>
    </w:p>
    <w:p w14:paraId="6FF40394">
      <w:pPr>
        <w:spacing w:line="185" w:lineRule="auto"/>
        <w:rPr>
          <w:sz w:val="15"/>
          <w:szCs w:val="15"/>
        </w:rPr>
        <w:sectPr>
          <w:footerReference r:id="rId37" w:type="default"/>
          <w:pgSz w:w="11906" w:h="16838"/>
          <w:pgMar w:top="400" w:right="490" w:bottom="883" w:left="490" w:header="0" w:footer="0" w:gutter="0"/>
          <w:cols w:space="720" w:num="1"/>
        </w:sectPr>
      </w:pPr>
    </w:p>
    <w:p w14:paraId="66DDC938">
      <w:pPr>
        <w:pStyle w:val="4"/>
        <w:spacing w:before="73" w:line="241" w:lineRule="auto"/>
        <w:ind w:left="7372"/>
        <w:rPr>
          <w:sz w:val="20"/>
          <w:szCs w:val="20"/>
        </w:rPr>
      </w:pPr>
      <w:r>
        <w:drawing>
          <wp:anchor distT="0" distB="0" distL="0" distR="0" simplePos="0" relativeHeight="25180262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03648" behindDoc="0" locked="0" layoutInCell="0" allowOverlap="1">
            <wp:simplePos x="0" y="0"/>
            <wp:positionH relativeFrom="page">
              <wp:posOffset>311150</wp:posOffset>
            </wp:positionH>
            <wp:positionV relativeFrom="page">
              <wp:posOffset>0</wp:posOffset>
            </wp:positionV>
            <wp:extent cx="19050" cy="814070"/>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2A558EB">
      <w:pPr>
        <w:pStyle w:val="4"/>
        <w:spacing w:line="278" w:lineRule="auto"/>
      </w:pPr>
    </w:p>
    <w:p w14:paraId="1E0A0E5F">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27231A9">
      <w:pPr>
        <w:pStyle w:val="4"/>
        <w:spacing w:line="470" w:lineRule="auto"/>
      </w:pPr>
    </w:p>
    <w:p w14:paraId="172ECDBD">
      <w:pPr>
        <w:pStyle w:val="4"/>
        <w:spacing w:before="58" w:line="273" w:lineRule="auto"/>
        <w:ind w:left="363" w:right="586" w:firstLine="12"/>
        <w:rPr>
          <w:sz w:val="20"/>
          <w:szCs w:val="20"/>
        </w:rPr>
      </w:pPr>
      <w:r>
        <w:rPr>
          <w:color w:val="57585A"/>
          <w:spacing w:val="-10"/>
          <w:sz w:val="20"/>
          <w:szCs w:val="20"/>
        </w:rPr>
        <w:t xml:space="preserve">Natural gas consumption is expected to continue to grow over </w:t>
      </w:r>
      <w:r>
        <w:rPr>
          <w:color w:val="57585A"/>
          <w:spacing w:val="-11"/>
          <w:sz w:val="20"/>
          <w:szCs w:val="20"/>
        </w:rPr>
        <w:t>the long-term horizon on the back of</w:t>
      </w:r>
      <w:r>
        <w:rPr>
          <w:color w:val="57585A"/>
          <w:spacing w:val="-21"/>
          <w:sz w:val="20"/>
          <w:szCs w:val="20"/>
        </w:rPr>
        <w:t xml:space="preserve"> </w:t>
      </w:r>
      <w:r>
        <w:rPr>
          <w:color w:val="57585A"/>
          <w:spacing w:val="-11"/>
          <w:sz w:val="20"/>
          <w:szCs w:val="20"/>
        </w:rPr>
        <w:t>the expansion of natural gas</w:t>
      </w:r>
      <w:r>
        <w:rPr>
          <w:color w:val="57585A"/>
          <w:sz w:val="20"/>
          <w:szCs w:val="20"/>
        </w:rPr>
        <w:t xml:space="preserve"> </w:t>
      </w:r>
      <w:r>
        <w:rPr>
          <w:color w:val="57585A"/>
          <w:spacing w:val="-10"/>
          <w:sz w:val="20"/>
          <w:szCs w:val="20"/>
        </w:rPr>
        <w:t>fired power generation capacity and strong deman</w:t>
      </w:r>
      <w:r>
        <w:rPr>
          <w:color w:val="57585A"/>
          <w:spacing w:val="-11"/>
          <w:sz w:val="20"/>
          <w:szCs w:val="20"/>
        </w:rPr>
        <w:t>d from the residential sector.</w:t>
      </w:r>
      <w:r>
        <w:rPr>
          <w:color w:val="57585A"/>
          <w:spacing w:val="-15"/>
          <w:sz w:val="20"/>
          <w:szCs w:val="20"/>
        </w:rPr>
        <w:t xml:space="preserve"> </w:t>
      </w:r>
      <w:r>
        <w:rPr>
          <w:color w:val="57585A"/>
          <w:spacing w:val="-11"/>
          <w:sz w:val="20"/>
          <w:szCs w:val="20"/>
        </w:rPr>
        <w:t>The abundance of</w:t>
      </w:r>
      <w:r>
        <w:rPr>
          <w:color w:val="57585A"/>
          <w:spacing w:val="-21"/>
          <w:sz w:val="20"/>
          <w:szCs w:val="20"/>
        </w:rPr>
        <w:t xml:space="preserve"> </w:t>
      </w:r>
      <w:r>
        <w:rPr>
          <w:color w:val="57585A"/>
          <w:spacing w:val="-11"/>
          <w:sz w:val="20"/>
          <w:szCs w:val="20"/>
        </w:rPr>
        <w:t>the domestic resource</w:t>
      </w:r>
      <w:r>
        <w:rPr>
          <w:color w:val="57585A"/>
          <w:spacing w:val="-16"/>
          <w:sz w:val="20"/>
          <w:szCs w:val="20"/>
        </w:rPr>
        <w:t xml:space="preserve"> </w:t>
      </w:r>
      <w:r>
        <w:rPr>
          <w:color w:val="57585A"/>
          <w:spacing w:val="-11"/>
          <w:sz w:val="20"/>
          <w:szCs w:val="20"/>
        </w:rPr>
        <w:t>would</w:t>
      </w:r>
    </w:p>
    <w:p w14:paraId="6D11F845">
      <w:pPr>
        <w:pStyle w:val="4"/>
        <w:spacing w:before="36" w:line="231" w:lineRule="auto"/>
        <w:ind w:left="366"/>
        <w:rPr>
          <w:sz w:val="20"/>
          <w:szCs w:val="20"/>
        </w:rPr>
      </w:pPr>
      <w:r>
        <w:rPr>
          <w:color w:val="57585A"/>
          <w:spacing w:val="-10"/>
          <w:sz w:val="20"/>
          <w:szCs w:val="20"/>
        </w:rPr>
        <w:t>stimulate the growth in demand, however, the northern parts of</w:t>
      </w:r>
      <w:r>
        <w:rPr>
          <w:color w:val="57585A"/>
          <w:spacing w:val="-22"/>
          <w:sz w:val="20"/>
          <w:szCs w:val="20"/>
        </w:rPr>
        <w:t xml:space="preserve"> </w:t>
      </w:r>
      <w:r>
        <w:rPr>
          <w:color w:val="57585A"/>
          <w:spacing w:val="-10"/>
          <w:sz w:val="20"/>
          <w:szCs w:val="20"/>
        </w:rPr>
        <w:t>the country,</w:t>
      </w:r>
      <w:r>
        <w:rPr>
          <w:color w:val="57585A"/>
          <w:spacing w:val="-15"/>
          <w:sz w:val="20"/>
          <w:szCs w:val="20"/>
        </w:rPr>
        <w:t xml:space="preserve"> </w:t>
      </w:r>
      <w:r>
        <w:rPr>
          <w:color w:val="57585A"/>
          <w:spacing w:val="-10"/>
          <w:sz w:val="20"/>
          <w:szCs w:val="20"/>
        </w:rPr>
        <w:t>where the majority of</w:t>
      </w:r>
      <w:r>
        <w:rPr>
          <w:color w:val="57585A"/>
          <w:spacing w:val="-21"/>
          <w:sz w:val="20"/>
          <w:szCs w:val="20"/>
        </w:rPr>
        <w:t xml:space="preserve"> </w:t>
      </w:r>
      <w:r>
        <w:rPr>
          <w:color w:val="57585A"/>
          <w:spacing w:val="-10"/>
          <w:sz w:val="20"/>
          <w:szCs w:val="20"/>
        </w:rPr>
        <w:t>the demand is concentrat</w:t>
      </w:r>
      <w:r>
        <w:rPr>
          <w:color w:val="57585A"/>
          <w:spacing w:val="-11"/>
          <w:sz w:val="20"/>
          <w:szCs w:val="20"/>
        </w:rPr>
        <w:t>ed,</w:t>
      </w:r>
    </w:p>
    <w:p w14:paraId="15F34516">
      <w:pPr>
        <w:pStyle w:val="4"/>
        <w:spacing w:before="58" w:line="274" w:lineRule="auto"/>
        <w:ind w:left="359" w:right="426"/>
        <w:rPr>
          <w:sz w:val="20"/>
          <w:szCs w:val="20"/>
        </w:rPr>
      </w:pPr>
      <w:r>
        <w:rPr>
          <w:color w:val="57585A"/>
          <w:spacing w:val="-11"/>
          <w:sz w:val="20"/>
          <w:szCs w:val="20"/>
        </w:rPr>
        <w:t xml:space="preserve">would likely turn to occasional LNG imports given the limited midstream capacity connecting the gas-rich Vaca Muerta and </w:t>
      </w:r>
      <w:r>
        <w:rPr>
          <w:color w:val="57585A"/>
          <w:spacing w:val="-12"/>
          <w:sz w:val="20"/>
          <w:szCs w:val="20"/>
        </w:rPr>
        <w:t>Buenos</w:t>
      </w:r>
      <w:r>
        <w:rPr>
          <w:color w:val="57585A"/>
          <w:sz w:val="20"/>
          <w:szCs w:val="20"/>
        </w:rPr>
        <w:t xml:space="preserve"> </w:t>
      </w:r>
      <w:r>
        <w:rPr>
          <w:color w:val="57585A"/>
          <w:spacing w:val="-11"/>
          <w:sz w:val="20"/>
          <w:szCs w:val="20"/>
        </w:rPr>
        <w:t>Aires metropolitan area.</w:t>
      </w:r>
    </w:p>
    <w:p w14:paraId="5422F6AD">
      <w:pPr>
        <w:pStyle w:val="4"/>
        <w:spacing w:line="263" w:lineRule="auto"/>
      </w:pPr>
    </w:p>
    <w:p w14:paraId="77CA6D3B">
      <w:pPr>
        <w:pStyle w:val="4"/>
        <w:spacing w:before="58" w:line="273" w:lineRule="auto"/>
        <w:ind w:left="372" w:right="558" w:hanging="3"/>
        <w:rPr>
          <w:sz w:val="20"/>
          <w:szCs w:val="20"/>
        </w:rPr>
      </w:pPr>
      <w:r>
        <w:rPr>
          <w:color w:val="57585A"/>
          <w:spacing w:val="-12"/>
          <w:sz w:val="20"/>
          <w:szCs w:val="20"/>
        </w:rPr>
        <w:t>Gas demand</w:t>
      </w:r>
      <w:r>
        <w:rPr>
          <w:color w:val="57585A"/>
          <w:spacing w:val="-16"/>
          <w:sz w:val="20"/>
          <w:szCs w:val="20"/>
        </w:rPr>
        <w:t xml:space="preserve"> </w:t>
      </w:r>
      <w:r>
        <w:rPr>
          <w:color w:val="57585A"/>
          <w:spacing w:val="-12"/>
          <w:sz w:val="20"/>
          <w:szCs w:val="20"/>
        </w:rPr>
        <w:t>will be led by rising demand from the power sector. Our Pow</w:t>
      </w:r>
      <w:r>
        <w:rPr>
          <w:color w:val="57585A"/>
          <w:spacing w:val="-13"/>
          <w:sz w:val="20"/>
          <w:szCs w:val="20"/>
        </w:rPr>
        <w:t>er &amp; Renewables team forecast gas power generation to</w:t>
      </w:r>
      <w:r>
        <w:rPr>
          <w:color w:val="57585A"/>
          <w:sz w:val="20"/>
          <w:szCs w:val="20"/>
        </w:rPr>
        <w:t xml:space="preserve"> </w:t>
      </w:r>
      <w:r>
        <w:rPr>
          <w:color w:val="57585A"/>
          <w:spacing w:val="-11"/>
          <w:sz w:val="20"/>
          <w:szCs w:val="20"/>
        </w:rPr>
        <w:t>rise by a</w:t>
      </w:r>
      <w:r>
        <w:rPr>
          <w:color w:val="57585A"/>
          <w:spacing w:val="-16"/>
          <w:sz w:val="20"/>
          <w:szCs w:val="20"/>
        </w:rPr>
        <w:t xml:space="preserve"> </w:t>
      </w:r>
      <w:r>
        <w:rPr>
          <w:color w:val="57585A"/>
          <w:spacing w:val="-11"/>
          <w:sz w:val="20"/>
          <w:szCs w:val="20"/>
        </w:rPr>
        <w:t>yearly average of 2.5% over the 2025-2034 forecast period,</w:t>
      </w:r>
      <w:r>
        <w:rPr>
          <w:color w:val="57585A"/>
          <w:spacing w:val="-15"/>
          <w:sz w:val="20"/>
          <w:szCs w:val="20"/>
        </w:rPr>
        <w:t xml:space="preserve"> </w:t>
      </w:r>
      <w:r>
        <w:rPr>
          <w:color w:val="57585A"/>
          <w:spacing w:val="-11"/>
          <w:sz w:val="20"/>
          <w:szCs w:val="20"/>
        </w:rPr>
        <w:t>with gas power repre</w:t>
      </w:r>
      <w:r>
        <w:rPr>
          <w:color w:val="57585A"/>
          <w:spacing w:val="-12"/>
          <w:sz w:val="20"/>
          <w:szCs w:val="20"/>
        </w:rPr>
        <w:t>senting about 47-48% of</w:t>
      </w:r>
      <w:r>
        <w:rPr>
          <w:color w:val="57585A"/>
          <w:spacing w:val="-21"/>
          <w:sz w:val="20"/>
          <w:szCs w:val="20"/>
        </w:rPr>
        <w:t xml:space="preserve"> </w:t>
      </w:r>
      <w:r>
        <w:rPr>
          <w:color w:val="57585A"/>
          <w:spacing w:val="-12"/>
          <w:sz w:val="20"/>
          <w:szCs w:val="20"/>
        </w:rPr>
        <w:t>total power</w:t>
      </w:r>
    </w:p>
    <w:p w14:paraId="5C86D013">
      <w:pPr>
        <w:pStyle w:val="4"/>
        <w:spacing w:before="37" w:line="273" w:lineRule="auto"/>
        <w:ind w:left="367" w:right="513" w:firstLine="1"/>
        <w:rPr>
          <w:sz w:val="20"/>
          <w:szCs w:val="20"/>
        </w:rPr>
      </w:pPr>
      <w:r>
        <w:rPr>
          <w:color w:val="57585A"/>
          <w:spacing w:val="-10"/>
          <w:sz w:val="20"/>
          <w:szCs w:val="20"/>
        </w:rPr>
        <w:t>output throughout the forecast period. In addition to continued use in the industrial and residential segments, this should drive up</w:t>
      </w:r>
      <w:r>
        <w:rPr>
          <w:color w:val="57585A"/>
          <w:spacing w:val="9"/>
          <w:sz w:val="20"/>
          <w:szCs w:val="20"/>
        </w:rPr>
        <w:t xml:space="preserve"> </w:t>
      </w:r>
      <w:r>
        <w:rPr>
          <w:color w:val="57585A"/>
          <w:spacing w:val="-11"/>
          <w:sz w:val="20"/>
          <w:szCs w:val="20"/>
        </w:rPr>
        <w:t>gas demand in</w:t>
      </w:r>
      <w:r>
        <w:rPr>
          <w:color w:val="57585A"/>
          <w:spacing w:val="-16"/>
          <w:sz w:val="20"/>
          <w:szCs w:val="20"/>
        </w:rPr>
        <w:t xml:space="preserve"> </w:t>
      </w:r>
      <w:r>
        <w:rPr>
          <w:color w:val="57585A"/>
          <w:spacing w:val="-11"/>
          <w:sz w:val="20"/>
          <w:szCs w:val="20"/>
        </w:rPr>
        <w:t>Argentina over the entire forecast period. We do highlight some d</w:t>
      </w:r>
      <w:r>
        <w:rPr>
          <w:color w:val="57585A"/>
          <w:spacing w:val="-12"/>
          <w:sz w:val="20"/>
          <w:szCs w:val="20"/>
        </w:rPr>
        <w:t>ownside risks to gas demand from the power</w:t>
      </w:r>
    </w:p>
    <w:p w14:paraId="6F446862">
      <w:pPr>
        <w:pStyle w:val="4"/>
        <w:spacing w:before="38" w:line="279" w:lineRule="auto"/>
        <w:ind w:left="368" w:right="375" w:hanging="2"/>
        <w:rPr>
          <w:sz w:val="20"/>
          <w:szCs w:val="20"/>
        </w:rPr>
      </w:pPr>
      <w:r>
        <w:rPr>
          <w:color w:val="57585A"/>
          <w:spacing w:val="-11"/>
          <w:sz w:val="20"/>
          <w:szCs w:val="20"/>
        </w:rPr>
        <w:t>sector, due to growing competition from non-hydropower renewables</w:t>
      </w:r>
      <w:r>
        <w:rPr>
          <w:color w:val="57585A"/>
          <w:spacing w:val="-12"/>
          <w:sz w:val="20"/>
          <w:szCs w:val="20"/>
        </w:rPr>
        <w:t>. Our Power &amp; Renewables team expects the market to focus</w:t>
      </w:r>
      <w:r>
        <w:rPr>
          <w:color w:val="57585A"/>
          <w:sz w:val="20"/>
          <w:szCs w:val="20"/>
        </w:rPr>
        <w:t xml:space="preserve"> </w:t>
      </w:r>
      <w:r>
        <w:rPr>
          <w:color w:val="57585A"/>
          <w:spacing w:val="-10"/>
          <w:sz w:val="20"/>
          <w:szCs w:val="20"/>
        </w:rPr>
        <w:t xml:space="preserve">on the development of non-hydro renewables capacity in the long term. </w:t>
      </w:r>
      <w:r>
        <w:rPr>
          <w:color w:val="57585A"/>
          <w:spacing w:val="-11"/>
          <w:sz w:val="20"/>
          <w:szCs w:val="20"/>
        </w:rPr>
        <w:t>We caution that</w:t>
      </w:r>
      <w:r>
        <w:rPr>
          <w:color w:val="57585A"/>
          <w:spacing w:val="-12"/>
          <w:sz w:val="20"/>
          <w:szCs w:val="20"/>
        </w:rPr>
        <w:t xml:space="preserve"> </w:t>
      </w:r>
      <w:r>
        <w:rPr>
          <w:color w:val="57585A"/>
          <w:spacing w:val="-11"/>
          <w:sz w:val="20"/>
          <w:szCs w:val="20"/>
        </w:rPr>
        <w:t>the investments in other renewable power</w:t>
      </w:r>
      <w:r>
        <w:rPr>
          <w:color w:val="57585A"/>
          <w:sz w:val="20"/>
          <w:szCs w:val="20"/>
        </w:rPr>
        <w:t xml:space="preserve"> </w:t>
      </w:r>
      <w:r>
        <w:rPr>
          <w:color w:val="57585A"/>
          <w:spacing w:val="-10"/>
          <w:sz w:val="20"/>
          <w:szCs w:val="20"/>
        </w:rPr>
        <w:t>plants require a flexible back-up system to deal</w:t>
      </w:r>
      <w:r>
        <w:rPr>
          <w:color w:val="57585A"/>
          <w:spacing w:val="-16"/>
          <w:sz w:val="20"/>
          <w:szCs w:val="20"/>
        </w:rPr>
        <w:t xml:space="preserve"> </w:t>
      </w:r>
      <w:r>
        <w:rPr>
          <w:color w:val="57585A"/>
          <w:spacing w:val="-10"/>
          <w:sz w:val="20"/>
          <w:szCs w:val="20"/>
        </w:rPr>
        <w:t>with t</w:t>
      </w:r>
      <w:r>
        <w:rPr>
          <w:color w:val="57585A"/>
          <w:spacing w:val="-11"/>
          <w:sz w:val="20"/>
          <w:szCs w:val="20"/>
        </w:rPr>
        <w:t>he inherent intermittency issues.</w:t>
      </w:r>
    </w:p>
    <w:p w14:paraId="1CE9B919">
      <w:pPr>
        <w:pStyle w:val="4"/>
        <w:spacing w:line="265" w:lineRule="auto"/>
      </w:pPr>
    </w:p>
    <w:p w14:paraId="1249735B">
      <w:pPr>
        <w:pStyle w:val="4"/>
        <w:spacing w:before="58" w:line="231" w:lineRule="auto"/>
        <w:ind w:left="361"/>
        <w:rPr>
          <w:sz w:val="20"/>
          <w:szCs w:val="20"/>
        </w:rPr>
      </w:pPr>
      <w:r>
        <w:rPr>
          <w:color w:val="57585A"/>
          <w:spacing w:val="-10"/>
          <w:sz w:val="20"/>
          <w:szCs w:val="20"/>
        </w:rPr>
        <w:t>We also expect that the domestic production of natural gas</w:t>
      </w:r>
      <w:r>
        <w:rPr>
          <w:color w:val="57585A"/>
          <w:spacing w:val="-15"/>
          <w:sz w:val="20"/>
          <w:szCs w:val="20"/>
        </w:rPr>
        <w:t xml:space="preserve"> </w:t>
      </w:r>
      <w:r>
        <w:rPr>
          <w:color w:val="57585A"/>
          <w:spacing w:val="-10"/>
          <w:sz w:val="20"/>
          <w:szCs w:val="20"/>
        </w:rPr>
        <w:t>will support h</w:t>
      </w:r>
      <w:r>
        <w:rPr>
          <w:color w:val="57585A"/>
          <w:spacing w:val="-11"/>
          <w:sz w:val="20"/>
          <w:szCs w:val="20"/>
        </w:rPr>
        <w:t>igher consumption should the midstream system be</w:t>
      </w:r>
    </w:p>
    <w:p w14:paraId="132A7218">
      <w:pPr>
        <w:pStyle w:val="4"/>
        <w:spacing w:before="59" w:line="273" w:lineRule="auto"/>
        <w:ind w:left="369" w:right="366"/>
        <w:rPr>
          <w:sz w:val="20"/>
          <w:szCs w:val="20"/>
        </w:rPr>
      </w:pPr>
      <w:r>
        <w:rPr>
          <w:color w:val="57585A"/>
          <w:spacing w:val="-10"/>
          <w:sz w:val="20"/>
          <w:szCs w:val="20"/>
        </w:rPr>
        <w:t>expanded to serve the most demand-intens</w:t>
      </w:r>
      <w:r>
        <w:rPr>
          <w:color w:val="57585A"/>
          <w:spacing w:val="-11"/>
          <w:sz w:val="20"/>
          <w:szCs w:val="20"/>
        </w:rPr>
        <w:t>e regions of</w:t>
      </w:r>
      <w:r>
        <w:rPr>
          <w:color w:val="57585A"/>
          <w:spacing w:val="-21"/>
          <w:sz w:val="20"/>
          <w:szCs w:val="20"/>
        </w:rPr>
        <w:t xml:space="preserve"> </w:t>
      </w:r>
      <w:r>
        <w:rPr>
          <w:color w:val="57585A"/>
          <w:spacing w:val="-11"/>
          <w:sz w:val="20"/>
          <w:szCs w:val="20"/>
        </w:rPr>
        <w:t>the country. The recent cancellation of</w:t>
      </w:r>
      <w:r>
        <w:rPr>
          <w:color w:val="57585A"/>
          <w:spacing w:val="-21"/>
          <w:sz w:val="20"/>
          <w:szCs w:val="20"/>
        </w:rPr>
        <w:t xml:space="preserve"> </w:t>
      </w:r>
      <w:r>
        <w:rPr>
          <w:color w:val="57585A"/>
          <w:spacing w:val="-11"/>
          <w:sz w:val="20"/>
          <w:szCs w:val="20"/>
        </w:rPr>
        <w:t>the large pipeline project,</w:t>
      </w:r>
      <w:r>
        <w:rPr>
          <w:color w:val="57585A"/>
          <w:spacing w:val="-16"/>
          <w:sz w:val="20"/>
          <w:szCs w:val="20"/>
        </w:rPr>
        <w:t xml:space="preserve"> </w:t>
      </w:r>
      <w:r>
        <w:rPr>
          <w:color w:val="57585A"/>
          <w:spacing w:val="-11"/>
          <w:sz w:val="20"/>
          <w:szCs w:val="20"/>
        </w:rPr>
        <w:t>which</w:t>
      </w:r>
      <w:r>
        <w:rPr>
          <w:color w:val="57585A"/>
          <w:spacing w:val="-15"/>
          <w:sz w:val="20"/>
          <w:szCs w:val="20"/>
        </w:rPr>
        <w:t xml:space="preserve"> </w:t>
      </w:r>
      <w:r>
        <w:rPr>
          <w:color w:val="57585A"/>
          <w:spacing w:val="-11"/>
          <w:sz w:val="20"/>
          <w:szCs w:val="20"/>
        </w:rPr>
        <w:t>was</w:t>
      </w:r>
      <w:r>
        <w:rPr>
          <w:color w:val="57585A"/>
          <w:sz w:val="20"/>
          <w:szCs w:val="20"/>
        </w:rPr>
        <w:t xml:space="preserve"> </w:t>
      </w:r>
      <w:r>
        <w:rPr>
          <w:color w:val="57585A"/>
          <w:spacing w:val="-11"/>
          <w:sz w:val="20"/>
          <w:szCs w:val="20"/>
        </w:rPr>
        <w:t>expected to connect Vaca Muerta</w:t>
      </w:r>
      <w:r>
        <w:rPr>
          <w:color w:val="57585A"/>
          <w:spacing w:val="-15"/>
          <w:sz w:val="20"/>
          <w:szCs w:val="20"/>
        </w:rPr>
        <w:t xml:space="preserve"> </w:t>
      </w:r>
      <w:r>
        <w:rPr>
          <w:color w:val="57585A"/>
          <w:spacing w:val="-11"/>
          <w:sz w:val="20"/>
          <w:szCs w:val="20"/>
        </w:rPr>
        <w:t>with demand intensive Buenos</w:t>
      </w:r>
      <w:r>
        <w:rPr>
          <w:color w:val="57585A"/>
          <w:spacing w:val="-16"/>
          <w:sz w:val="20"/>
          <w:szCs w:val="20"/>
        </w:rPr>
        <w:t xml:space="preserve"> </w:t>
      </w:r>
      <w:r>
        <w:rPr>
          <w:color w:val="57585A"/>
          <w:spacing w:val="-11"/>
          <w:sz w:val="20"/>
          <w:szCs w:val="20"/>
        </w:rPr>
        <w:t>Aires region</w:t>
      </w:r>
      <w:r>
        <w:rPr>
          <w:color w:val="57585A"/>
          <w:spacing w:val="-15"/>
          <w:sz w:val="20"/>
          <w:szCs w:val="20"/>
        </w:rPr>
        <w:t xml:space="preserve"> </w:t>
      </w:r>
      <w:r>
        <w:rPr>
          <w:color w:val="57585A"/>
          <w:spacing w:val="-11"/>
          <w:sz w:val="20"/>
          <w:szCs w:val="20"/>
        </w:rPr>
        <w:t xml:space="preserve">weighs on the expansion </w:t>
      </w:r>
      <w:r>
        <w:rPr>
          <w:color w:val="57585A"/>
          <w:spacing w:val="-12"/>
          <w:sz w:val="20"/>
          <w:szCs w:val="20"/>
        </w:rPr>
        <w:t>of both growth and the</w:t>
      </w:r>
    </w:p>
    <w:p w14:paraId="3ED7A02F">
      <w:pPr>
        <w:pStyle w:val="4"/>
        <w:spacing w:before="38" w:line="279" w:lineRule="auto"/>
        <w:ind w:left="369" w:right="519"/>
        <w:rPr>
          <w:sz w:val="20"/>
          <w:szCs w:val="20"/>
        </w:rPr>
      </w:pPr>
      <w:r>
        <w:rPr>
          <w:color w:val="57585A"/>
          <w:spacing w:val="-11"/>
          <w:sz w:val="20"/>
          <w:szCs w:val="20"/>
        </w:rPr>
        <w:t>demand for natural gas in</w:t>
      </w:r>
      <w:r>
        <w:rPr>
          <w:color w:val="57585A"/>
          <w:spacing w:val="-15"/>
          <w:sz w:val="20"/>
          <w:szCs w:val="20"/>
        </w:rPr>
        <w:t xml:space="preserve"> </w:t>
      </w:r>
      <w:r>
        <w:rPr>
          <w:color w:val="57585A"/>
          <w:spacing w:val="-11"/>
          <w:sz w:val="20"/>
          <w:szCs w:val="20"/>
        </w:rPr>
        <w:t>Argentina. However, the expansion of</w:t>
      </w:r>
      <w:r>
        <w:rPr>
          <w:color w:val="57585A"/>
          <w:spacing w:val="-17"/>
          <w:sz w:val="20"/>
          <w:szCs w:val="20"/>
        </w:rPr>
        <w:t xml:space="preserve"> </w:t>
      </w:r>
      <w:r>
        <w:rPr>
          <w:color w:val="57585A"/>
          <w:spacing w:val="-11"/>
          <w:sz w:val="20"/>
          <w:szCs w:val="20"/>
        </w:rPr>
        <w:t>gas infrastructure</w:t>
      </w:r>
      <w:r>
        <w:rPr>
          <w:color w:val="57585A"/>
          <w:spacing w:val="-15"/>
          <w:sz w:val="20"/>
          <w:szCs w:val="20"/>
        </w:rPr>
        <w:t xml:space="preserve"> </w:t>
      </w:r>
      <w:r>
        <w:rPr>
          <w:color w:val="57585A"/>
          <w:spacing w:val="-11"/>
          <w:sz w:val="20"/>
          <w:szCs w:val="20"/>
        </w:rPr>
        <w:t>with the</w:t>
      </w:r>
      <w:r>
        <w:rPr>
          <w:color w:val="57585A"/>
          <w:spacing w:val="-12"/>
          <w:sz w:val="20"/>
          <w:szCs w:val="20"/>
        </w:rPr>
        <w:t xml:space="preserve"> Néstor Kirchner gas pipeline underpins</w:t>
      </w:r>
      <w:r>
        <w:rPr>
          <w:color w:val="57585A"/>
          <w:sz w:val="20"/>
          <w:szCs w:val="20"/>
        </w:rPr>
        <w:t xml:space="preserve"> </w:t>
      </w:r>
      <w:r>
        <w:rPr>
          <w:color w:val="57585A"/>
          <w:spacing w:val="-10"/>
          <w:sz w:val="20"/>
          <w:szCs w:val="20"/>
        </w:rPr>
        <w:t>our more bullish forecast for the medium t</w:t>
      </w:r>
      <w:r>
        <w:rPr>
          <w:color w:val="57585A"/>
          <w:spacing w:val="-11"/>
          <w:sz w:val="20"/>
          <w:szCs w:val="20"/>
        </w:rPr>
        <w:t>erm as</w:t>
      </w:r>
      <w:r>
        <w:rPr>
          <w:color w:val="57585A"/>
          <w:spacing w:val="-16"/>
          <w:sz w:val="20"/>
          <w:szCs w:val="20"/>
        </w:rPr>
        <w:t xml:space="preserve"> </w:t>
      </w:r>
      <w:r>
        <w:rPr>
          <w:color w:val="57585A"/>
          <w:spacing w:val="-11"/>
          <w:sz w:val="20"/>
          <w:szCs w:val="20"/>
        </w:rPr>
        <w:t>we expect the abundance of</w:t>
      </w:r>
      <w:r>
        <w:rPr>
          <w:color w:val="57585A"/>
          <w:spacing w:val="-15"/>
          <w:sz w:val="20"/>
          <w:szCs w:val="20"/>
        </w:rPr>
        <w:t xml:space="preserve"> </w:t>
      </w:r>
      <w:r>
        <w:rPr>
          <w:color w:val="57585A"/>
          <w:spacing w:val="-11"/>
          <w:sz w:val="20"/>
          <w:szCs w:val="20"/>
        </w:rPr>
        <w:t>domestically produce gas</w:t>
      </w:r>
      <w:r>
        <w:rPr>
          <w:color w:val="57585A"/>
          <w:spacing w:val="-16"/>
          <w:sz w:val="20"/>
          <w:szCs w:val="20"/>
        </w:rPr>
        <w:t xml:space="preserve"> </w:t>
      </w:r>
      <w:r>
        <w:rPr>
          <w:color w:val="57585A"/>
          <w:spacing w:val="-11"/>
          <w:sz w:val="20"/>
          <w:szCs w:val="20"/>
        </w:rPr>
        <w:t>will lower its cost on the</w:t>
      </w:r>
      <w:r>
        <w:rPr>
          <w:color w:val="57585A"/>
          <w:sz w:val="20"/>
          <w:szCs w:val="20"/>
        </w:rPr>
        <w:t xml:space="preserve"> </w:t>
      </w:r>
      <w:r>
        <w:rPr>
          <w:color w:val="57585A"/>
          <w:spacing w:val="-10"/>
          <w:sz w:val="20"/>
          <w:szCs w:val="20"/>
        </w:rPr>
        <w:t>domestic market, boostin</w:t>
      </w:r>
      <w:r>
        <w:rPr>
          <w:color w:val="57585A"/>
          <w:spacing w:val="-11"/>
          <w:sz w:val="20"/>
          <w:szCs w:val="20"/>
        </w:rPr>
        <w:t>g the demand from gas-heavy industries like petrochemicals.</w:t>
      </w:r>
    </w:p>
    <w:p w14:paraId="280A702A">
      <w:pPr>
        <w:pStyle w:val="4"/>
        <w:spacing w:line="295" w:lineRule="auto"/>
      </w:pPr>
    </w:p>
    <w:p w14:paraId="03B57E7F">
      <w:pPr>
        <w:pStyle w:val="4"/>
        <w:spacing w:line="295" w:lineRule="auto"/>
      </w:pPr>
    </w:p>
    <w:p w14:paraId="40992F09">
      <w:pPr>
        <w:pStyle w:val="4"/>
        <w:spacing w:before="69" w:line="234" w:lineRule="auto"/>
        <w:ind w:left="2837"/>
        <w:outlineLvl w:val="1"/>
        <w:rPr>
          <w:sz w:val="24"/>
          <w:szCs w:val="24"/>
        </w:rPr>
      </w:pPr>
      <w:r>
        <w:rPr>
          <w:color w:val="174174"/>
          <w:spacing w:val="-15"/>
          <w:sz w:val="24"/>
          <w:szCs w:val="24"/>
        </w:rPr>
        <w:t>Plan</w:t>
      </w:r>
      <w:r>
        <w:rPr>
          <w:color w:val="174174"/>
          <w:spacing w:val="-17"/>
          <w:sz w:val="24"/>
          <w:szCs w:val="24"/>
        </w:rPr>
        <w:t xml:space="preserve"> </w:t>
      </w:r>
      <w:r>
        <w:rPr>
          <w:color w:val="174174"/>
          <w:spacing w:val="-15"/>
          <w:sz w:val="24"/>
          <w:szCs w:val="24"/>
        </w:rPr>
        <w:t>To Boost Renewable But Natural Gas</w:t>
      </w:r>
      <w:r>
        <w:rPr>
          <w:color w:val="174174"/>
          <w:spacing w:val="-16"/>
          <w:sz w:val="24"/>
          <w:szCs w:val="24"/>
        </w:rPr>
        <w:t xml:space="preserve"> Remains</w:t>
      </w:r>
      <w:r>
        <w:rPr>
          <w:color w:val="174174"/>
          <w:spacing w:val="1"/>
          <w:sz w:val="24"/>
          <w:szCs w:val="24"/>
        </w:rPr>
        <w:t xml:space="preserve"> </w:t>
      </w:r>
      <w:r>
        <w:rPr>
          <w:color w:val="174174"/>
          <w:spacing w:val="-16"/>
          <w:sz w:val="24"/>
          <w:szCs w:val="24"/>
        </w:rPr>
        <w:t>Key</w:t>
      </w:r>
    </w:p>
    <w:p w14:paraId="184189D5">
      <w:pPr>
        <w:pStyle w:val="4"/>
        <w:spacing w:before="33" w:line="231" w:lineRule="auto"/>
        <w:ind w:left="3446"/>
        <w:outlineLvl w:val="1"/>
        <w:rPr>
          <w:sz w:val="20"/>
          <w:szCs w:val="20"/>
        </w:rPr>
      </w:pPr>
      <w:r>
        <w:rPr>
          <w:color w:val="333333"/>
          <w:spacing w:val="-12"/>
          <w:sz w:val="20"/>
          <w:szCs w:val="20"/>
        </w:rPr>
        <w:t>Argentina - Power Generation Forecast (2021-2034)</w:t>
      </w:r>
    </w:p>
    <w:p w14:paraId="4D3CA865">
      <w:pPr>
        <w:spacing w:before="96" w:line="4500" w:lineRule="exact"/>
        <w:ind w:firstLine="1862"/>
      </w:pPr>
      <w:r>
        <w:rPr>
          <w:position w:val="-90"/>
        </w:rPr>
        <w:drawing>
          <wp:inline distT="0" distB="0" distL="0" distR="0">
            <wp:extent cx="4572000" cy="285750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27"/>
                    <a:stretch>
                      <a:fillRect/>
                    </a:stretch>
                  </pic:blipFill>
                  <pic:spPr>
                    <a:xfrm>
                      <a:off x="0" y="0"/>
                      <a:ext cx="4572000" cy="2857500"/>
                    </a:xfrm>
                    <a:prstGeom prst="rect">
                      <a:avLst/>
                    </a:prstGeom>
                  </pic:spPr>
                </pic:pic>
              </a:graphicData>
            </a:graphic>
          </wp:inline>
        </w:drawing>
      </w:r>
    </w:p>
    <w:p w14:paraId="44AED92E">
      <w:pPr>
        <w:pStyle w:val="4"/>
        <w:spacing w:before="149" w:line="177" w:lineRule="exact"/>
        <w:ind w:left="1876"/>
        <w:rPr>
          <w:sz w:val="15"/>
          <w:szCs w:val="15"/>
        </w:rPr>
      </w:pPr>
      <w:r>
        <w:drawing>
          <wp:anchor distT="0" distB="0" distL="0" distR="0" simplePos="0" relativeHeight="251801600"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24"/>
          <w:position w:val="1"/>
          <w:sz w:val="15"/>
          <w:szCs w:val="15"/>
        </w:rPr>
        <w:t xml:space="preserve"> </w:t>
      </w:r>
      <w:r>
        <w:rPr>
          <w:i/>
          <w:iCs/>
          <w:color w:val="333333"/>
          <w:spacing w:val="-3"/>
          <w:w w:val="93"/>
          <w:position w:val="1"/>
          <w:sz w:val="15"/>
          <w:szCs w:val="15"/>
        </w:rPr>
        <w:t>= BMI estimate/fore</w:t>
      </w:r>
      <w:r>
        <w:rPr>
          <w:i/>
          <w:iCs/>
          <w:color w:val="333333"/>
          <w:spacing w:val="-4"/>
          <w:w w:val="93"/>
          <w:position w:val="1"/>
          <w:sz w:val="15"/>
          <w:szCs w:val="15"/>
        </w:rPr>
        <w:t>cast. Source: National</w:t>
      </w:r>
      <w:r>
        <w:rPr>
          <w:i/>
          <w:iCs/>
          <w:color w:val="333333"/>
          <w:spacing w:val="-15"/>
          <w:position w:val="1"/>
          <w:sz w:val="15"/>
          <w:szCs w:val="15"/>
        </w:rPr>
        <w:t xml:space="preserve"> </w:t>
      </w:r>
      <w:r>
        <w:rPr>
          <w:i/>
          <w:iCs/>
          <w:color w:val="333333"/>
          <w:spacing w:val="-4"/>
          <w:w w:val="93"/>
          <w:position w:val="1"/>
          <w:sz w:val="15"/>
          <w:szCs w:val="15"/>
        </w:rPr>
        <w:t>sources, BMI</w:t>
      </w:r>
    </w:p>
    <w:p w14:paraId="35F1BB73">
      <w:pPr>
        <w:spacing w:line="177" w:lineRule="exact"/>
        <w:rPr>
          <w:sz w:val="15"/>
          <w:szCs w:val="15"/>
        </w:rPr>
        <w:sectPr>
          <w:footerReference r:id="rId38" w:type="default"/>
          <w:pgSz w:w="11906" w:h="16838"/>
          <w:pgMar w:top="400" w:right="490" w:bottom="883" w:left="490" w:header="0" w:footer="0" w:gutter="0"/>
          <w:cols w:space="720" w:num="1"/>
        </w:sectPr>
      </w:pPr>
    </w:p>
    <w:p w14:paraId="5D591BD5">
      <w:pPr>
        <w:pStyle w:val="4"/>
        <w:spacing w:before="73" w:line="241" w:lineRule="auto"/>
        <w:ind w:left="7372"/>
        <w:rPr>
          <w:sz w:val="20"/>
          <w:szCs w:val="20"/>
        </w:rPr>
      </w:pPr>
      <w:r>
        <w:drawing>
          <wp:anchor distT="0" distB="0" distL="0" distR="0" simplePos="0" relativeHeight="25180672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07744" behindDoc="0" locked="0" layoutInCell="0" allowOverlap="1">
            <wp:simplePos x="0" y="0"/>
            <wp:positionH relativeFrom="page">
              <wp:posOffset>311150</wp:posOffset>
            </wp:positionH>
            <wp:positionV relativeFrom="page">
              <wp:posOffset>0</wp:posOffset>
            </wp:positionV>
            <wp:extent cx="19050" cy="814070"/>
            <wp:effectExtent l="0" t="0" r="0" b="0"/>
            <wp:wrapNone/>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745A4CE">
      <w:pPr>
        <w:pStyle w:val="4"/>
        <w:spacing w:line="278" w:lineRule="auto"/>
      </w:pPr>
    </w:p>
    <w:p w14:paraId="17E549D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79E1035">
      <w:pPr>
        <w:pStyle w:val="4"/>
        <w:spacing w:line="279" w:lineRule="auto"/>
      </w:pPr>
    </w:p>
    <w:p w14:paraId="45A57950">
      <w:pPr>
        <w:pStyle w:val="4"/>
        <w:spacing w:line="279" w:lineRule="auto"/>
      </w:pPr>
    </w:p>
    <w:p w14:paraId="140F55DB">
      <w:pPr>
        <w:pStyle w:val="4"/>
        <w:spacing w:line="280" w:lineRule="auto"/>
      </w:pPr>
    </w:p>
    <w:p w14:paraId="111635AE">
      <w:pPr>
        <w:pStyle w:val="4"/>
        <w:spacing w:before="69" w:line="234" w:lineRule="auto"/>
        <w:ind w:left="419"/>
        <w:outlineLvl w:val="1"/>
        <w:rPr>
          <w:sz w:val="24"/>
          <w:szCs w:val="24"/>
        </w:rPr>
      </w:pPr>
      <w:r>
        <w:rPr>
          <w:color w:val="174174"/>
          <w:spacing w:val="-10"/>
          <w:sz w:val="24"/>
          <w:szCs w:val="24"/>
        </w:rPr>
        <w:t>Gas Consumption (Argentina 2023-2028)</w:t>
      </w:r>
    </w:p>
    <w:p w14:paraId="5BB4D204">
      <w:pPr>
        <w:spacing w:line="41" w:lineRule="exact"/>
      </w:pPr>
    </w:p>
    <w:tbl>
      <w:tblPr>
        <w:tblStyle w:val="7"/>
        <w:tblW w:w="10204" w:type="dxa"/>
        <w:tblInd w:w="35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435"/>
        <w:gridCol w:w="964"/>
        <w:gridCol w:w="961"/>
        <w:gridCol w:w="955"/>
        <w:gridCol w:w="963"/>
        <w:gridCol w:w="963"/>
        <w:gridCol w:w="963"/>
      </w:tblGrid>
      <w:tr w14:paraId="3D6C58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7" w:hRule="atLeast"/>
        </w:trPr>
        <w:tc>
          <w:tcPr>
            <w:tcW w:w="4435" w:type="dxa"/>
            <w:tcBorders>
              <w:top w:val="single" w:color="D7DADB" w:sz="4" w:space="0"/>
              <w:bottom w:val="single" w:color="D7DADB" w:sz="4" w:space="0"/>
              <w:right w:val="single" w:color="D7DADB" w:sz="6" w:space="0"/>
            </w:tcBorders>
            <w:vAlign w:val="top"/>
          </w:tcPr>
          <w:p w14:paraId="51496F51">
            <w:pPr>
              <w:pStyle w:val="8"/>
              <w:spacing w:before="75" w:line="243" w:lineRule="exact"/>
              <w:ind w:left="13"/>
            </w:pPr>
            <w:r>
              <w:rPr>
                <w:b/>
                <w:bCs/>
                <w:color w:val="5F6A72"/>
                <w:spacing w:val="-6"/>
                <w:position w:val="1"/>
              </w:rPr>
              <w:t>Indicator</w:t>
            </w:r>
          </w:p>
        </w:tc>
        <w:tc>
          <w:tcPr>
            <w:tcW w:w="964" w:type="dxa"/>
            <w:tcBorders>
              <w:top w:val="single" w:color="D7DADB" w:sz="4" w:space="0"/>
              <w:left w:val="single" w:color="D7DADB" w:sz="6" w:space="0"/>
              <w:bottom w:val="single" w:color="D7DADB" w:sz="4" w:space="0"/>
            </w:tcBorders>
            <w:vAlign w:val="top"/>
          </w:tcPr>
          <w:p w14:paraId="1C6CFDA1">
            <w:pPr>
              <w:pStyle w:val="8"/>
              <w:spacing w:before="75" w:line="243" w:lineRule="exact"/>
              <w:ind w:left="424"/>
            </w:pPr>
            <w:r>
              <w:rPr>
                <w:b/>
                <w:bCs/>
                <w:color w:val="5F6A72"/>
                <w:spacing w:val="-4"/>
                <w:position w:val="1"/>
              </w:rPr>
              <w:t>2023</w:t>
            </w:r>
          </w:p>
        </w:tc>
        <w:tc>
          <w:tcPr>
            <w:tcW w:w="961" w:type="dxa"/>
            <w:tcBorders>
              <w:top w:val="single" w:color="D7DADB" w:sz="4" w:space="0"/>
              <w:bottom w:val="single" w:color="D7DADB" w:sz="4" w:space="0"/>
            </w:tcBorders>
            <w:vAlign w:val="top"/>
          </w:tcPr>
          <w:p w14:paraId="1E9A7A49">
            <w:pPr>
              <w:pStyle w:val="8"/>
              <w:spacing w:before="75" w:line="243" w:lineRule="exact"/>
              <w:ind w:left="394"/>
            </w:pPr>
            <w:r>
              <w:rPr>
                <w:b/>
                <w:bCs/>
                <w:color w:val="5F6A72"/>
                <w:spacing w:val="-4"/>
                <w:position w:val="1"/>
              </w:rPr>
              <w:t>2024e</w:t>
            </w:r>
          </w:p>
        </w:tc>
        <w:tc>
          <w:tcPr>
            <w:tcW w:w="955" w:type="dxa"/>
            <w:tcBorders>
              <w:top w:val="single" w:color="D7DADB" w:sz="4" w:space="0"/>
              <w:bottom w:val="single" w:color="D7DADB" w:sz="4" w:space="0"/>
            </w:tcBorders>
            <w:vAlign w:val="top"/>
          </w:tcPr>
          <w:p w14:paraId="704E331E">
            <w:pPr>
              <w:pStyle w:val="8"/>
              <w:spacing w:before="75" w:line="243" w:lineRule="exact"/>
              <w:ind w:left="432"/>
            </w:pPr>
            <w:r>
              <w:rPr>
                <w:b/>
                <w:bCs/>
                <w:color w:val="5F6A72"/>
                <w:spacing w:val="-1"/>
                <w:position w:val="1"/>
              </w:rPr>
              <w:t>2025f</w:t>
            </w:r>
          </w:p>
        </w:tc>
        <w:tc>
          <w:tcPr>
            <w:tcW w:w="963" w:type="dxa"/>
            <w:tcBorders>
              <w:top w:val="single" w:color="D7DADB" w:sz="4" w:space="0"/>
              <w:bottom w:val="single" w:color="D7DADB" w:sz="4" w:space="0"/>
            </w:tcBorders>
            <w:vAlign w:val="top"/>
          </w:tcPr>
          <w:p w14:paraId="60C5DD5F">
            <w:pPr>
              <w:pStyle w:val="8"/>
              <w:spacing w:before="75" w:line="243" w:lineRule="exact"/>
              <w:ind w:left="442"/>
            </w:pPr>
            <w:r>
              <w:rPr>
                <w:b/>
                <w:bCs/>
                <w:color w:val="5F6A72"/>
                <w:spacing w:val="-1"/>
                <w:position w:val="1"/>
              </w:rPr>
              <w:t>2026f</w:t>
            </w:r>
          </w:p>
        </w:tc>
        <w:tc>
          <w:tcPr>
            <w:tcW w:w="963" w:type="dxa"/>
            <w:tcBorders>
              <w:top w:val="single" w:color="D7DADB" w:sz="4" w:space="0"/>
              <w:bottom w:val="single" w:color="D7DADB" w:sz="4" w:space="0"/>
            </w:tcBorders>
            <w:vAlign w:val="top"/>
          </w:tcPr>
          <w:p w14:paraId="6A28A4E7">
            <w:pPr>
              <w:pStyle w:val="8"/>
              <w:spacing w:before="75" w:line="243" w:lineRule="exact"/>
              <w:ind w:left="444"/>
            </w:pPr>
            <w:r>
              <w:rPr>
                <w:b/>
                <w:bCs/>
                <w:color w:val="5F6A72"/>
                <w:spacing w:val="-1"/>
                <w:position w:val="1"/>
              </w:rPr>
              <w:t>2027f</w:t>
            </w:r>
          </w:p>
        </w:tc>
        <w:tc>
          <w:tcPr>
            <w:tcW w:w="963" w:type="dxa"/>
            <w:tcBorders>
              <w:top w:val="single" w:color="D7DADB" w:sz="4" w:space="0"/>
              <w:bottom w:val="single" w:color="D7DADB" w:sz="4" w:space="0"/>
            </w:tcBorders>
            <w:vAlign w:val="top"/>
          </w:tcPr>
          <w:p w14:paraId="3C8ED9B1">
            <w:pPr>
              <w:pStyle w:val="8"/>
              <w:spacing w:before="75" w:line="243" w:lineRule="exact"/>
              <w:ind w:left="447"/>
            </w:pPr>
            <w:r>
              <w:rPr>
                <w:b/>
                <w:bCs/>
                <w:color w:val="5F6A72"/>
                <w:spacing w:val="-1"/>
                <w:position w:val="1"/>
              </w:rPr>
              <w:t>2028f</w:t>
            </w:r>
          </w:p>
        </w:tc>
      </w:tr>
      <w:tr w14:paraId="75B5D8E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435" w:type="dxa"/>
            <w:tcBorders>
              <w:top w:val="single" w:color="D7DADB" w:sz="4" w:space="0"/>
              <w:bottom w:val="single" w:color="D7DADB" w:sz="4" w:space="0"/>
              <w:right w:val="single" w:color="D7DADB" w:sz="6" w:space="0"/>
            </w:tcBorders>
            <w:vAlign w:val="top"/>
          </w:tcPr>
          <w:p w14:paraId="3B32C2D8">
            <w:pPr>
              <w:pStyle w:val="8"/>
              <w:spacing w:before="71" w:line="234" w:lineRule="auto"/>
              <w:ind w:left="18"/>
            </w:pPr>
            <w:r>
              <w:rPr>
                <w:color w:val="2A8ABF"/>
                <w:spacing w:val="-7"/>
              </w:rPr>
              <w:t>Dry natural gas</w:t>
            </w:r>
            <w:r>
              <w:rPr>
                <w:color w:val="2A8ABF"/>
                <w:spacing w:val="-10"/>
              </w:rPr>
              <w:t xml:space="preserve"> </w:t>
            </w:r>
            <w:r>
              <w:rPr>
                <w:color w:val="2A8ABF"/>
                <w:spacing w:val="-7"/>
              </w:rPr>
              <w:t>consumption,</w:t>
            </w:r>
            <w:r>
              <w:rPr>
                <w:color w:val="2A8ABF"/>
                <w:spacing w:val="-8"/>
              </w:rPr>
              <w:t xml:space="preserve"> bcm</w:t>
            </w:r>
          </w:p>
        </w:tc>
        <w:tc>
          <w:tcPr>
            <w:tcW w:w="964" w:type="dxa"/>
            <w:tcBorders>
              <w:top w:val="single" w:color="D7DADB" w:sz="4" w:space="0"/>
              <w:left w:val="single" w:color="D7DADB" w:sz="6" w:space="0"/>
              <w:bottom w:val="single" w:color="D7DADB" w:sz="4" w:space="0"/>
            </w:tcBorders>
            <w:vAlign w:val="top"/>
          </w:tcPr>
          <w:p w14:paraId="71F82F8B">
            <w:pPr>
              <w:pStyle w:val="8"/>
              <w:spacing w:before="71" w:line="237" w:lineRule="exact"/>
              <w:ind w:left="488"/>
            </w:pPr>
            <w:r>
              <w:rPr>
                <w:color w:val="5F6A72"/>
                <w:spacing w:val="-6"/>
                <w:position w:val="1"/>
              </w:rPr>
              <w:t>46.0</w:t>
            </w:r>
          </w:p>
        </w:tc>
        <w:tc>
          <w:tcPr>
            <w:tcW w:w="961" w:type="dxa"/>
            <w:tcBorders>
              <w:top w:val="single" w:color="D7DADB" w:sz="4" w:space="0"/>
              <w:bottom w:val="single" w:color="D7DADB" w:sz="4" w:space="0"/>
            </w:tcBorders>
            <w:vAlign w:val="top"/>
          </w:tcPr>
          <w:p w14:paraId="2F4722F4">
            <w:pPr>
              <w:pStyle w:val="8"/>
              <w:spacing w:before="71" w:line="237" w:lineRule="exact"/>
              <w:ind w:left="552"/>
            </w:pPr>
            <w:r>
              <w:rPr>
                <w:color w:val="5F6A72"/>
                <w:spacing w:val="-6"/>
                <w:position w:val="1"/>
              </w:rPr>
              <w:t>46.9</w:t>
            </w:r>
          </w:p>
        </w:tc>
        <w:tc>
          <w:tcPr>
            <w:tcW w:w="955" w:type="dxa"/>
            <w:tcBorders>
              <w:top w:val="single" w:color="D7DADB" w:sz="4" w:space="0"/>
              <w:bottom w:val="single" w:color="D7DADB" w:sz="4" w:space="0"/>
            </w:tcBorders>
            <w:vAlign w:val="top"/>
          </w:tcPr>
          <w:p w14:paraId="50131CD8">
            <w:pPr>
              <w:pStyle w:val="8"/>
              <w:spacing w:before="71" w:line="237" w:lineRule="exact"/>
              <w:ind w:left="557"/>
            </w:pPr>
            <w:r>
              <w:rPr>
                <w:color w:val="5F6A72"/>
                <w:spacing w:val="-6"/>
                <w:position w:val="1"/>
              </w:rPr>
              <w:t>48.1</w:t>
            </w:r>
          </w:p>
        </w:tc>
        <w:tc>
          <w:tcPr>
            <w:tcW w:w="963" w:type="dxa"/>
            <w:tcBorders>
              <w:top w:val="single" w:color="D7DADB" w:sz="4" w:space="0"/>
              <w:bottom w:val="single" w:color="D7DADB" w:sz="4" w:space="0"/>
            </w:tcBorders>
            <w:vAlign w:val="top"/>
          </w:tcPr>
          <w:p w14:paraId="36B83F55">
            <w:pPr>
              <w:pStyle w:val="8"/>
              <w:spacing w:before="71" w:line="237" w:lineRule="exact"/>
              <w:ind w:left="567"/>
            </w:pPr>
            <w:r>
              <w:rPr>
                <w:color w:val="5F6A72"/>
                <w:spacing w:val="-6"/>
                <w:position w:val="1"/>
              </w:rPr>
              <w:t>49.6</w:t>
            </w:r>
          </w:p>
        </w:tc>
        <w:tc>
          <w:tcPr>
            <w:tcW w:w="963" w:type="dxa"/>
            <w:tcBorders>
              <w:top w:val="single" w:color="D7DADB" w:sz="4" w:space="0"/>
              <w:bottom w:val="single" w:color="D7DADB" w:sz="4" w:space="0"/>
            </w:tcBorders>
            <w:vAlign w:val="top"/>
          </w:tcPr>
          <w:p w14:paraId="4144FA38">
            <w:pPr>
              <w:pStyle w:val="8"/>
              <w:spacing w:before="71" w:line="237" w:lineRule="exact"/>
              <w:ind w:left="573"/>
            </w:pPr>
            <w:r>
              <w:rPr>
                <w:color w:val="5F6A72"/>
                <w:spacing w:val="-7"/>
                <w:position w:val="1"/>
              </w:rPr>
              <w:t>50.8</w:t>
            </w:r>
          </w:p>
        </w:tc>
        <w:tc>
          <w:tcPr>
            <w:tcW w:w="963" w:type="dxa"/>
            <w:tcBorders>
              <w:top w:val="single" w:color="D7DADB" w:sz="4" w:space="0"/>
              <w:bottom w:val="single" w:color="D7DADB" w:sz="4" w:space="0"/>
            </w:tcBorders>
            <w:vAlign w:val="top"/>
          </w:tcPr>
          <w:p w14:paraId="728C7C6A">
            <w:pPr>
              <w:pStyle w:val="8"/>
              <w:spacing w:before="71" w:line="237" w:lineRule="exact"/>
              <w:ind w:left="576"/>
            </w:pPr>
            <w:r>
              <w:rPr>
                <w:color w:val="5F6A72"/>
                <w:spacing w:val="-7"/>
                <w:position w:val="1"/>
              </w:rPr>
              <w:t>52.1</w:t>
            </w:r>
          </w:p>
        </w:tc>
      </w:tr>
      <w:tr w14:paraId="4BF95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435" w:type="dxa"/>
            <w:tcBorders>
              <w:top w:val="single" w:color="D7DADB" w:sz="4" w:space="0"/>
              <w:bottom w:val="single" w:color="333333" w:sz="4" w:space="0"/>
              <w:right w:val="single" w:color="D7DADB" w:sz="6" w:space="0"/>
            </w:tcBorders>
            <w:shd w:val="clear" w:color="auto" w:fill="EAF9FF"/>
            <w:vAlign w:val="top"/>
          </w:tcPr>
          <w:p w14:paraId="38F57C56">
            <w:pPr>
              <w:pStyle w:val="8"/>
              <w:spacing w:before="72" w:line="234" w:lineRule="auto"/>
              <w:ind w:left="18"/>
            </w:pPr>
            <w:r>
              <w:rPr>
                <w:color w:val="2A8ABF"/>
                <w:spacing w:val="-7"/>
              </w:rPr>
              <w:t>Dry natural gas</w:t>
            </w:r>
            <w:r>
              <w:rPr>
                <w:color w:val="2A8ABF"/>
                <w:spacing w:val="-10"/>
              </w:rPr>
              <w:t xml:space="preserve"> </w:t>
            </w:r>
            <w:r>
              <w:rPr>
                <w:color w:val="2A8ABF"/>
                <w:spacing w:val="-7"/>
              </w:rPr>
              <w:t>cons</w:t>
            </w:r>
            <w:r>
              <w:rPr>
                <w:color w:val="2A8ABF"/>
                <w:spacing w:val="-8"/>
              </w:rPr>
              <w:t>umption,</w:t>
            </w:r>
            <w:r>
              <w:rPr>
                <w:color w:val="2A8ABF"/>
                <w:spacing w:val="-13"/>
              </w:rPr>
              <w:t xml:space="preserve"> </w:t>
            </w:r>
            <w:r>
              <w:rPr>
                <w:color w:val="2A8ABF"/>
                <w:spacing w:val="-8"/>
              </w:rPr>
              <w:t>%</w:t>
            </w:r>
            <w:r>
              <w:rPr>
                <w:color w:val="2A8ABF"/>
                <w:spacing w:val="-17"/>
              </w:rPr>
              <w:t xml:space="preserve"> </w:t>
            </w:r>
            <w:r>
              <w:rPr>
                <w:color w:val="2A8ABF"/>
                <w:spacing w:val="-8"/>
              </w:rPr>
              <w:t>y-o-y</w:t>
            </w:r>
          </w:p>
        </w:tc>
        <w:tc>
          <w:tcPr>
            <w:tcW w:w="964" w:type="dxa"/>
            <w:tcBorders>
              <w:top w:val="single" w:color="D7DADB" w:sz="4" w:space="0"/>
              <w:left w:val="single" w:color="D7DADB" w:sz="6" w:space="0"/>
              <w:bottom w:val="single" w:color="333333" w:sz="4" w:space="0"/>
            </w:tcBorders>
            <w:shd w:val="clear" w:color="auto" w:fill="EAF9FF"/>
            <w:vAlign w:val="top"/>
          </w:tcPr>
          <w:p w14:paraId="60693582">
            <w:pPr>
              <w:pStyle w:val="8"/>
              <w:spacing w:before="72" w:line="238" w:lineRule="exact"/>
              <w:ind w:left="531"/>
            </w:pPr>
            <w:r>
              <w:rPr>
                <w:color w:val="5F6A72"/>
                <w:spacing w:val="-6"/>
                <w:position w:val="1"/>
              </w:rPr>
              <w:t>-2.0</w:t>
            </w:r>
          </w:p>
        </w:tc>
        <w:tc>
          <w:tcPr>
            <w:tcW w:w="961" w:type="dxa"/>
            <w:tcBorders>
              <w:top w:val="single" w:color="D7DADB" w:sz="4" w:space="0"/>
              <w:bottom w:val="single" w:color="333333" w:sz="4" w:space="0"/>
            </w:tcBorders>
            <w:shd w:val="clear" w:color="auto" w:fill="EAF9FF"/>
            <w:vAlign w:val="top"/>
          </w:tcPr>
          <w:p w14:paraId="4413E5B2">
            <w:pPr>
              <w:pStyle w:val="8"/>
              <w:spacing w:before="72" w:line="238" w:lineRule="exact"/>
              <w:ind w:left="652"/>
            </w:pPr>
            <w:r>
              <w:rPr>
                <w:color w:val="5F6A72"/>
                <w:spacing w:val="-6"/>
                <w:position w:val="1"/>
              </w:rPr>
              <w:t>2.0</w:t>
            </w:r>
          </w:p>
        </w:tc>
        <w:tc>
          <w:tcPr>
            <w:tcW w:w="955" w:type="dxa"/>
            <w:tcBorders>
              <w:top w:val="single" w:color="D7DADB" w:sz="4" w:space="0"/>
              <w:bottom w:val="single" w:color="333333" w:sz="4" w:space="0"/>
            </w:tcBorders>
            <w:shd w:val="clear" w:color="auto" w:fill="EAF9FF"/>
            <w:vAlign w:val="top"/>
          </w:tcPr>
          <w:p w14:paraId="47CFB906">
            <w:pPr>
              <w:pStyle w:val="8"/>
              <w:spacing w:before="72" w:line="238" w:lineRule="exact"/>
              <w:ind w:left="657"/>
            </w:pPr>
            <w:r>
              <w:rPr>
                <w:color w:val="5F6A72"/>
                <w:spacing w:val="-6"/>
                <w:position w:val="1"/>
              </w:rPr>
              <w:t>2.5</w:t>
            </w:r>
          </w:p>
        </w:tc>
        <w:tc>
          <w:tcPr>
            <w:tcW w:w="963" w:type="dxa"/>
            <w:tcBorders>
              <w:top w:val="single" w:color="D7DADB" w:sz="4" w:space="0"/>
              <w:bottom w:val="single" w:color="333333" w:sz="4" w:space="0"/>
            </w:tcBorders>
            <w:shd w:val="clear" w:color="auto" w:fill="EAF9FF"/>
            <w:vAlign w:val="top"/>
          </w:tcPr>
          <w:p w14:paraId="4E092586">
            <w:pPr>
              <w:pStyle w:val="8"/>
              <w:spacing w:before="72" w:line="237" w:lineRule="exact"/>
              <w:ind w:left="664"/>
            </w:pPr>
            <w:r>
              <w:rPr>
                <w:color w:val="5F6A72"/>
                <w:spacing w:val="-6"/>
                <w:position w:val="1"/>
              </w:rPr>
              <w:t>3.0</w:t>
            </w:r>
          </w:p>
        </w:tc>
        <w:tc>
          <w:tcPr>
            <w:tcW w:w="963" w:type="dxa"/>
            <w:tcBorders>
              <w:top w:val="single" w:color="D7DADB" w:sz="4" w:space="0"/>
              <w:bottom w:val="single" w:color="333333" w:sz="4" w:space="0"/>
            </w:tcBorders>
            <w:shd w:val="clear" w:color="auto" w:fill="EAF9FF"/>
            <w:vAlign w:val="top"/>
          </w:tcPr>
          <w:p w14:paraId="7315FB79">
            <w:pPr>
              <w:pStyle w:val="8"/>
              <w:spacing w:before="72" w:line="238" w:lineRule="exact"/>
              <w:ind w:left="669"/>
            </w:pPr>
            <w:r>
              <w:rPr>
                <w:color w:val="5F6A72"/>
                <w:spacing w:val="-6"/>
                <w:position w:val="1"/>
              </w:rPr>
              <w:t>2.5</w:t>
            </w:r>
          </w:p>
        </w:tc>
        <w:tc>
          <w:tcPr>
            <w:tcW w:w="963" w:type="dxa"/>
            <w:tcBorders>
              <w:top w:val="single" w:color="D7DADB" w:sz="4" w:space="0"/>
              <w:bottom w:val="single" w:color="333333" w:sz="4" w:space="0"/>
            </w:tcBorders>
            <w:shd w:val="clear" w:color="auto" w:fill="EAF9FF"/>
            <w:vAlign w:val="top"/>
          </w:tcPr>
          <w:p w14:paraId="10A89937">
            <w:pPr>
              <w:pStyle w:val="8"/>
              <w:spacing w:before="72" w:line="238" w:lineRule="exact"/>
              <w:ind w:left="671"/>
            </w:pPr>
            <w:r>
              <w:rPr>
                <w:color w:val="5F6A72"/>
                <w:spacing w:val="-6"/>
                <w:position w:val="1"/>
              </w:rPr>
              <w:t>2.5</w:t>
            </w:r>
          </w:p>
        </w:tc>
      </w:tr>
      <w:tr w14:paraId="302536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78" w:hRule="atLeast"/>
        </w:trPr>
        <w:tc>
          <w:tcPr>
            <w:tcW w:w="10204" w:type="dxa"/>
            <w:gridSpan w:val="7"/>
            <w:tcBorders>
              <w:top w:val="single" w:color="333333" w:sz="4" w:space="0"/>
              <w:bottom w:val="single" w:color="D7DADB" w:sz="4" w:space="0"/>
            </w:tcBorders>
            <w:vAlign w:val="top"/>
          </w:tcPr>
          <w:p w14:paraId="63130313">
            <w:pPr>
              <w:pStyle w:val="8"/>
              <w:spacing w:line="242" w:lineRule="auto"/>
              <w:ind w:left="13"/>
              <w:rPr>
                <w:sz w:val="15"/>
                <w:szCs w:val="15"/>
              </w:rPr>
            </w:pPr>
            <w:r>
              <w:rPr>
                <w:i/>
                <w:iCs/>
                <w:color w:val="333333"/>
                <w:spacing w:val="-3"/>
                <w:w w:val="93"/>
                <w:sz w:val="15"/>
                <w:szCs w:val="15"/>
              </w:rPr>
              <w:t>e/f</w:t>
            </w:r>
            <w:r>
              <w:rPr>
                <w:i/>
                <w:iCs/>
                <w:color w:val="333333"/>
                <w:spacing w:val="-24"/>
                <w:sz w:val="15"/>
                <w:szCs w:val="15"/>
              </w:rPr>
              <w:t xml:space="preserve"> </w:t>
            </w:r>
            <w:r>
              <w:rPr>
                <w:i/>
                <w:iCs/>
                <w:color w:val="333333"/>
                <w:spacing w:val="-3"/>
                <w:w w:val="93"/>
                <w:sz w:val="15"/>
                <w:szCs w:val="15"/>
              </w:rPr>
              <w:t>= BMI estimate/fore</w:t>
            </w:r>
            <w:r>
              <w:rPr>
                <w:i/>
                <w:iCs/>
                <w:color w:val="333333"/>
                <w:spacing w:val="-4"/>
                <w:w w:val="93"/>
                <w:sz w:val="15"/>
                <w:szCs w:val="15"/>
              </w:rPr>
              <w:t>cast. Source: Minem, BMI</w:t>
            </w:r>
          </w:p>
          <w:p w14:paraId="1DADC062">
            <w:pPr>
              <w:pStyle w:val="8"/>
              <w:spacing w:line="321" w:lineRule="auto"/>
              <w:rPr>
                <w:sz w:val="21"/>
              </w:rPr>
            </w:pPr>
          </w:p>
          <w:p w14:paraId="01D5BA17">
            <w:pPr>
              <w:pStyle w:val="8"/>
              <w:spacing w:before="69" w:line="234" w:lineRule="auto"/>
              <w:ind w:left="59"/>
              <w:outlineLvl w:val="1"/>
              <w:rPr>
                <w:sz w:val="24"/>
                <w:szCs w:val="24"/>
              </w:rPr>
            </w:pPr>
            <w:r>
              <w:rPr>
                <w:color w:val="174174"/>
                <w:spacing w:val="-10"/>
                <w:sz w:val="24"/>
                <w:szCs w:val="24"/>
              </w:rPr>
              <w:t>Gas Consumption (Argentina 2029-2034)</w:t>
            </w:r>
          </w:p>
        </w:tc>
      </w:tr>
      <w:tr w14:paraId="392FE8A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435" w:type="dxa"/>
            <w:tcBorders>
              <w:top w:val="single" w:color="D7DADB" w:sz="4" w:space="0"/>
              <w:bottom w:val="single" w:color="D7DADB" w:sz="4" w:space="0"/>
              <w:right w:val="single" w:color="D7DADB" w:sz="6" w:space="0"/>
            </w:tcBorders>
            <w:vAlign w:val="top"/>
          </w:tcPr>
          <w:p w14:paraId="25EA4A89">
            <w:pPr>
              <w:pStyle w:val="8"/>
              <w:spacing w:before="74" w:line="243" w:lineRule="exact"/>
              <w:ind w:left="13"/>
            </w:pPr>
            <w:r>
              <w:rPr>
                <w:b/>
                <w:bCs/>
                <w:color w:val="5F6A72"/>
                <w:spacing w:val="-6"/>
                <w:position w:val="1"/>
              </w:rPr>
              <w:t>Indicator</w:t>
            </w:r>
          </w:p>
        </w:tc>
        <w:tc>
          <w:tcPr>
            <w:tcW w:w="964" w:type="dxa"/>
            <w:tcBorders>
              <w:top w:val="single" w:color="D7DADB" w:sz="4" w:space="0"/>
              <w:left w:val="single" w:color="D7DADB" w:sz="6" w:space="0"/>
              <w:bottom w:val="single" w:color="D7DADB" w:sz="4" w:space="0"/>
            </w:tcBorders>
            <w:vAlign w:val="top"/>
          </w:tcPr>
          <w:p w14:paraId="3CD0C65E">
            <w:pPr>
              <w:pStyle w:val="8"/>
              <w:spacing w:before="74" w:line="243" w:lineRule="exact"/>
              <w:ind w:left="439"/>
            </w:pPr>
            <w:r>
              <w:rPr>
                <w:b/>
                <w:bCs/>
                <w:color w:val="5F6A72"/>
                <w:spacing w:val="-1"/>
                <w:position w:val="1"/>
              </w:rPr>
              <w:t>2029f</w:t>
            </w:r>
          </w:p>
        </w:tc>
        <w:tc>
          <w:tcPr>
            <w:tcW w:w="961" w:type="dxa"/>
            <w:tcBorders>
              <w:top w:val="single" w:color="D7DADB" w:sz="4" w:space="0"/>
              <w:bottom w:val="single" w:color="D7DADB" w:sz="4" w:space="0"/>
            </w:tcBorders>
            <w:vAlign w:val="top"/>
          </w:tcPr>
          <w:p w14:paraId="1F8B7E19">
            <w:pPr>
              <w:pStyle w:val="8"/>
              <w:spacing w:before="74" w:line="243" w:lineRule="exact"/>
              <w:ind w:left="444"/>
            </w:pPr>
            <w:r>
              <w:rPr>
                <w:b/>
                <w:bCs/>
                <w:color w:val="5F6A72"/>
                <w:spacing w:val="-1"/>
                <w:position w:val="1"/>
              </w:rPr>
              <w:t>2030f</w:t>
            </w:r>
          </w:p>
        </w:tc>
        <w:tc>
          <w:tcPr>
            <w:tcW w:w="955" w:type="dxa"/>
            <w:tcBorders>
              <w:top w:val="single" w:color="D7DADB" w:sz="4" w:space="0"/>
              <w:bottom w:val="single" w:color="D7DADB" w:sz="4" w:space="0"/>
            </w:tcBorders>
            <w:vAlign w:val="top"/>
          </w:tcPr>
          <w:p w14:paraId="78C62BE5">
            <w:pPr>
              <w:pStyle w:val="8"/>
              <w:spacing w:before="74" w:line="243" w:lineRule="exact"/>
              <w:ind w:left="444"/>
            </w:pPr>
            <w:r>
              <w:rPr>
                <w:b/>
                <w:bCs/>
                <w:color w:val="5F6A72"/>
                <w:spacing w:val="-1"/>
                <w:position w:val="1"/>
              </w:rPr>
              <w:t>2031f</w:t>
            </w:r>
          </w:p>
        </w:tc>
        <w:tc>
          <w:tcPr>
            <w:tcW w:w="963" w:type="dxa"/>
            <w:tcBorders>
              <w:top w:val="single" w:color="D7DADB" w:sz="4" w:space="0"/>
              <w:bottom w:val="single" w:color="D7DADB" w:sz="4" w:space="0"/>
            </w:tcBorders>
            <w:vAlign w:val="top"/>
          </w:tcPr>
          <w:p w14:paraId="2939AB7C">
            <w:pPr>
              <w:pStyle w:val="8"/>
              <w:spacing w:before="74" w:line="243" w:lineRule="exact"/>
              <w:ind w:left="450"/>
            </w:pPr>
            <w:r>
              <w:rPr>
                <w:b/>
                <w:bCs/>
                <w:color w:val="5F6A72"/>
                <w:spacing w:val="-1"/>
                <w:position w:val="1"/>
              </w:rPr>
              <w:t>2032f</w:t>
            </w:r>
          </w:p>
        </w:tc>
        <w:tc>
          <w:tcPr>
            <w:tcW w:w="963" w:type="dxa"/>
            <w:tcBorders>
              <w:top w:val="single" w:color="D7DADB" w:sz="4" w:space="0"/>
              <w:bottom w:val="single" w:color="D7DADB" w:sz="4" w:space="0"/>
            </w:tcBorders>
            <w:vAlign w:val="top"/>
          </w:tcPr>
          <w:p w14:paraId="522C34C8">
            <w:pPr>
              <w:pStyle w:val="8"/>
              <w:spacing w:before="74" w:line="243" w:lineRule="exact"/>
              <w:ind w:left="448"/>
            </w:pPr>
            <w:r>
              <w:rPr>
                <w:b/>
                <w:bCs/>
                <w:color w:val="5F6A72"/>
                <w:spacing w:val="-1"/>
                <w:position w:val="1"/>
              </w:rPr>
              <w:t>2033f</w:t>
            </w:r>
          </w:p>
        </w:tc>
        <w:tc>
          <w:tcPr>
            <w:tcW w:w="963" w:type="dxa"/>
            <w:tcBorders>
              <w:top w:val="single" w:color="D7DADB" w:sz="4" w:space="0"/>
              <w:bottom w:val="single" w:color="D7DADB" w:sz="4" w:space="0"/>
            </w:tcBorders>
            <w:vAlign w:val="top"/>
          </w:tcPr>
          <w:p w14:paraId="36C0792E">
            <w:pPr>
              <w:pStyle w:val="8"/>
              <w:spacing w:before="74" w:line="243" w:lineRule="exact"/>
              <w:ind w:left="447"/>
            </w:pPr>
            <w:r>
              <w:rPr>
                <w:b/>
                <w:bCs/>
                <w:color w:val="5F6A72"/>
                <w:spacing w:val="-1"/>
                <w:position w:val="1"/>
              </w:rPr>
              <w:t>2034f</w:t>
            </w:r>
          </w:p>
        </w:tc>
      </w:tr>
      <w:tr w14:paraId="3E2380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0" w:hRule="atLeast"/>
        </w:trPr>
        <w:tc>
          <w:tcPr>
            <w:tcW w:w="4435" w:type="dxa"/>
            <w:tcBorders>
              <w:top w:val="single" w:color="D7DADB" w:sz="4" w:space="0"/>
              <w:bottom w:val="single" w:color="D7DADB" w:sz="4" w:space="0"/>
              <w:right w:val="single" w:color="D7DADB" w:sz="6" w:space="0"/>
            </w:tcBorders>
            <w:vAlign w:val="top"/>
          </w:tcPr>
          <w:p w14:paraId="691CC051">
            <w:pPr>
              <w:pStyle w:val="8"/>
              <w:spacing w:before="77" w:line="234" w:lineRule="auto"/>
              <w:ind w:left="18"/>
            </w:pPr>
            <w:r>
              <w:rPr>
                <w:color w:val="2A8ABF"/>
                <w:spacing w:val="-7"/>
              </w:rPr>
              <w:t>Dry natural gas</w:t>
            </w:r>
            <w:r>
              <w:rPr>
                <w:color w:val="2A8ABF"/>
                <w:spacing w:val="-10"/>
              </w:rPr>
              <w:t xml:space="preserve"> </w:t>
            </w:r>
            <w:r>
              <w:rPr>
                <w:color w:val="2A8ABF"/>
                <w:spacing w:val="-7"/>
              </w:rPr>
              <w:t>consumption,</w:t>
            </w:r>
            <w:r>
              <w:rPr>
                <w:color w:val="2A8ABF"/>
                <w:spacing w:val="-8"/>
              </w:rPr>
              <w:t xml:space="preserve"> bcm</w:t>
            </w:r>
          </w:p>
        </w:tc>
        <w:tc>
          <w:tcPr>
            <w:tcW w:w="964" w:type="dxa"/>
            <w:tcBorders>
              <w:top w:val="single" w:color="D7DADB" w:sz="4" w:space="0"/>
              <w:left w:val="single" w:color="D7DADB" w:sz="6" w:space="0"/>
              <w:bottom w:val="single" w:color="D7DADB" w:sz="4" w:space="0"/>
            </w:tcBorders>
            <w:vAlign w:val="top"/>
          </w:tcPr>
          <w:p w14:paraId="6DE8BC9E">
            <w:pPr>
              <w:pStyle w:val="8"/>
              <w:spacing w:before="77" w:line="237" w:lineRule="exact"/>
              <w:ind w:left="568"/>
            </w:pPr>
            <w:r>
              <w:rPr>
                <w:color w:val="5F6A72"/>
                <w:spacing w:val="-7"/>
                <w:position w:val="1"/>
              </w:rPr>
              <w:t>53.4</w:t>
            </w:r>
          </w:p>
        </w:tc>
        <w:tc>
          <w:tcPr>
            <w:tcW w:w="961" w:type="dxa"/>
            <w:tcBorders>
              <w:top w:val="single" w:color="D7DADB" w:sz="4" w:space="0"/>
              <w:bottom w:val="single" w:color="D7DADB" w:sz="4" w:space="0"/>
            </w:tcBorders>
            <w:vAlign w:val="top"/>
          </w:tcPr>
          <w:p w14:paraId="380FE242">
            <w:pPr>
              <w:pStyle w:val="8"/>
              <w:spacing w:before="77" w:line="238" w:lineRule="exact"/>
              <w:ind w:left="573"/>
            </w:pPr>
            <w:r>
              <w:rPr>
                <w:color w:val="5F6A72"/>
                <w:spacing w:val="-7"/>
                <w:position w:val="1"/>
              </w:rPr>
              <w:t>54.7</w:t>
            </w:r>
          </w:p>
        </w:tc>
        <w:tc>
          <w:tcPr>
            <w:tcW w:w="955" w:type="dxa"/>
            <w:tcBorders>
              <w:top w:val="single" w:color="D7DADB" w:sz="4" w:space="0"/>
              <w:bottom w:val="single" w:color="D7DADB" w:sz="4" w:space="0"/>
            </w:tcBorders>
            <w:vAlign w:val="top"/>
          </w:tcPr>
          <w:p w14:paraId="74B2B01A">
            <w:pPr>
              <w:pStyle w:val="8"/>
              <w:spacing w:before="77" w:line="238" w:lineRule="exact"/>
              <w:ind w:left="573"/>
            </w:pPr>
            <w:r>
              <w:rPr>
                <w:color w:val="5F6A72"/>
                <w:spacing w:val="-7"/>
                <w:position w:val="1"/>
              </w:rPr>
              <w:t>56.1</w:t>
            </w:r>
          </w:p>
        </w:tc>
        <w:tc>
          <w:tcPr>
            <w:tcW w:w="963" w:type="dxa"/>
            <w:tcBorders>
              <w:top w:val="single" w:color="D7DADB" w:sz="4" w:space="0"/>
              <w:bottom w:val="single" w:color="D7DADB" w:sz="4" w:space="0"/>
            </w:tcBorders>
            <w:vAlign w:val="top"/>
          </w:tcPr>
          <w:p w14:paraId="4B34A9C2">
            <w:pPr>
              <w:pStyle w:val="8"/>
              <w:spacing w:before="77" w:line="238" w:lineRule="exact"/>
              <w:ind w:left="579"/>
            </w:pPr>
            <w:r>
              <w:rPr>
                <w:color w:val="5F6A72"/>
                <w:spacing w:val="-7"/>
                <w:position w:val="1"/>
              </w:rPr>
              <w:t>57.5</w:t>
            </w:r>
          </w:p>
        </w:tc>
        <w:tc>
          <w:tcPr>
            <w:tcW w:w="963" w:type="dxa"/>
            <w:tcBorders>
              <w:top w:val="single" w:color="D7DADB" w:sz="4" w:space="0"/>
              <w:bottom w:val="single" w:color="D7DADB" w:sz="4" w:space="0"/>
            </w:tcBorders>
            <w:vAlign w:val="top"/>
          </w:tcPr>
          <w:p w14:paraId="031C9F79">
            <w:pPr>
              <w:pStyle w:val="8"/>
              <w:spacing w:before="77" w:line="238" w:lineRule="exact"/>
              <w:ind w:left="577"/>
            </w:pPr>
            <w:r>
              <w:rPr>
                <w:color w:val="5F6A72"/>
                <w:spacing w:val="-7"/>
                <w:position w:val="1"/>
              </w:rPr>
              <w:t>58.9</w:t>
            </w:r>
          </w:p>
        </w:tc>
        <w:tc>
          <w:tcPr>
            <w:tcW w:w="963" w:type="dxa"/>
            <w:tcBorders>
              <w:top w:val="single" w:color="D7DADB" w:sz="4" w:space="0"/>
              <w:bottom w:val="single" w:color="D7DADB" w:sz="4" w:space="0"/>
            </w:tcBorders>
            <w:vAlign w:val="top"/>
          </w:tcPr>
          <w:p w14:paraId="3DEE8883">
            <w:pPr>
              <w:pStyle w:val="8"/>
              <w:spacing w:before="77" w:line="238" w:lineRule="exact"/>
              <w:ind w:left="576"/>
            </w:pPr>
            <w:r>
              <w:rPr>
                <w:color w:val="5F6A72"/>
                <w:spacing w:val="-7"/>
                <w:position w:val="1"/>
              </w:rPr>
              <w:t>60.4</w:t>
            </w:r>
          </w:p>
        </w:tc>
      </w:tr>
      <w:tr w14:paraId="5025A2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7" w:hRule="atLeast"/>
        </w:trPr>
        <w:tc>
          <w:tcPr>
            <w:tcW w:w="4435" w:type="dxa"/>
            <w:tcBorders>
              <w:top w:val="single" w:color="D7DADB" w:sz="4" w:space="0"/>
              <w:bottom w:val="single" w:color="333333" w:sz="4" w:space="0"/>
              <w:right w:val="single" w:color="D7DADB" w:sz="6" w:space="0"/>
            </w:tcBorders>
            <w:shd w:val="clear" w:color="auto" w:fill="EAF9FF"/>
            <w:vAlign w:val="top"/>
          </w:tcPr>
          <w:p w14:paraId="23DA7B44">
            <w:pPr>
              <w:pStyle w:val="8"/>
              <w:spacing w:before="78" w:line="234" w:lineRule="auto"/>
              <w:ind w:left="18"/>
            </w:pPr>
            <w:r>
              <w:rPr>
                <w:color w:val="2A8ABF"/>
                <w:spacing w:val="-7"/>
              </w:rPr>
              <w:t>Dry natural gas</w:t>
            </w:r>
            <w:r>
              <w:rPr>
                <w:color w:val="2A8ABF"/>
                <w:spacing w:val="-10"/>
              </w:rPr>
              <w:t xml:space="preserve"> </w:t>
            </w:r>
            <w:r>
              <w:rPr>
                <w:color w:val="2A8ABF"/>
                <w:spacing w:val="-7"/>
              </w:rPr>
              <w:t>cons</w:t>
            </w:r>
            <w:r>
              <w:rPr>
                <w:color w:val="2A8ABF"/>
                <w:spacing w:val="-8"/>
              </w:rPr>
              <w:t>umption,</w:t>
            </w:r>
            <w:r>
              <w:rPr>
                <w:color w:val="2A8ABF"/>
                <w:spacing w:val="-13"/>
              </w:rPr>
              <w:t xml:space="preserve"> </w:t>
            </w:r>
            <w:r>
              <w:rPr>
                <w:color w:val="2A8ABF"/>
                <w:spacing w:val="-8"/>
              </w:rPr>
              <w:t>%</w:t>
            </w:r>
            <w:r>
              <w:rPr>
                <w:color w:val="2A8ABF"/>
                <w:spacing w:val="-17"/>
              </w:rPr>
              <w:t xml:space="preserve"> </w:t>
            </w:r>
            <w:r>
              <w:rPr>
                <w:color w:val="2A8ABF"/>
                <w:spacing w:val="-8"/>
              </w:rPr>
              <w:t>y-o-y</w:t>
            </w:r>
          </w:p>
        </w:tc>
        <w:tc>
          <w:tcPr>
            <w:tcW w:w="964" w:type="dxa"/>
            <w:tcBorders>
              <w:top w:val="single" w:color="D7DADB" w:sz="4" w:space="0"/>
              <w:left w:val="single" w:color="D7DADB" w:sz="6" w:space="0"/>
              <w:bottom w:val="single" w:color="333333" w:sz="4" w:space="0"/>
            </w:tcBorders>
            <w:shd w:val="clear" w:color="auto" w:fill="EAF9FF"/>
            <w:vAlign w:val="top"/>
          </w:tcPr>
          <w:p w14:paraId="0AA6991E">
            <w:pPr>
              <w:pStyle w:val="8"/>
              <w:spacing w:before="78" w:line="238" w:lineRule="exact"/>
              <w:ind w:left="664"/>
            </w:pPr>
            <w:r>
              <w:rPr>
                <w:color w:val="5F6A72"/>
                <w:spacing w:val="-6"/>
                <w:position w:val="1"/>
              </w:rPr>
              <w:t>2.5</w:t>
            </w:r>
          </w:p>
        </w:tc>
        <w:tc>
          <w:tcPr>
            <w:tcW w:w="961" w:type="dxa"/>
            <w:tcBorders>
              <w:top w:val="single" w:color="D7DADB" w:sz="4" w:space="0"/>
              <w:bottom w:val="single" w:color="333333" w:sz="4" w:space="0"/>
            </w:tcBorders>
            <w:shd w:val="clear" w:color="auto" w:fill="EAF9FF"/>
            <w:vAlign w:val="top"/>
          </w:tcPr>
          <w:p w14:paraId="1C80FDF2">
            <w:pPr>
              <w:pStyle w:val="8"/>
              <w:spacing w:before="78" w:line="238" w:lineRule="exact"/>
              <w:ind w:left="668"/>
            </w:pPr>
            <w:r>
              <w:rPr>
                <w:color w:val="5F6A72"/>
                <w:spacing w:val="-6"/>
                <w:position w:val="1"/>
              </w:rPr>
              <w:t>2.5</w:t>
            </w:r>
          </w:p>
        </w:tc>
        <w:tc>
          <w:tcPr>
            <w:tcW w:w="955" w:type="dxa"/>
            <w:tcBorders>
              <w:top w:val="single" w:color="D7DADB" w:sz="4" w:space="0"/>
              <w:bottom w:val="single" w:color="333333" w:sz="4" w:space="0"/>
            </w:tcBorders>
            <w:shd w:val="clear" w:color="auto" w:fill="EAF9FF"/>
            <w:vAlign w:val="top"/>
          </w:tcPr>
          <w:p w14:paraId="40CF2BEE">
            <w:pPr>
              <w:pStyle w:val="8"/>
              <w:spacing w:before="78" w:line="238" w:lineRule="exact"/>
              <w:ind w:left="669"/>
            </w:pPr>
            <w:r>
              <w:rPr>
                <w:color w:val="5F6A72"/>
                <w:spacing w:val="-6"/>
                <w:position w:val="1"/>
              </w:rPr>
              <w:t>2.5</w:t>
            </w:r>
          </w:p>
        </w:tc>
        <w:tc>
          <w:tcPr>
            <w:tcW w:w="963" w:type="dxa"/>
            <w:tcBorders>
              <w:top w:val="single" w:color="D7DADB" w:sz="4" w:space="0"/>
              <w:bottom w:val="single" w:color="333333" w:sz="4" w:space="0"/>
            </w:tcBorders>
            <w:shd w:val="clear" w:color="auto" w:fill="EAF9FF"/>
            <w:vAlign w:val="top"/>
          </w:tcPr>
          <w:p w14:paraId="7352FAC6">
            <w:pPr>
              <w:pStyle w:val="8"/>
              <w:spacing w:before="78" w:line="238" w:lineRule="exact"/>
              <w:ind w:left="675"/>
            </w:pPr>
            <w:r>
              <w:rPr>
                <w:color w:val="5F6A72"/>
                <w:spacing w:val="-6"/>
                <w:position w:val="1"/>
              </w:rPr>
              <w:t>2.5</w:t>
            </w:r>
          </w:p>
        </w:tc>
        <w:tc>
          <w:tcPr>
            <w:tcW w:w="963" w:type="dxa"/>
            <w:tcBorders>
              <w:top w:val="single" w:color="D7DADB" w:sz="4" w:space="0"/>
              <w:bottom w:val="single" w:color="333333" w:sz="4" w:space="0"/>
            </w:tcBorders>
            <w:shd w:val="clear" w:color="auto" w:fill="EAF9FF"/>
            <w:vAlign w:val="top"/>
          </w:tcPr>
          <w:p w14:paraId="7A0DE38F">
            <w:pPr>
              <w:pStyle w:val="8"/>
              <w:spacing w:before="78" w:line="238" w:lineRule="exact"/>
              <w:ind w:left="673"/>
            </w:pPr>
            <w:r>
              <w:rPr>
                <w:color w:val="5F6A72"/>
                <w:spacing w:val="-6"/>
                <w:position w:val="1"/>
              </w:rPr>
              <w:t>2.5</w:t>
            </w:r>
          </w:p>
        </w:tc>
        <w:tc>
          <w:tcPr>
            <w:tcW w:w="963" w:type="dxa"/>
            <w:tcBorders>
              <w:top w:val="single" w:color="D7DADB" w:sz="4" w:space="0"/>
              <w:bottom w:val="single" w:color="333333" w:sz="4" w:space="0"/>
            </w:tcBorders>
            <w:shd w:val="clear" w:color="auto" w:fill="EAF9FF"/>
            <w:vAlign w:val="top"/>
          </w:tcPr>
          <w:p w14:paraId="424C19CE">
            <w:pPr>
              <w:pStyle w:val="8"/>
              <w:spacing w:before="78" w:line="238" w:lineRule="exact"/>
              <w:ind w:left="671"/>
            </w:pPr>
            <w:r>
              <w:rPr>
                <w:color w:val="5F6A72"/>
                <w:spacing w:val="-6"/>
                <w:position w:val="1"/>
              </w:rPr>
              <w:t>2.5</w:t>
            </w:r>
          </w:p>
        </w:tc>
      </w:tr>
    </w:tbl>
    <w:p w14:paraId="56C00B00">
      <w:pPr>
        <w:pStyle w:val="4"/>
        <w:spacing w:line="174" w:lineRule="exact"/>
        <w:ind w:left="373"/>
        <w:rPr>
          <w:sz w:val="15"/>
          <w:szCs w:val="15"/>
        </w:rPr>
      </w:pPr>
      <w:r>
        <w:rPr>
          <w:i/>
          <w:iCs/>
          <w:color w:val="333333"/>
          <w:spacing w:val="-6"/>
          <w:w w:val="92"/>
          <w:position w:val="1"/>
          <w:sz w:val="15"/>
          <w:szCs w:val="15"/>
        </w:rPr>
        <w:t>f</w:t>
      </w:r>
      <w:r>
        <w:rPr>
          <w:i/>
          <w:iCs/>
          <w:color w:val="333333"/>
          <w:spacing w:val="-14"/>
          <w:position w:val="1"/>
          <w:sz w:val="15"/>
          <w:szCs w:val="15"/>
        </w:rPr>
        <w:t xml:space="preserve"> </w:t>
      </w:r>
      <w:r>
        <w:rPr>
          <w:i/>
          <w:iCs/>
          <w:color w:val="333333"/>
          <w:spacing w:val="-6"/>
          <w:w w:val="92"/>
          <w:position w:val="1"/>
          <w:sz w:val="15"/>
          <w:szCs w:val="15"/>
        </w:rPr>
        <w:t>= BMI</w:t>
      </w:r>
      <w:r>
        <w:rPr>
          <w:i/>
          <w:iCs/>
          <w:color w:val="333333"/>
          <w:spacing w:val="-8"/>
          <w:position w:val="1"/>
          <w:sz w:val="15"/>
          <w:szCs w:val="15"/>
        </w:rPr>
        <w:t xml:space="preserve"> </w:t>
      </w:r>
      <w:r>
        <w:rPr>
          <w:i/>
          <w:iCs/>
          <w:color w:val="333333"/>
          <w:spacing w:val="-6"/>
          <w:w w:val="92"/>
          <w:position w:val="1"/>
          <w:sz w:val="15"/>
          <w:szCs w:val="15"/>
        </w:rPr>
        <w:t>forecast. Source: EIA, Minem, BMI</w:t>
      </w:r>
    </w:p>
    <w:p w14:paraId="009C7959">
      <w:pPr>
        <w:spacing w:line="174" w:lineRule="exact"/>
        <w:rPr>
          <w:sz w:val="15"/>
          <w:szCs w:val="15"/>
        </w:rPr>
        <w:sectPr>
          <w:footerReference r:id="rId39" w:type="default"/>
          <w:pgSz w:w="11906" w:h="16838"/>
          <w:pgMar w:top="400" w:right="490" w:bottom="883" w:left="490" w:header="0" w:footer="0" w:gutter="0"/>
          <w:cols w:space="720" w:num="1"/>
        </w:sectPr>
      </w:pPr>
    </w:p>
    <w:p w14:paraId="71EE94E3">
      <w:pPr>
        <w:pStyle w:val="4"/>
        <w:spacing w:before="73" w:line="241" w:lineRule="auto"/>
        <w:ind w:left="7372"/>
        <w:rPr>
          <w:sz w:val="20"/>
          <w:szCs w:val="20"/>
        </w:rPr>
      </w:pPr>
      <w:r>
        <w:drawing>
          <wp:anchor distT="0" distB="0" distL="0" distR="0" simplePos="0" relativeHeight="25181081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11840" behindDoc="0" locked="0" layoutInCell="0" allowOverlap="1">
            <wp:simplePos x="0" y="0"/>
            <wp:positionH relativeFrom="page">
              <wp:posOffset>311150</wp:posOffset>
            </wp:positionH>
            <wp:positionV relativeFrom="page">
              <wp:posOffset>0</wp:posOffset>
            </wp:positionV>
            <wp:extent cx="19050" cy="814070"/>
            <wp:effectExtent l="0" t="0" r="0" b="0"/>
            <wp:wrapNone/>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B19260B">
      <w:pPr>
        <w:pStyle w:val="4"/>
        <w:spacing w:line="278" w:lineRule="auto"/>
      </w:pPr>
    </w:p>
    <w:p w14:paraId="490DDE3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D5BD28C">
      <w:pPr>
        <w:pStyle w:val="4"/>
        <w:spacing w:line="428" w:lineRule="auto"/>
      </w:pPr>
    </w:p>
    <w:p w14:paraId="2DC0F223">
      <w:pPr>
        <w:pStyle w:val="4"/>
        <w:spacing w:before="86" w:line="396" w:lineRule="exact"/>
        <w:ind w:left="374"/>
        <w:outlineLvl w:val="0"/>
        <w:rPr>
          <w:sz w:val="30"/>
          <w:szCs w:val="30"/>
        </w:rPr>
      </w:pPr>
      <w:bookmarkStart w:id="17" w:name="bookmark12"/>
      <w:bookmarkEnd w:id="17"/>
      <w:r>
        <w:rPr>
          <w:color w:val="2A8ABF"/>
          <w:spacing w:val="-19"/>
          <w:position w:val="1"/>
          <w:sz w:val="30"/>
          <w:szCs w:val="30"/>
        </w:rPr>
        <w:t>Oil Trade</w:t>
      </w:r>
    </w:p>
    <w:p w14:paraId="5808901D">
      <w:pPr>
        <w:pStyle w:val="4"/>
        <w:spacing w:before="263" w:line="285" w:lineRule="auto"/>
        <w:ind w:left="373" w:right="443" w:firstLine="12"/>
        <w:rPr>
          <w:sz w:val="20"/>
          <w:szCs w:val="20"/>
        </w:rPr>
      </w:pPr>
      <w:r>
        <w:rPr>
          <w:b/>
          <w:bCs/>
          <w:i/>
          <w:iCs/>
          <w:color w:val="57585A"/>
          <w:spacing w:val="-6"/>
          <w:w w:val="96"/>
          <w:sz w:val="20"/>
          <w:szCs w:val="20"/>
        </w:rPr>
        <w:t>Key View:</w:t>
      </w:r>
      <w:r>
        <w:rPr>
          <w:b/>
          <w:bCs/>
          <w:i/>
          <w:iCs/>
          <w:color w:val="57585A"/>
          <w:spacing w:val="-24"/>
          <w:sz w:val="20"/>
          <w:szCs w:val="20"/>
        </w:rPr>
        <w:t xml:space="preserve"> </w:t>
      </w:r>
      <w:r>
        <w:rPr>
          <w:i/>
          <w:iCs/>
          <w:color w:val="57585A"/>
          <w:spacing w:val="-6"/>
          <w:w w:val="96"/>
          <w:sz w:val="20"/>
          <w:szCs w:val="20"/>
        </w:rPr>
        <w:t>Argentina is increasing</w:t>
      </w:r>
      <w:r>
        <w:rPr>
          <w:i/>
          <w:iCs/>
          <w:color w:val="57585A"/>
          <w:spacing w:val="-16"/>
          <w:sz w:val="20"/>
          <w:szCs w:val="20"/>
        </w:rPr>
        <w:t xml:space="preserve"> </w:t>
      </w:r>
      <w:r>
        <w:rPr>
          <w:i/>
          <w:iCs/>
          <w:color w:val="57585A"/>
          <w:spacing w:val="-6"/>
          <w:w w:val="96"/>
          <w:sz w:val="20"/>
          <w:szCs w:val="20"/>
        </w:rPr>
        <w:t>its net cr</w:t>
      </w:r>
      <w:r>
        <w:rPr>
          <w:i/>
          <w:iCs/>
          <w:color w:val="57585A"/>
          <w:spacing w:val="-7"/>
          <w:w w:val="96"/>
          <w:sz w:val="20"/>
          <w:szCs w:val="20"/>
        </w:rPr>
        <w:t>ude oil exports thanks to rising unconventional</w:t>
      </w:r>
      <w:r>
        <w:rPr>
          <w:i/>
          <w:iCs/>
          <w:color w:val="57585A"/>
          <w:spacing w:val="-25"/>
          <w:sz w:val="20"/>
          <w:szCs w:val="20"/>
        </w:rPr>
        <w:t xml:space="preserve"> </w:t>
      </w:r>
      <w:r>
        <w:rPr>
          <w:i/>
          <w:iCs/>
          <w:color w:val="57585A"/>
          <w:spacing w:val="-7"/>
          <w:w w:val="96"/>
          <w:sz w:val="20"/>
          <w:szCs w:val="20"/>
        </w:rPr>
        <w:t>production and oil</w:t>
      </w:r>
      <w:r>
        <w:rPr>
          <w:i/>
          <w:iCs/>
          <w:color w:val="57585A"/>
          <w:spacing w:val="-13"/>
          <w:sz w:val="20"/>
          <w:szCs w:val="20"/>
        </w:rPr>
        <w:t xml:space="preserve"> </w:t>
      </w:r>
      <w:r>
        <w:rPr>
          <w:i/>
          <w:iCs/>
          <w:color w:val="57585A"/>
          <w:spacing w:val="-7"/>
          <w:w w:val="96"/>
          <w:sz w:val="20"/>
          <w:szCs w:val="20"/>
        </w:rPr>
        <w:t>export</w:t>
      </w:r>
      <w:r>
        <w:rPr>
          <w:i/>
          <w:iCs/>
          <w:color w:val="57585A"/>
          <w:spacing w:val="-18"/>
          <w:sz w:val="20"/>
          <w:szCs w:val="20"/>
        </w:rPr>
        <w:t xml:space="preserve"> </w:t>
      </w:r>
      <w:r>
        <w:rPr>
          <w:i/>
          <w:iCs/>
          <w:color w:val="57585A"/>
          <w:spacing w:val="-7"/>
          <w:w w:val="96"/>
          <w:sz w:val="20"/>
          <w:szCs w:val="20"/>
        </w:rPr>
        <w:t>infrastructure.</w:t>
      </w:r>
      <w:r>
        <w:rPr>
          <w:i/>
          <w:iCs/>
          <w:color w:val="57585A"/>
          <w:sz w:val="20"/>
          <w:szCs w:val="20"/>
        </w:rPr>
        <w:t xml:space="preserve"> </w:t>
      </w:r>
      <w:r>
        <w:rPr>
          <w:i/>
          <w:iCs/>
          <w:color w:val="57585A"/>
          <w:spacing w:val="-5"/>
          <w:w w:val="94"/>
          <w:sz w:val="20"/>
          <w:szCs w:val="20"/>
        </w:rPr>
        <w:t>This will</w:t>
      </w:r>
      <w:r>
        <w:rPr>
          <w:i/>
          <w:iCs/>
          <w:color w:val="57585A"/>
          <w:spacing w:val="-19"/>
          <w:sz w:val="20"/>
          <w:szCs w:val="20"/>
        </w:rPr>
        <w:t xml:space="preserve"> </w:t>
      </w:r>
      <w:r>
        <w:rPr>
          <w:i/>
          <w:iCs/>
          <w:color w:val="57585A"/>
          <w:spacing w:val="-5"/>
          <w:w w:val="94"/>
          <w:sz w:val="20"/>
          <w:szCs w:val="20"/>
        </w:rPr>
        <w:t>see crude oil</w:t>
      </w:r>
      <w:r>
        <w:rPr>
          <w:i/>
          <w:iCs/>
          <w:color w:val="57585A"/>
          <w:spacing w:val="-17"/>
          <w:sz w:val="20"/>
          <w:szCs w:val="20"/>
        </w:rPr>
        <w:t xml:space="preserve"> </w:t>
      </w:r>
      <w:r>
        <w:rPr>
          <w:i/>
          <w:iCs/>
          <w:color w:val="57585A"/>
          <w:spacing w:val="-5"/>
          <w:w w:val="94"/>
          <w:sz w:val="20"/>
          <w:szCs w:val="20"/>
        </w:rPr>
        <w:t>net exports rise from 352,000b/d</w:t>
      </w:r>
      <w:r>
        <w:rPr>
          <w:i/>
          <w:iCs/>
          <w:color w:val="57585A"/>
          <w:spacing w:val="-17"/>
          <w:sz w:val="20"/>
          <w:szCs w:val="20"/>
        </w:rPr>
        <w:t xml:space="preserve"> </w:t>
      </w:r>
      <w:r>
        <w:rPr>
          <w:i/>
          <w:iCs/>
          <w:color w:val="57585A"/>
          <w:spacing w:val="-5"/>
          <w:w w:val="94"/>
          <w:sz w:val="20"/>
          <w:szCs w:val="20"/>
        </w:rPr>
        <w:t>in 2024 to over 600,000b/d</w:t>
      </w:r>
      <w:r>
        <w:rPr>
          <w:i/>
          <w:iCs/>
          <w:color w:val="57585A"/>
          <w:spacing w:val="-17"/>
          <w:sz w:val="20"/>
          <w:szCs w:val="20"/>
        </w:rPr>
        <w:t xml:space="preserve"> </w:t>
      </w:r>
      <w:r>
        <w:rPr>
          <w:i/>
          <w:iCs/>
          <w:color w:val="57585A"/>
          <w:spacing w:val="-5"/>
          <w:w w:val="94"/>
          <w:sz w:val="20"/>
          <w:szCs w:val="20"/>
        </w:rPr>
        <w:t>by</w:t>
      </w:r>
      <w:r>
        <w:rPr>
          <w:i/>
          <w:iCs/>
          <w:color w:val="57585A"/>
          <w:spacing w:val="-23"/>
          <w:sz w:val="20"/>
          <w:szCs w:val="20"/>
        </w:rPr>
        <w:t xml:space="preserve"> </w:t>
      </w:r>
      <w:r>
        <w:rPr>
          <w:i/>
          <w:iCs/>
          <w:color w:val="57585A"/>
          <w:spacing w:val="-5"/>
          <w:w w:val="94"/>
          <w:sz w:val="20"/>
          <w:szCs w:val="20"/>
        </w:rPr>
        <w:t>2034, with ri</w:t>
      </w:r>
      <w:r>
        <w:rPr>
          <w:i/>
          <w:iCs/>
          <w:color w:val="57585A"/>
          <w:spacing w:val="-6"/>
          <w:w w:val="94"/>
          <w:sz w:val="20"/>
          <w:szCs w:val="20"/>
        </w:rPr>
        <w:t>sing upside risks to this forecast.</w:t>
      </w:r>
      <w:r>
        <w:rPr>
          <w:i/>
          <w:iCs/>
          <w:color w:val="57585A"/>
          <w:sz w:val="20"/>
          <w:szCs w:val="20"/>
        </w:rPr>
        <w:t xml:space="preserve"> </w:t>
      </w:r>
      <w:r>
        <w:rPr>
          <w:i/>
          <w:iCs/>
          <w:color w:val="57585A"/>
          <w:spacing w:val="-7"/>
          <w:w w:val="96"/>
          <w:sz w:val="20"/>
          <w:szCs w:val="20"/>
        </w:rPr>
        <w:t>The country</w:t>
      </w:r>
      <w:r>
        <w:rPr>
          <w:i/>
          <w:iCs/>
          <w:color w:val="57585A"/>
          <w:spacing w:val="-23"/>
          <w:sz w:val="20"/>
          <w:szCs w:val="20"/>
        </w:rPr>
        <w:t xml:space="preserve"> </w:t>
      </w:r>
      <w:r>
        <w:rPr>
          <w:i/>
          <w:iCs/>
          <w:color w:val="57585A"/>
          <w:spacing w:val="-7"/>
          <w:w w:val="96"/>
          <w:sz w:val="20"/>
          <w:szCs w:val="20"/>
        </w:rPr>
        <w:t>is a mid-scale importer</w:t>
      </w:r>
      <w:r>
        <w:rPr>
          <w:i/>
          <w:iCs/>
          <w:color w:val="57585A"/>
          <w:spacing w:val="-18"/>
          <w:sz w:val="20"/>
          <w:szCs w:val="20"/>
        </w:rPr>
        <w:t xml:space="preserve"> </w:t>
      </w:r>
      <w:r>
        <w:rPr>
          <w:i/>
          <w:iCs/>
          <w:color w:val="57585A"/>
          <w:spacing w:val="-7"/>
          <w:w w:val="96"/>
          <w:sz w:val="20"/>
          <w:szCs w:val="20"/>
        </w:rPr>
        <w:t>of</w:t>
      </w:r>
      <w:r>
        <w:rPr>
          <w:i/>
          <w:iCs/>
          <w:color w:val="57585A"/>
          <w:spacing w:val="-40"/>
          <w:sz w:val="20"/>
          <w:szCs w:val="20"/>
        </w:rPr>
        <w:t xml:space="preserve"> </w:t>
      </w:r>
      <w:r>
        <w:rPr>
          <w:i/>
          <w:iCs/>
          <w:color w:val="57585A"/>
          <w:spacing w:val="-7"/>
          <w:w w:val="96"/>
          <w:sz w:val="20"/>
          <w:szCs w:val="20"/>
        </w:rPr>
        <w:t>refined fuels, which we expect will</w:t>
      </w:r>
      <w:r>
        <w:rPr>
          <w:i/>
          <w:iCs/>
          <w:color w:val="57585A"/>
          <w:spacing w:val="-17"/>
          <w:sz w:val="20"/>
          <w:szCs w:val="20"/>
        </w:rPr>
        <w:t xml:space="preserve"> </w:t>
      </w:r>
      <w:r>
        <w:rPr>
          <w:i/>
          <w:iCs/>
          <w:color w:val="57585A"/>
          <w:spacing w:val="-7"/>
          <w:w w:val="96"/>
          <w:sz w:val="20"/>
          <w:szCs w:val="20"/>
        </w:rPr>
        <w:t>remain the ca</w:t>
      </w:r>
      <w:r>
        <w:rPr>
          <w:i/>
          <w:iCs/>
          <w:color w:val="57585A"/>
          <w:spacing w:val="-8"/>
          <w:w w:val="96"/>
          <w:sz w:val="20"/>
          <w:szCs w:val="20"/>
        </w:rPr>
        <w:t>se</w:t>
      </w:r>
      <w:r>
        <w:rPr>
          <w:i/>
          <w:iCs/>
          <w:color w:val="57585A"/>
          <w:spacing w:val="-16"/>
          <w:sz w:val="20"/>
          <w:szCs w:val="20"/>
        </w:rPr>
        <w:t xml:space="preserve"> </w:t>
      </w:r>
      <w:r>
        <w:rPr>
          <w:i/>
          <w:iCs/>
          <w:color w:val="57585A"/>
          <w:spacing w:val="-8"/>
          <w:w w:val="96"/>
          <w:sz w:val="20"/>
          <w:szCs w:val="20"/>
        </w:rPr>
        <w:t>given rising demand for</w:t>
      </w:r>
      <w:r>
        <w:rPr>
          <w:i/>
          <w:iCs/>
          <w:color w:val="57585A"/>
          <w:spacing w:val="-19"/>
          <w:sz w:val="20"/>
          <w:szCs w:val="20"/>
        </w:rPr>
        <w:t xml:space="preserve"> </w:t>
      </w:r>
      <w:r>
        <w:rPr>
          <w:i/>
          <w:iCs/>
          <w:color w:val="57585A"/>
          <w:spacing w:val="-8"/>
          <w:w w:val="96"/>
          <w:sz w:val="20"/>
          <w:szCs w:val="20"/>
        </w:rPr>
        <w:t>fuels and</w:t>
      </w:r>
      <w:r>
        <w:rPr>
          <w:i/>
          <w:iCs/>
          <w:color w:val="57585A"/>
          <w:spacing w:val="-20"/>
          <w:sz w:val="20"/>
          <w:szCs w:val="20"/>
        </w:rPr>
        <w:t xml:space="preserve"> </w:t>
      </w:r>
      <w:r>
        <w:rPr>
          <w:i/>
          <w:iCs/>
          <w:color w:val="57585A"/>
          <w:spacing w:val="-8"/>
          <w:w w:val="96"/>
          <w:sz w:val="20"/>
          <w:szCs w:val="20"/>
        </w:rPr>
        <w:t>stable</w:t>
      </w:r>
      <w:r>
        <w:rPr>
          <w:i/>
          <w:iCs/>
          <w:color w:val="57585A"/>
          <w:sz w:val="20"/>
          <w:szCs w:val="20"/>
        </w:rPr>
        <w:t xml:space="preserve">  </w:t>
      </w:r>
      <w:r>
        <w:rPr>
          <w:i/>
          <w:iCs/>
          <w:color w:val="57585A"/>
          <w:spacing w:val="-4"/>
          <w:w w:val="94"/>
          <w:sz w:val="20"/>
          <w:szCs w:val="20"/>
        </w:rPr>
        <w:t>refining capacity.</w:t>
      </w:r>
      <w:r>
        <w:rPr>
          <w:i/>
          <w:iCs/>
          <w:color w:val="57585A"/>
          <w:spacing w:val="-15"/>
          <w:sz w:val="20"/>
          <w:szCs w:val="20"/>
        </w:rPr>
        <w:t xml:space="preserve"> </w:t>
      </w:r>
      <w:r>
        <w:rPr>
          <w:i/>
          <w:iCs/>
          <w:color w:val="57585A"/>
          <w:spacing w:val="-4"/>
          <w:w w:val="94"/>
          <w:sz w:val="20"/>
          <w:szCs w:val="20"/>
        </w:rPr>
        <w:t>Argentina will</w:t>
      </w:r>
      <w:r>
        <w:rPr>
          <w:i/>
          <w:iCs/>
          <w:color w:val="57585A"/>
          <w:spacing w:val="-19"/>
          <w:sz w:val="20"/>
          <w:szCs w:val="20"/>
        </w:rPr>
        <w:t xml:space="preserve"> </w:t>
      </w:r>
      <w:r>
        <w:rPr>
          <w:i/>
          <w:iCs/>
          <w:color w:val="57585A"/>
          <w:spacing w:val="-4"/>
          <w:w w:val="94"/>
          <w:sz w:val="20"/>
          <w:szCs w:val="20"/>
        </w:rPr>
        <w:t>see slowly</w:t>
      </w:r>
      <w:r>
        <w:rPr>
          <w:i/>
          <w:iCs/>
          <w:color w:val="57585A"/>
          <w:spacing w:val="-23"/>
          <w:sz w:val="20"/>
          <w:szCs w:val="20"/>
        </w:rPr>
        <w:t xml:space="preserve"> </w:t>
      </w:r>
      <w:r>
        <w:rPr>
          <w:i/>
          <w:iCs/>
          <w:color w:val="57585A"/>
          <w:spacing w:val="-4"/>
          <w:w w:val="94"/>
          <w:sz w:val="20"/>
          <w:szCs w:val="20"/>
        </w:rPr>
        <w:t>rising</w:t>
      </w:r>
      <w:r>
        <w:rPr>
          <w:i/>
          <w:iCs/>
          <w:color w:val="57585A"/>
          <w:spacing w:val="-16"/>
          <w:sz w:val="20"/>
          <w:szCs w:val="20"/>
        </w:rPr>
        <w:t xml:space="preserve"> </w:t>
      </w:r>
      <w:r>
        <w:rPr>
          <w:i/>
          <w:iCs/>
          <w:color w:val="57585A"/>
          <w:spacing w:val="-4"/>
          <w:w w:val="94"/>
          <w:sz w:val="20"/>
          <w:szCs w:val="20"/>
        </w:rPr>
        <w:t>net</w:t>
      </w:r>
      <w:r>
        <w:rPr>
          <w:i/>
          <w:iCs/>
          <w:color w:val="57585A"/>
          <w:spacing w:val="-15"/>
          <w:sz w:val="20"/>
          <w:szCs w:val="20"/>
        </w:rPr>
        <w:t xml:space="preserve"> </w:t>
      </w:r>
      <w:r>
        <w:rPr>
          <w:i/>
          <w:iCs/>
          <w:color w:val="57585A"/>
          <w:spacing w:val="-4"/>
          <w:w w:val="94"/>
          <w:sz w:val="20"/>
          <w:szCs w:val="20"/>
        </w:rPr>
        <w:t>fuels imp</w:t>
      </w:r>
      <w:r>
        <w:rPr>
          <w:i/>
          <w:iCs/>
          <w:color w:val="57585A"/>
          <w:spacing w:val="-5"/>
          <w:w w:val="94"/>
          <w:sz w:val="20"/>
          <w:szCs w:val="20"/>
        </w:rPr>
        <w:t>ort</w:t>
      </w:r>
      <w:r>
        <w:rPr>
          <w:i/>
          <w:iCs/>
          <w:color w:val="57585A"/>
          <w:spacing w:val="-19"/>
          <w:sz w:val="20"/>
          <w:szCs w:val="20"/>
        </w:rPr>
        <w:t xml:space="preserve"> </w:t>
      </w:r>
      <w:r>
        <w:rPr>
          <w:i/>
          <w:iCs/>
          <w:color w:val="57585A"/>
          <w:spacing w:val="-5"/>
          <w:w w:val="94"/>
          <w:sz w:val="20"/>
          <w:szCs w:val="20"/>
        </w:rPr>
        <w:t>requirements throughout the forecast</w:t>
      </w:r>
      <w:r>
        <w:rPr>
          <w:i/>
          <w:iCs/>
          <w:color w:val="57585A"/>
          <w:spacing w:val="-27"/>
          <w:sz w:val="20"/>
          <w:szCs w:val="20"/>
        </w:rPr>
        <w:t xml:space="preserve"> </w:t>
      </w:r>
      <w:r>
        <w:rPr>
          <w:i/>
          <w:iCs/>
          <w:color w:val="57585A"/>
          <w:spacing w:val="-5"/>
          <w:w w:val="94"/>
          <w:sz w:val="20"/>
          <w:szCs w:val="20"/>
        </w:rPr>
        <w:t>period, from</w:t>
      </w:r>
      <w:r>
        <w:rPr>
          <w:i/>
          <w:iCs/>
          <w:color w:val="57585A"/>
          <w:spacing w:val="22"/>
          <w:sz w:val="20"/>
          <w:szCs w:val="20"/>
        </w:rPr>
        <w:t xml:space="preserve"> </w:t>
      </w:r>
      <w:r>
        <w:rPr>
          <w:i/>
          <w:iCs/>
          <w:color w:val="57585A"/>
          <w:spacing w:val="-5"/>
          <w:w w:val="94"/>
          <w:sz w:val="20"/>
          <w:szCs w:val="20"/>
        </w:rPr>
        <w:t>197,000b/d</w:t>
      </w:r>
      <w:r>
        <w:rPr>
          <w:i/>
          <w:iCs/>
          <w:color w:val="57585A"/>
          <w:spacing w:val="-18"/>
          <w:sz w:val="20"/>
          <w:szCs w:val="20"/>
        </w:rPr>
        <w:t xml:space="preserve"> </w:t>
      </w:r>
      <w:r>
        <w:rPr>
          <w:i/>
          <w:iCs/>
          <w:color w:val="57585A"/>
          <w:spacing w:val="-5"/>
          <w:w w:val="94"/>
          <w:sz w:val="20"/>
          <w:szCs w:val="20"/>
        </w:rPr>
        <w:t>in</w:t>
      </w:r>
      <w:r>
        <w:rPr>
          <w:i/>
          <w:iCs/>
          <w:color w:val="57585A"/>
          <w:sz w:val="20"/>
          <w:szCs w:val="20"/>
        </w:rPr>
        <w:t xml:space="preserve"> </w:t>
      </w:r>
      <w:r>
        <w:rPr>
          <w:i/>
          <w:iCs/>
          <w:color w:val="57585A"/>
          <w:spacing w:val="-2"/>
          <w:w w:val="93"/>
          <w:sz w:val="20"/>
          <w:szCs w:val="20"/>
        </w:rPr>
        <w:t>2024 to 246,000b/d</w:t>
      </w:r>
      <w:r>
        <w:rPr>
          <w:i/>
          <w:iCs/>
          <w:color w:val="57585A"/>
          <w:spacing w:val="-13"/>
          <w:sz w:val="20"/>
          <w:szCs w:val="20"/>
        </w:rPr>
        <w:t xml:space="preserve"> </w:t>
      </w:r>
      <w:r>
        <w:rPr>
          <w:i/>
          <w:iCs/>
          <w:color w:val="57585A"/>
          <w:spacing w:val="-2"/>
          <w:w w:val="93"/>
          <w:sz w:val="20"/>
          <w:szCs w:val="20"/>
        </w:rPr>
        <w:t>by</w:t>
      </w:r>
      <w:r>
        <w:rPr>
          <w:i/>
          <w:iCs/>
          <w:color w:val="57585A"/>
          <w:spacing w:val="-23"/>
          <w:sz w:val="20"/>
          <w:szCs w:val="20"/>
        </w:rPr>
        <w:t xml:space="preserve"> </w:t>
      </w:r>
      <w:r>
        <w:rPr>
          <w:i/>
          <w:iCs/>
          <w:color w:val="57585A"/>
          <w:spacing w:val="-2"/>
          <w:w w:val="93"/>
          <w:sz w:val="20"/>
          <w:szCs w:val="20"/>
        </w:rPr>
        <w:t>2034.</w:t>
      </w:r>
    </w:p>
    <w:p w14:paraId="75625CAD">
      <w:pPr>
        <w:pStyle w:val="4"/>
        <w:spacing w:line="303" w:lineRule="auto"/>
      </w:pPr>
    </w:p>
    <w:p w14:paraId="5A14DD54">
      <w:pPr>
        <w:pStyle w:val="4"/>
        <w:spacing w:line="304" w:lineRule="auto"/>
      </w:pPr>
    </w:p>
    <w:p w14:paraId="7C433491">
      <w:pPr>
        <w:pStyle w:val="4"/>
        <w:spacing w:before="69" w:line="324" w:lineRule="exact"/>
        <w:ind w:left="370"/>
        <w:outlineLvl w:val="2"/>
        <w:rPr>
          <w:sz w:val="24"/>
          <w:szCs w:val="24"/>
        </w:rPr>
      </w:pPr>
      <w:r>
        <w:rPr>
          <w:b/>
          <w:bCs/>
          <w:color w:val="174174"/>
          <w:spacing w:val="-13"/>
          <w:position w:val="1"/>
          <w:sz w:val="24"/>
          <w:szCs w:val="24"/>
        </w:rPr>
        <w:t>Crude Oil</w:t>
      </w:r>
      <w:r>
        <w:rPr>
          <w:b/>
          <w:bCs/>
          <w:color w:val="174174"/>
          <w:spacing w:val="-11"/>
          <w:position w:val="1"/>
          <w:sz w:val="24"/>
          <w:szCs w:val="24"/>
        </w:rPr>
        <w:t xml:space="preserve"> </w:t>
      </w:r>
      <w:r>
        <w:rPr>
          <w:b/>
          <w:bCs/>
          <w:color w:val="174174"/>
          <w:spacing w:val="-13"/>
          <w:position w:val="1"/>
          <w:sz w:val="24"/>
          <w:szCs w:val="24"/>
        </w:rPr>
        <w:t>Trade Forecast</w:t>
      </w:r>
    </w:p>
    <w:p w14:paraId="1F76E2E3">
      <w:pPr>
        <w:pStyle w:val="4"/>
        <w:spacing w:line="342" w:lineRule="auto"/>
      </w:pPr>
    </w:p>
    <w:p w14:paraId="1FA438CE">
      <w:pPr>
        <w:pStyle w:val="4"/>
        <w:spacing w:before="70" w:line="182" w:lineRule="auto"/>
        <w:ind w:left="378"/>
        <w:outlineLvl w:val="2"/>
        <w:rPr>
          <w:sz w:val="24"/>
          <w:szCs w:val="24"/>
        </w:rPr>
      </w:pPr>
      <w:r>
        <w:rPr>
          <w:b/>
          <w:bCs/>
          <w:color w:val="174174"/>
          <w:spacing w:val="-9"/>
          <w:sz w:val="24"/>
          <w:szCs w:val="24"/>
        </w:rPr>
        <w:t>Latest Updates</w:t>
      </w:r>
    </w:p>
    <w:p w14:paraId="77D0A54F">
      <w:pPr>
        <w:pStyle w:val="4"/>
        <w:spacing w:line="357" w:lineRule="auto"/>
      </w:pPr>
    </w:p>
    <w:p w14:paraId="0714029F">
      <w:pPr>
        <w:pStyle w:val="4"/>
        <w:spacing w:before="58" w:line="277" w:lineRule="auto"/>
        <w:ind w:left="604" w:right="534" w:hanging="247"/>
        <w:rPr>
          <w:sz w:val="20"/>
          <w:szCs w:val="20"/>
        </w:rPr>
      </w:pPr>
      <w:r>
        <w:rPr>
          <w:color w:val="33CCFF"/>
          <w:spacing w:val="-11"/>
          <w:sz w:val="20"/>
          <w:szCs w:val="20"/>
        </w:rPr>
        <w:t xml:space="preserve">•   </w:t>
      </w:r>
      <w:r>
        <w:rPr>
          <w:color w:val="57585A"/>
          <w:spacing w:val="-11"/>
          <w:sz w:val="20"/>
          <w:szCs w:val="20"/>
        </w:rPr>
        <w:t>We expect</w:t>
      </w:r>
      <w:r>
        <w:rPr>
          <w:color w:val="57585A"/>
          <w:spacing w:val="-16"/>
          <w:sz w:val="20"/>
          <w:szCs w:val="20"/>
        </w:rPr>
        <w:t xml:space="preserve"> </w:t>
      </w:r>
      <w:r>
        <w:rPr>
          <w:color w:val="57585A"/>
          <w:spacing w:val="-11"/>
          <w:sz w:val="20"/>
          <w:szCs w:val="20"/>
        </w:rPr>
        <w:t>Argentina to see a robust increase in net crude oil exports of 29.8%</w:t>
      </w:r>
      <w:r>
        <w:rPr>
          <w:color w:val="57585A"/>
          <w:spacing w:val="-15"/>
          <w:sz w:val="20"/>
          <w:szCs w:val="20"/>
        </w:rPr>
        <w:t xml:space="preserve"> </w:t>
      </w:r>
      <w:r>
        <w:rPr>
          <w:color w:val="57585A"/>
          <w:spacing w:val="-11"/>
          <w:sz w:val="20"/>
          <w:szCs w:val="20"/>
        </w:rPr>
        <w:t xml:space="preserve">y-o-y in </w:t>
      </w:r>
      <w:r>
        <w:rPr>
          <w:color w:val="57585A"/>
          <w:spacing w:val="-12"/>
          <w:sz w:val="20"/>
          <w:szCs w:val="20"/>
        </w:rPr>
        <w:t>2025, following an already strong 22.4%</w:t>
      </w:r>
      <w:r>
        <w:rPr>
          <w:color w:val="57585A"/>
          <w:sz w:val="20"/>
          <w:szCs w:val="20"/>
        </w:rPr>
        <w:t xml:space="preserve"> </w:t>
      </w:r>
      <w:r>
        <w:rPr>
          <w:color w:val="57585A"/>
          <w:spacing w:val="-11"/>
          <w:sz w:val="20"/>
          <w:szCs w:val="20"/>
        </w:rPr>
        <w:t>y-o-y increase in 2024. This is thanks to our forecasted strong increase in unconventional oil output expected in 2025. This</w:t>
      </w:r>
      <w:r>
        <w:rPr>
          <w:color w:val="57585A"/>
          <w:sz w:val="20"/>
          <w:szCs w:val="20"/>
        </w:rPr>
        <w:t xml:space="preserve"> </w:t>
      </w:r>
      <w:r>
        <w:rPr>
          <w:color w:val="57585A"/>
          <w:spacing w:val="-11"/>
          <w:sz w:val="20"/>
          <w:szCs w:val="20"/>
        </w:rPr>
        <w:t>will</w:t>
      </w:r>
      <w:r>
        <w:rPr>
          <w:color w:val="57585A"/>
          <w:sz w:val="20"/>
          <w:szCs w:val="20"/>
        </w:rPr>
        <w:t xml:space="preserve"> </w:t>
      </w:r>
      <w:r>
        <w:rPr>
          <w:color w:val="57585A"/>
          <w:spacing w:val="-10"/>
          <w:sz w:val="20"/>
          <w:szCs w:val="20"/>
        </w:rPr>
        <w:t>boost crude oil net exports to 457,000b/d in 2025, compared to 352,000b/d in 2024 and 288,000b/d in 2023.</w:t>
      </w:r>
      <w:r>
        <w:rPr>
          <w:color w:val="57585A"/>
          <w:spacing w:val="-12"/>
          <w:sz w:val="20"/>
          <w:szCs w:val="20"/>
        </w:rPr>
        <w:t xml:space="preserve"> </w:t>
      </w:r>
      <w:r>
        <w:rPr>
          <w:color w:val="57585A"/>
          <w:spacing w:val="-10"/>
          <w:sz w:val="20"/>
          <w:szCs w:val="20"/>
        </w:rPr>
        <w:t>This is another</w:t>
      </w:r>
      <w:r>
        <w:rPr>
          <w:color w:val="57585A"/>
          <w:sz w:val="20"/>
          <w:szCs w:val="20"/>
        </w:rPr>
        <w:t xml:space="preserve"> </w:t>
      </w:r>
      <w:r>
        <w:rPr>
          <w:color w:val="57585A"/>
          <w:spacing w:val="-10"/>
          <w:sz w:val="20"/>
          <w:szCs w:val="20"/>
        </w:rPr>
        <w:t>increase this quarter on our forecasts, on the back of</w:t>
      </w:r>
      <w:r>
        <w:rPr>
          <w:color w:val="57585A"/>
          <w:spacing w:val="-17"/>
          <w:sz w:val="20"/>
          <w:szCs w:val="20"/>
        </w:rPr>
        <w:t xml:space="preserve"> </w:t>
      </w:r>
      <w:r>
        <w:rPr>
          <w:color w:val="57585A"/>
          <w:spacing w:val="-10"/>
          <w:sz w:val="20"/>
          <w:szCs w:val="20"/>
        </w:rPr>
        <w:t xml:space="preserve">stronger than </w:t>
      </w:r>
      <w:r>
        <w:rPr>
          <w:color w:val="57585A"/>
          <w:spacing w:val="-11"/>
          <w:sz w:val="20"/>
          <w:szCs w:val="20"/>
        </w:rPr>
        <w:t>expected crude and condensates production growth in</w:t>
      </w:r>
    </w:p>
    <w:p w14:paraId="0DF83AEC">
      <w:pPr>
        <w:pStyle w:val="4"/>
        <w:spacing w:before="58" w:line="234" w:lineRule="auto"/>
        <w:ind w:left="616"/>
        <w:rPr>
          <w:sz w:val="20"/>
          <w:szCs w:val="20"/>
        </w:rPr>
      </w:pPr>
      <w:r>
        <w:rPr>
          <w:color w:val="57585A"/>
          <w:spacing w:val="-10"/>
          <w:sz w:val="20"/>
          <w:szCs w:val="20"/>
        </w:rPr>
        <w:t>2024, in addition to an upward revisi</w:t>
      </w:r>
      <w:r>
        <w:rPr>
          <w:color w:val="57585A"/>
          <w:spacing w:val="-11"/>
          <w:sz w:val="20"/>
          <w:szCs w:val="20"/>
        </w:rPr>
        <w:t>on in our crude production forecasts over 2025.</w:t>
      </w:r>
    </w:p>
    <w:p w14:paraId="0FB67608">
      <w:pPr>
        <w:pStyle w:val="4"/>
        <w:spacing w:before="55" w:line="262" w:lineRule="auto"/>
        <w:ind w:left="611" w:right="592" w:hanging="254"/>
        <w:rPr>
          <w:sz w:val="20"/>
          <w:szCs w:val="20"/>
        </w:rPr>
      </w:pPr>
      <w:r>
        <w:rPr>
          <w:color w:val="33CCFF"/>
          <w:spacing w:val="-10"/>
          <w:sz w:val="20"/>
          <w:szCs w:val="20"/>
        </w:rPr>
        <w:t xml:space="preserve">•   </w:t>
      </w:r>
      <w:r>
        <w:rPr>
          <w:color w:val="57585A"/>
          <w:spacing w:val="-10"/>
          <w:sz w:val="20"/>
          <w:szCs w:val="20"/>
        </w:rPr>
        <w:t>Over the long term,</w:t>
      </w:r>
      <w:r>
        <w:rPr>
          <w:color w:val="57585A"/>
          <w:spacing w:val="-16"/>
          <w:sz w:val="20"/>
          <w:szCs w:val="20"/>
        </w:rPr>
        <w:t xml:space="preserve"> </w:t>
      </w:r>
      <w:r>
        <w:rPr>
          <w:color w:val="57585A"/>
          <w:spacing w:val="-10"/>
          <w:sz w:val="20"/>
          <w:szCs w:val="20"/>
        </w:rPr>
        <w:t>Argentina is expected to export over 600,000b/d by the end of</w:t>
      </w:r>
      <w:r>
        <w:rPr>
          <w:color w:val="57585A"/>
          <w:spacing w:val="-15"/>
          <w:sz w:val="20"/>
          <w:szCs w:val="20"/>
        </w:rPr>
        <w:t xml:space="preserve"> </w:t>
      </w:r>
      <w:r>
        <w:rPr>
          <w:color w:val="57585A"/>
          <w:spacing w:val="-10"/>
          <w:sz w:val="20"/>
          <w:szCs w:val="20"/>
        </w:rPr>
        <w:t>our forecast period in 2034, on the back</w:t>
      </w:r>
      <w:r>
        <w:rPr>
          <w:color w:val="57585A"/>
          <w:spacing w:val="-11"/>
          <w:sz w:val="20"/>
          <w:szCs w:val="20"/>
        </w:rPr>
        <w:t xml:space="preserve"> of</w:t>
      </w:r>
      <w:r>
        <w:rPr>
          <w:color w:val="57585A"/>
          <w:sz w:val="20"/>
          <w:szCs w:val="20"/>
        </w:rPr>
        <w:t xml:space="preserve"> </w:t>
      </w:r>
      <w:r>
        <w:rPr>
          <w:color w:val="57585A"/>
          <w:spacing w:val="-9"/>
          <w:sz w:val="20"/>
          <w:szCs w:val="20"/>
        </w:rPr>
        <w:t>strong upstream performance and rather</w:t>
      </w:r>
      <w:r>
        <w:rPr>
          <w:color w:val="57585A"/>
          <w:spacing w:val="-10"/>
          <w:sz w:val="20"/>
          <w:szCs w:val="20"/>
        </w:rPr>
        <w:t xml:space="preserve"> limited refining utilisation growth.</w:t>
      </w:r>
    </w:p>
    <w:p w14:paraId="78DF81EF">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Our long-term outlook is supported by the expansion of</w:t>
      </w:r>
      <w:r>
        <w:rPr>
          <w:color w:val="57585A"/>
          <w:spacing w:val="-14"/>
          <w:sz w:val="20"/>
          <w:szCs w:val="20"/>
        </w:rPr>
        <w:t xml:space="preserve"> </w:t>
      </w:r>
      <w:r>
        <w:rPr>
          <w:color w:val="57585A"/>
          <w:spacing w:val="-10"/>
          <w:sz w:val="20"/>
          <w:szCs w:val="20"/>
        </w:rPr>
        <w:t>oil midstream infrastructure connecting Vaca Muerta and export</w:t>
      </w:r>
    </w:p>
    <w:p w14:paraId="33341A1D">
      <w:pPr>
        <w:pStyle w:val="4"/>
        <w:spacing w:before="56" w:line="262" w:lineRule="auto"/>
        <w:ind w:left="614" w:right="371" w:hanging="6"/>
        <w:rPr>
          <w:sz w:val="20"/>
          <w:szCs w:val="20"/>
        </w:rPr>
      </w:pPr>
      <w:r>
        <w:rPr>
          <w:color w:val="57585A"/>
          <w:spacing w:val="-11"/>
          <w:sz w:val="20"/>
          <w:szCs w:val="20"/>
        </w:rPr>
        <w:t>facilities. The expansion projects announced by Oldelval and plans for</w:t>
      </w:r>
      <w:r>
        <w:rPr>
          <w:color w:val="57585A"/>
          <w:spacing w:val="-12"/>
          <w:sz w:val="20"/>
          <w:szCs w:val="20"/>
        </w:rPr>
        <w:t xml:space="preserve"> the Vaca Muerta South oil pipeline project,</w:t>
      </w:r>
      <w:r>
        <w:rPr>
          <w:color w:val="57585A"/>
          <w:spacing w:val="-15"/>
          <w:sz w:val="20"/>
          <w:szCs w:val="20"/>
        </w:rPr>
        <w:t xml:space="preserve"> </w:t>
      </w:r>
      <w:r>
        <w:rPr>
          <w:color w:val="57585A"/>
          <w:spacing w:val="-12"/>
          <w:sz w:val="20"/>
          <w:szCs w:val="20"/>
        </w:rPr>
        <w:t>will allow for the</w:t>
      </w:r>
      <w:r>
        <w:rPr>
          <w:color w:val="57585A"/>
          <w:sz w:val="20"/>
          <w:szCs w:val="20"/>
        </w:rPr>
        <w:t xml:space="preserve"> </w:t>
      </w:r>
      <w:r>
        <w:rPr>
          <w:color w:val="57585A"/>
          <w:spacing w:val="-10"/>
          <w:sz w:val="20"/>
          <w:szCs w:val="20"/>
        </w:rPr>
        <w:t>export growth.</w:t>
      </w:r>
    </w:p>
    <w:p w14:paraId="2F4926E3">
      <w:pPr>
        <w:pStyle w:val="4"/>
        <w:spacing w:line="314" w:lineRule="auto"/>
      </w:pPr>
    </w:p>
    <w:p w14:paraId="74EFF308">
      <w:pPr>
        <w:pStyle w:val="4"/>
        <w:spacing w:line="314" w:lineRule="auto"/>
      </w:pPr>
    </w:p>
    <w:p w14:paraId="3C022B7F">
      <w:pPr>
        <w:pStyle w:val="4"/>
        <w:spacing w:before="70" w:line="324"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3FDEE0F3">
      <w:pPr>
        <w:pStyle w:val="4"/>
        <w:spacing w:line="301" w:lineRule="auto"/>
      </w:pPr>
    </w:p>
    <w:p w14:paraId="0DB16D12">
      <w:pPr>
        <w:pStyle w:val="4"/>
        <w:spacing w:before="58" w:line="231" w:lineRule="auto"/>
        <w:ind w:left="359"/>
        <w:rPr>
          <w:sz w:val="20"/>
          <w:szCs w:val="20"/>
        </w:rPr>
      </w:pPr>
      <w:r>
        <w:rPr>
          <w:color w:val="57585A"/>
          <w:spacing w:val="-11"/>
          <w:sz w:val="20"/>
          <w:szCs w:val="20"/>
        </w:rPr>
        <w:t>Argentina's upstream producers have seen a robust growth in crude oil exports on the back of</w:t>
      </w:r>
      <w:r>
        <w:rPr>
          <w:color w:val="57585A"/>
          <w:sz w:val="20"/>
          <w:szCs w:val="20"/>
        </w:rPr>
        <w:t xml:space="preserve"> </w:t>
      </w:r>
      <w:r>
        <w:rPr>
          <w:color w:val="57585A"/>
          <w:spacing w:val="-11"/>
          <w:sz w:val="20"/>
          <w:szCs w:val="20"/>
        </w:rPr>
        <w:t>growing shale production over</w:t>
      </w:r>
    </w:p>
    <w:p w14:paraId="55136CFE">
      <w:pPr>
        <w:pStyle w:val="4"/>
        <w:spacing w:before="59" w:line="231" w:lineRule="auto"/>
        <w:ind w:left="371"/>
        <w:rPr>
          <w:sz w:val="20"/>
          <w:szCs w:val="20"/>
        </w:rPr>
      </w:pPr>
      <w:r>
        <w:rPr>
          <w:color w:val="57585A"/>
          <w:spacing w:val="-10"/>
          <w:sz w:val="20"/>
          <w:szCs w:val="20"/>
        </w:rPr>
        <w:t>2020-2024. Net crude oil exports grew from below 40,000b/d in 2018 to estimated 352,00</w:t>
      </w:r>
      <w:r>
        <w:rPr>
          <w:color w:val="57585A"/>
          <w:spacing w:val="-11"/>
          <w:sz w:val="20"/>
          <w:szCs w:val="20"/>
        </w:rPr>
        <w:t>0b/d in 2024. We expect</w:t>
      </w:r>
      <w:r>
        <w:rPr>
          <w:color w:val="57585A"/>
          <w:spacing w:val="-15"/>
          <w:sz w:val="20"/>
          <w:szCs w:val="20"/>
        </w:rPr>
        <w:t xml:space="preserve"> </w:t>
      </w:r>
      <w:r>
        <w:rPr>
          <w:color w:val="57585A"/>
          <w:spacing w:val="-11"/>
          <w:sz w:val="20"/>
          <w:szCs w:val="20"/>
        </w:rPr>
        <w:t>Argentina to</w:t>
      </w:r>
    </w:p>
    <w:p w14:paraId="684A3B83">
      <w:pPr>
        <w:pStyle w:val="4"/>
        <w:spacing w:before="58" w:line="231" w:lineRule="auto"/>
        <w:ind w:left="366"/>
        <w:rPr>
          <w:sz w:val="20"/>
          <w:szCs w:val="20"/>
        </w:rPr>
      </w:pPr>
      <w:r>
        <w:rPr>
          <w:color w:val="57585A"/>
          <w:spacing w:val="-9"/>
          <w:sz w:val="20"/>
          <w:szCs w:val="20"/>
        </w:rPr>
        <w:t>see robust growth in</w:t>
      </w:r>
      <w:r>
        <w:rPr>
          <w:color w:val="57585A"/>
          <w:spacing w:val="-10"/>
          <w:sz w:val="20"/>
          <w:szCs w:val="20"/>
        </w:rPr>
        <w:t xml:space="preserve"> net crude oil exports, on the back of</w:t>
      </w:r>
      <w:r>
        <w:rPr>
          <w:color w:val="57585A"/>
          <w:spacing w:val="-18"/>
          <w:sz w:val="20"/>
          <w:szCs w:val="20"/>
        </w:rPr>
        <w:t xml:space="preserve"> </w:t>
      </w:r>
      <w:r>
        <w:rPr>
          <w:color w:val="57585A"/>
          <w:spacing w:val="-10"/>
          <w:sz w:val="20"/>
          <w:szCs w:val="20"/>
        </w:rPr>
        <w:t>surging domestic shale production coupled</w:t>
      </w:r>
      <w:r>
        <w:rPr>
          <w:color w:val="57585A"/>
          <w:spacing w:val="-15"/>
          <w:sz w:val="20"/>
          <w:szCs w:val="20"/>
        </w:rPr>
        <w:t xml:space="preserve"> </w:t>
      </w:r>
      <w:r>
        <w:rPr>
          <w:color w:val="57585A"/>
          <w:spacing w:val="-10"/>
          <w:sz w:val="20"/>
          <w:szCs w:val="20"/>
        </w:rPr>
        <w:t>with limited growth in</w:t>
      </w:r>
    </w:p>
    <w:p w14:paraId="21DADCC0">
      <w:pPr>
        <w:pStyle w:val="4"/>
        <w:spacing w:before="60" w:line="279" w:lineRule="auto"/>
        <w:ind w:left="369" w:right="419"/>
        <w:rPr>
          <w:sz w:val="20"/>
          <w:szCs w:val="20"/>
        </w:rPr>
      </w:pPr>
      <w:r>
        <w:rPr>
          <w:color w:val="57585A"/>
          <w:spacing w:val="-11"/>
          <w:sz w:val="20"/>
          <w:szCs w:val="20"/>
        </w:rPr>
        <w:t>domestic refining capacity. By 2034,</w:t>
      </w:r>
      <w:r>
        <w:rPr>
          <w:color w:val="57585A"/>
          <w:spacing w:val="-16"/>
          <w:sz w:val="20"/>
          <w:szCs w:val="20"/>
        </w:rPr>
        <w:t xml:space="preserve"> </w:t>
      </w:r>
      <w:r>
        <w:rPr>
          <w:color w:val="57585A"/>
          <w:spacing w:val="-11"/>
          <w:sz w:val="20"/>
          <w:szCs w:val="20"/>
        </w:rPr>
        <w:t xml:space="preserve">Argentina's net crude oil exports are set to surge beyond 600,000b/d, supported by </w:t>
      </w:r>
      <w:r>
        <w:rPr>
          <w:color w:val="57585A"/>
          <w:spacing w:val="-12"/>
          <w:sz w:val="20"/>
          <w:szCs w:val="20"/>
        </w:rPr>
        <w:t>expanding</w:t>
      </w:r>
      <w:r>
        <w:rPr>
          <w:color w:val="57585A"/>
          <w:sz w:val="20"/>
          <w:szCs w:val="20"/>
        </w:rPr>
        <w:t xml:space="preserve"> </w:t>
      </w:r>
      <w:r>
        <w:rPr>
          <w:color w:val="57585A"/>
          <w:spacing w:val="-11"/>
          <w:sz w:val="20"/>
          <w:szCs w:val="20"/>
        </w:rPr>
        <w:t>midstream</w:t>
      </w:r>
      <w:r>
        <w:rPr>
          <w:color w:val="57585A"/>
          <w:spacing w:val="44"/>
          <w:sz w:val="20"/>
          <w:szCs w:val="20"/>
        </w:rPr>
        <w:t xml:space="preserve"> </w:t>
      </w:r>
      <w:r>
        <w:rPr>
          <w:color w:val="57585A"/>
          <w:spacing w:val="-11"/>
          <w:sz w:val="20"/>
          <w:szCs w:val="20"/>
        </w:rPr>
        <w:t>oil infrastructure and export terminal capacity. This is another increase this quarter on our previous long-term forecasts,</w:t>
      </w:r>
      <w:r>
        <w:rPr>
          <w:color w:val="57585A"/>
          <w:sz w:val="20"/>
          <w:szCs w:val="20"/>
        </w:rPr>
        <w:t xml:space="preserve"> </w:t>
      </w:r>
      <w:r>
        <w:rPr>
          <w:color w:val="57585A"/>
          <w:spacing w:val="-10"/>
          <w:sz w:val="20"/>
          <w:szCs w:val="20"/>
        </w:rPr>
        <w:t>on the back of</w:t>
      </w:r>
      <w:r>
        <w:rPr>
          <w:color w:val="57585A"/>
          <w:spacing w:val="-11"/>
          <w:sz w:val="20"/>
          <w:szCs w:val="20"/>
        </w:rPr>
        <w:t xml:space="preserve"> </w:t>
      </w:r>
      <w:r>
        <w:rPr>
          <w:color w:val="57585A"/>
          <w:spacing w:val="-10"/>
          <w:sz w:val="20"/>
          <w:szCs w:val="20"/>
        </w:rPr>
        <w:t>an upward revision to our long-term oil production forecasts.</w:t>
      </w:r>
    </w:p>
    <w:p w14:paraId="34FCF877">
      <w:pPr>
        <w:spacing w:line="279" w:lineRule="auto"/>
        <w:rPr>
          <w:sz w:val="20"/>
          <w:szCs w:val="20"/>
        </w:rPr>
        <w:sectPr>
          <w:footerReference r:id="rId40" w:type="default"/>
          <w:pgSz w:w="11906" w:h="16838"/>
          <w:pgMar w:top="400" w:right="490" w:bottom="883" w:left="490" w:header="0" w:footer="0" w:gutter="0"/>
          <w:cols w:space="720" w:num="1"/>
        </w:sectPr>
      </w:pPr>
    </w:p>
    <w:p w14:paraId="7DB5FB19">
      <w:pPr>
        <w:pStyle w:val="4"/>
        <w:spacing w:before="73" w:line="241" w:lineRule="auto"/>
        <w:ind w:left="7372"/>
        <w:rPr>
          <w:sz w:val="20"/>
          <w:szCs w:val="20"/>
        </w:rPr>
      </w:pPr>
      <w:r>
        <w:drawing>
          <wp:anchor distT="0" distB="0" distL="0" distR="0" simplePos="0" relativeHeight="25181593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16960" behindDoc="0" locked="0" layoutInCell="0" allowOverlap="1">
            <wp:simplePos x="0" y="0"/>
            <wp:positionH relativeFrom="page">
              <wp:posOffset>311150</wp:posOffset>
            </wp:positionH>
            <wp:positionV relativeFrom="page">
              <wp:posOffset>0</wp:posOffset>
            </wp:positionV>
            <wp:extent cx="19050" cy="814070"/>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9D2E48F">
      <w:pPr>
        <w:pStyle w:val="4"/>
        <w:spacing w:line="278" w:lineRule="auto"/>
      </w:pPr>
    </w:p>
    <w:p w14:paraId="427485F3">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DC6BCAD">
      <w:pPr>
        <w:pStyle w:val="4"/>
        <w:spacing w:line="437" w:lineRule="auto"/>
      </w:pPr>
    </w:p>
    <w:p w14:paraId="65E96227">
      <w:pPr>
        <w:pStyle w:val="4"/>
        <w:spacing w:before="69" w:line="236" w:lineRule="auto"/>
        <w:ind w:left="2456"/>
        <w:outlineLvl w:val="1"/>
        <w:rPr>
          <w:sz w:val="24"/>
          <w:szCs w:val="24"/>
        </w:rPr>
      </w:pPr>
      <w:r>
        <w:rPr>
          <w:color w:val="174174"/>
          <w:spacing w:val="-11"/>
          <w:sz w:val="24"/>
          <w:szCs w:val="24"/>
        </w:rPr>
        <w:t xml:space="preserve">Robust Upstream Performance Supports Growth In </w:t>
      </w:r>
      <w:r>
        <w:rPr>
          <w:color w:val="174174"/>
          <w:spacing w:val="-12"/>
          <w:sz w:val="24"/>
          <w:szCs w:val="24"/>
        </w:rPr>
        <w:t>Oil Exports</w:t>
      </w:r>
    </w:p>
    <w:p w14:paraId="0DF58281">
      <w:pPr>
        <w:pStyle w:val="4"/>
        <w:spacing w:before="30" w:line="231" w:lineRule="auto"/>
        <w:ind w:left="3316"/>
        <w:outlineLvl w:val="1"/>
        <w:rPr>
          <w:sz w:val="20"/>
          <w:szCs w:val="20"/>
        </w:rPr>
      </w:pPr>
      <w:r>
        <w:rPr>
          <w:color w:val="333333"/>
          <w:spacing w:val="-12"/>
          <w:sz w:val="20"/>
          <w:szCs w:val="20"/>
        </w:rPr>
        <w:t>Argentina - Crude Oil Net Exports Forecas</w:t>
      </w:r>
      <w:r>
        <w:rPr>
          <w:color w:val="333333"/>
          <w:spacing w:val="-13"/>
          <w:sz w:val="20"/>
          <w:szCs w:val="20"/>
        </w:rPr>
        <w:t>t (2023-2034)</w:t>
      </w:r>
    </w:p>
    <w:p w14:paraId="34A48002">
      <w:pPr>
        <w:spacing w:before="96" w:line="4500" w:lineRule="exact"/>
        <w:ind w:firstLine="1862"/>
      </w:pPr>
      <w:r>
        <w:rPr>
          <w:position w:val="-89"/>
        </w:rPr>
        <w:drawing>
          <wp:inline distT="0" distB="0" distL="0" distR="0">
            <wp:extent cx="4572000" cy="2856865"/>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28"/>
                    <a:stretch>
                      <a:fillRect/>
                    </a:stretch>
                  </pic:blipFill>
                  <pic:spPr>
                    <a:xfrm>
                      <a:off x="0" y="0"/>
                      <a:ext cx="4572000" cy="2857499"/>
                    </a:xfrm>
                    <a:prstGeom prst="rect">
                      <a:avLst/>
                    </a:prstGeom>
                  </pic:spPr>
                </pic:pic>
              </a:graphicData>
            </a:graphic>
          </wp:inline>
        </w:drawing>
      </w:r>
    </w:p>
    <w:p w14:paraId="00082346">
      <w:pPr>
        <w:pStyle w:val="4"/>
        <w:spacing w:before="149" w:line="177" w:lineRule="exact"/>
        <w:ind w:left="1876"/>
        <w:rPr>
          <w:sz w:val="15"/>
          <w:szCs w:val="15"/>
        </w:rPr>
      </w:pPr>
      <w:r>
        <w:drawing>
          <wp:anchor distT="0" distB="0" distL="0" distR="0" simplePos="0" relativeHeight="25181491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6E497BAB">
      <w:pPr>
        <w:pStyle w:val="4"/>
        <w:spacing w:line="359" w:lineRule="auto"/>
      </w:pPr>
    </w:p>
    <w:p w14:paraId="6CF18FAE">
      <w:pPr>
        <w:pStyle w:val="4"/>
        <w:spacing w:before="58" w:line="279" w:lineRule="auto"/>
        <w:ind w:left="372" w:right="498" w:hanging="3"/>
        <w:rPr>
          <w:sz w:val="20"/>
          <w:szCs w:val="20"/>
        </w:rPr>
      </w:pPr>
      <w:r>
        <w:rPr>
          <w:color w:val="57585A"/>
          <w:spacing w:val="-11"/>
          <w:sz w:val="20"/>
          <w:szCs w:val="20"/>
        </w:rPr>
        <w:t>Currently,</w:t>
      </w:r>
      <w:r>
        <w:rPr>
          <w:color w:val="57585A"/>
          <w:spacing w:val="-6"/>
          <w:sz w:val="20"/>
          <w:szCs w:val="20"/>
        </w:rPr>
        <w:t xml:space="preserve"> </w:t>
      </w:r>
      <w:r>
        <w:rPr>
          <w:color w:val="57585A"/>
          <w:spacing w:val="-11"/>
          <w:sz w:val="20"/>
          <w:szCs w:val="20"/>
        </w:rPr>
        <w:t>Argentina primarily exports its shale crude</w:t>
      </w:r>
      <w:r>
        <w:rPr>
          <w:color w:val="57585A"/>
          <w:spacing w:val="-15"/>
          <w:sz w:val="20"/>
          <w:szCs w:val="20"/>
        </w:rPr>
        <w:t xml:space="preserve"> </w:t>
      </w:r>
      <w:r>
        <w:rPr>
          <w:color w:val="57585A"/>
          <w:spacing w:val="-11"/>
          <w:sz w:val="20"/>
          <w:szCs w:val="20"/>
        </w:rPr>
        <w:t>with total exports being dominated by Medanito crude produced in Neuquen,</w:t>
      </w:r>
      <w:r>
        <w:rPr>
          <w:color w:val="57585A"/>
          <w:sz w:val="20"/>
          <w:szCs w:val="20"/>
        </w:rPr>
        <w:t xml:space="preserve"> </w:t>
      </w:r>
      <w:r>
        <w:rPr>
          <w:color w:val="57585A"/>
          <w:spacing w:val="-12"/>
          <w:sz w:val="20"/>
          <w:szCs w:val="20"/>
        </w:rPr>
        <w:t>Rio Negro and La Pampa basins. Medanito crude currently makes</w:t>
      </w:r>
      <w:r>
        <w:rPr>
          <w:color w:val="57585A"/>
          <w:spacing w:val="-3"/>
          <w:sz w:val="20"/>
          <w:szCs w:val="20"/>
        </w:rPr>
        <w:t xml:space="preserve"> </w:t>
      </w:r>
      <w:r>
        <w:rPr>
          <w:color w:val="57585A"/>
          <w:spacing w:val="-12"/>
          <w:sz w:val="20"/>
          <w:szCs w:val="20"/>
        </w:rPr>
        <w:t>up about 70% of</w:t>
      </w:r>
      <w:r>
        <w:rPr>
          <w:color w:val="57585A"/>
          <w:spacing w:val="-21"/>
          <w:sz w:val="20"/>
          <w:szCs w:val="20"/>
        </w:rPr>
        <w:t xml:space="preserve"> </w:t>
      </w:r>
      <w:r>
        <w:rPr>
          <w:color w:val="57585A"/>
          <w:spacing w:val="-12"/>
          <w:sz w:val="20"/>
          <w:szCs w:val="20"/>
        </w:rPr>
        <w:t>total</w:t>
      </w:r>
      <w:r>
        <w:rPr>
          <w:color w:val="57585A"/>
          <w:spacing w:val="-6"/>
          <w:sz w:val="20"/>
          <w:szCs w:val="20"/>
        </w:rPr>
        <w:t xml:space="preserve"> </w:t>
      </w:r>
      <w:r>
        <w:rPr>
          <w:color w:val="57585A"/>
          <w:spacing w:val="-12"/>
          <w:sz w:val="20"/>
          <w:szCs w:val="20"/>
        </w:rPr>
        <w:t>crude</w:t>
      </w:r>
      <w:r>
        <w:rPr>
          <w:color w:val="57585A"/>
          <w:spacing w:val="-6"/>
          <w:sz w:val="20"/>
          <w:szCs w:val="20"/>
        </w:rPr>
        <w:t xml:space="preserve"> </w:t>
      </w:r>
      <w:r>
        <w:rPr>
          <w:color w:val="57585A"/>
          <w:spacing w:val="-12"/>
          <w:sz w:val="20"/>
          <w:szCs w:val="20"/>
        </w:rPr>
        <w:t>oi</w:t>
      </w:r>
      <w:r>
        <w:rPr>
          <w:color w:val="57585A"/>
          <w:spacing w:val="-13"/>
          <w:sz w:val="20"/>
          <w:szCs w:val="20"/>
        </w:rPr>
        <w:t>l</w:t>
      </w:r>
      <w:r>
        <w:rPr>
          <w:color w:val="57585A"/>
          <w:spacing w:val="-6"/>
          <w:sz w:val="20"/>
          <w:szCs w:val="20"/>
        </w:rPr>
        <w:t xml:space="preserve"> </w:t>
      </w:r>
      <w:r>
        <w:rPr>
          <w:color w:val="57585A"/>
          <w:spacing w:val="-13"/>
          <w:sz w:val="20"/>
          <w:szCs w:val="20"/>
        </w:rPr>
        <w:t>exported. We expect the bulk of</w:t>
      </w:r>
      <w:r>
        <w:rPr>
          <w:color w:val="57585A"/>
          <w:sz w:val="20"/>
          <w:szCs w:val="20"/>
        </w:rPr>
        <w:t xml:space="preserve"> </w:t>
      </w:r>
      <w:r>
        <w:rPr>
          <w:color w:val="57585A"/>
          <w:spacing w:val="-10"/>
          <w:sz w:val="20"/>
          <w:szCs w:val="20"/>
        </w:rPr>
        <w:t>new midstream infrastructure to be concentrated in Neuquen, and</w:t>
      </w:r>
      <w:r>
        <w:rPr>
          <w:color w:val="57585A"/>
          <w:spacing w:val="-15"/>
          <w:sz w:val="20"/>
          <w:szCs w:val="20"/>
        </w:rPr>
        <w:t xml:space="preserve"> </w:t>
      </w:r>
      <w:r>
        <w:rPr>
          <w:color w:val="57585A"/>
          <w:spacing w:val="-10"/>
          <w:sz w:val="20"/>
          <w:szCs w:val="20"/>
        </w:rPr>
        <w:t>we therefore expect the Medan</w:t>
      </w:r>
      <w:r>
        <w:rPr>
          <w:color w:val="57585A"/>
          <w:spacing w:val="-11"/>
          <w:sz w:val="20"/>
          <w:szCs w:val="20"/>
        </w:rPr>
        <w:t>ito grade to continue to</w:t>
      </w:r>
    </w:p>
    <w:p w14:paraId="13193DB9">
      <w:pPr>
        <w:pStyle w:val="4"/>
        <w:spacing w:before="37" w:line="231" w:lineRule="auto"/>
        <w:ind w:left="369"/>
        <w:rPr>
          <w:sz w:val="20"/>
          <w:szCs w:val="20"/>
        </w:rPr>
      </w:pPr>
      <w:r>
        <w:rPr>
          <w:color w:val="57585A"/>
          <w:spacing w:val="-11"/>
          <w:sz w:val="20"/>
          <w:szCs w:val="20"/>
        </w:rPr>
        <w:t>dominate exports over the next decade. Medanito crude is a light s</w:t>
      </w:r>
      <w:r>
        <w:rPr>
          <w:color w:val="57585A"/>
          <w:spacing w:val="-12"/>
          <w:sz w:val="20"/>
          <w:szCs w:val="20"/>
        </w:rPr>
        <w:t>weet grade</w:t>
      </w:r>
      <w:r>
        <w:rPr>
          <w:color w:val="57585A"/>
          <w:spacing w:val="-16"/>
          <w:sz w:val="20"/>
          <w:szCs w:val="20"/>
        </w:rPr>
        <w:t xml:space="preserve"> </w:t>
      </w:r>
      <w:r>
        <w:rPr>
          <w:color w:val="57585A"/>
          <w:spacing w:val="-12"/>
          <w:sz w:val="20"/>
          <w:szCs w:val="20"/>
        </w:rPr>
        <w:t>with</w:t>
      </w:r>
      <w:r>
        <w:rPr>
          <w:color w:val="57585A"/>
          <w:spacing w:val="-15"/>
          <w:sz w:val="20"/>
          <w:szCs w:val="20"/>
        </w:rPr>
        <w:t xml:space="preserve"> </w:t>
      </w:r>
      <w:r>
        <w:rPr>
          <w:color w:val="57585A"/>
          <w:spacing w:val="-12"/>
          <w:sz w:val="20"/>
          <w:szCs w:val="20"/>
        </w:rPr>
        <w:t>API grade of</w:t>
      </w:r>
      <w:r>
        <w:rPr>
          <w:color w:val="57585A"/>
          <w:spacing w:val="-18"/>
          <w:sz w:val="20"/>
          <w:szCs w:val="20"/>
        </w:rPr>
        <w:t xml:space="preserve"> </w:t>
      </w:r>
      <w:r>
        <w:rPr>
          <w:color w:val="57585A"/>
          <w:spacing w:val="-12"/>
          <w:sz w:val="20"/>
          <w:szCs w:val="20"/>
        </w:rPr>
        <w:t>0.4 and 0.15% sulphur content.</w:t>
      </w:r>
    </w:p>
    <w:p w14:paraId="5DEA59AF">
      <w:pPr>
        <w:pStyle w:val="4"/>
        <w:spacing w:before="58" w:line="273" w:lineRule="auto"/>
        <w:ind w:left="362" w:right="721" w:hanging="3"/>
        <w:rPr>
          <w:sz w:val="20"/>
          <w:szCs w:val="20"/>
        </w:rPr>
      </w:pPr>
      <w:r>
        <w:rPr>
          <w:color w:val="57585A"/>
          <w:spacing w:val="-11"/>
          <w:sz w:val="20"/>
          <w:szCs w:val="20"/>
        </w:rPr>
        <w:t>Argentina is continuing to diversify its oil trade partners. In 2024, crude oil exports bound to Chile made up 41.2% of</w:t>
      </w:r>
      <w:r>
        <w:rPr>
          <w:color w:val="57585A"/>
          <w:spacing w:val="-6"/>
          <w:sz w:val="20"/>
          <w:szCs w:val="20"/>
        </w:rPr>
        <w:t xml:space="preserve"> </w:t>
      </w:r>
      <w:r>
        <w:rPr>
          <w:color w:val="57585A"/>
          <w:spacing w:val="-11"/>
          <w:sz w:val="20"/>
          <w:szCs w:val="20"/>
        </w:rPr>
        <w:t>Argentina's</w:t>
      </w:r>
      <w:r>
        <w:rPr>
          <w:color w:val="57585A"/>
          <w:sz w:val="20"/>
          <w:szCs w:val="20"/>
        </w:rPr>
        <w:t xml:space="preserve"> </w:t>
      </w:r>
      <w:r>
        <w:rPr>
          <w:color w:val="57585A"/>
          <w:spacing w:val="-12"/>
          <w:sz w:val="20"/>
          <w:szCs w:val="20"/>
        </w:rPr>
        <w:t>total crude oil net exports, fo</w:t>
      </w:r>
      <w:r>
        <w:rPr>
          <w:color w:val="57585A"/>
          <w:spacing w:val="-13"/>
          <w:sz w:val="20"/>
          <w:szCs w:val="20"/>
        </w:rPr>
        <w:t>llowed by the US (40.3%), Brazil (9.3%) and Uruguay (3.9%).</w:t>
      </w:r>
    </w:p>
    <w:p w14:paraId="51DCE7E0">
      <w:pPr>
        <w:pStyle w:val="4"/>
        <w:spacing w:line="316" w:lineRule="auto"/>
      </w:pPr>
    </w:p>
    <w:p w14:paraId="155660CB">
      <w:pPr>
        <w:pStyle w:val="4"/>
        <w:spacing w:line="317" w:lineRule="auto"/>
      </w:pPr>
    </w:p>
    <w:p w14:paraId="00E46B51">
      <w:pPr>
        <w:pStyle w:val="4"/>
        <w:spacing w:before="70" w:line="234" w:lineRule="auto"/>
        <w:ind w:left="419"/>
        <w:outlineLvl w:val="1"/>
        <w:rPr>
          <w:sz w:val="24"/>
          <w:szCs w:val="24"/>
        </w:rPr>
      </w:pPr>
      <w:r>
        <w:rPr>
          <w:color w:val="174174"/>
          <w:spacing w:val="-10"/>
          <w:sz w:val="24"/>
          <w:szCs w:val="24"/>
        </w:rPr>
        <w:t>Crude Oil Net Exports (Argentina 2023-2028)</w:t>
      </w:r>
    </w:p>
    <w:p w14:paraId="2FC5113E">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626"/>
        <w:gridCol w:w="942"/>
        <w:gridCol w:w="930"/>
        <w:gridCol w:w="929"/>
        <w:gridCol w:w="924"/>
        <w:gridCol w:w="926"/>
        <w:gridCol w:w="927"/>
      </w:tblGrid>
      <w:tr w14:paraId="751324D1">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4626" w:type="dxa"/>
            <w:tcBorders>
              <w:left w:val="nil"/>
            </w:tcBorders>
            <w:vAlign w:val="top"/>
          </w:tcPr>
          <w:p w14:paraId="337F6B1C">
            <w:pPr>
              <w:pStyle w:val="8"/>
              <w:spacing w:before="75" w:line="243" w:lineRule="exact"/>
              <w:ind w:left="13"/>
            </w:pPr>
            <w:r>
              <w:rPr>
                <w:b/>
                <w:bCs/>
                <w:color w:val="5F6A72"/>
                <w:spacing w:val="-6"/>
                <w:position w:val="1"/>
              </w:rPr>
              <w:t>Indicator</w:t>
            </w:r>
          </w:p>
        </w:tc>
        <w:tc>
          <w:tcPr>
            <w:tcW w:w="942" w:type="dxa"/>
            <w:tcBorders>
              <w:right w:val="nil"/>
            </w:tcBorders>
            <w:vAlign w:val="top"/>
          </w:tcPr>
          <w:p w14:paraId="4916478D">
            <w:pPr>
              <w:pStyle w:val="8"/>
              <w:spacing w:before="75" w:line="243" w:lineRule="exact"/>
              <w:ind w:left="434"/>
            </w:pPr>
            <w:r>
              <w:rPr>
                <w:b/>
                <w:bCs/>
                <w:color w:val="5F6A72"/>
                <w:spacing w:val="-4"/>
                <w:position w:val="1"/>
              </w:rPr>
              <w:t>2023</w:t>
            </w:r>
          </w:p>
        </w:tc>
        <w:tc>
          <w:tcPr>
            <w:tcW w:w="930" w:type="dxa"/>
            <w:tcBorders>
              <w:left w:val="nil"/>
              <w:right w:val="nil"/>
            </w:tcBorders>
            <w:vAlign w:val="top"/>
          </w:tcPr>
          <w:p w14:paraId="5A1E7F1A">
            <w:pPr>
              <w:pStyle w:val="8"/>
              <w:spacing w:before="75" w:line="243" w:lineRule="exact"/>
              <w:ind w:left="382"/>
            </w:pPr>
            <w:r>
              <w:rPr>
                <w:b/>
                <w:bCs/>
                <w:color w:val="5F6A72"/>
                <w:spacing w:val="-4"/>
                <w:position w:val="1"/>
              </w:rPr>
              <w:t>2024e</w:t>
            </w:r>
          </w:p>
        </w:tc>
        <w:tc>
          <w:tcPr>
            <w:tcW w:w="929" w:type="dxa"/>
            <w:tcBorders>
              <w:left w:val="nil"/>
              <w:right w:val="nil"/>
            </w:tcBorders>
            <w:vAlign w:val="top"/>
          </w:tcPr>
          <w:p w14:paraId="3EAFE7CE">
            <w:pPr>
              <w:pStyle w:val="8"/>
              <w:spacing w:before="75" w:line="243" w:lineRule="exact"/>
              <w:ind w:left="412"/>
            </w:pPr>
            <w:r>
              <w:rPr>
                <w:b/>
                <w:bCs/>
                <w:color w:val="5F6A72"/>
                <w:spacing w:val="-1"/>
                <w:position w:val="1"/>
              </w:rPr>
              <w:t>2025f</w:t>
            </w:r>
          </w:p>
        </w:tc>
        <w:tc>
          <w:tcPr>
            <w:tcW w:w="924" w:type="dxa"/>
            <w:tcBorders>
              <w:left w:val="nil"/>
              <w:right w:val="nil"/>
            </w:tcBorders>
            <w:vAlign w:val="top"/>
          </w:tcPr>
          <w:p w14:paraId="7D8D5DA7">
            <w:pPr>
              <w:pStyle w:val="8"/>
              <w:spacing w:before="75" w:line="243" w:lineRule="exact"/>
              <w:ind w:left="409"/>
            </w:pPr>
            <w:r>
              <w:rPr>
                <w:b/>
                <w:bCs/>
                <w:color w:val="5F6A72"/>
                <w:spacing w:val="-1"/>
                <w:position w:val="1"/>
              </w:rPr>
              <w:t>2026f</w:t>
            </w:r>
          </w:p>
        </w:tc>
        <w:tc>
          <w:tcPr>
            <w:tcW w:w="926" w:type="dxa"/>
            <w:tcBorders>
              <w:left w:val="nil"/>
              <w:right w:val="nil"/>
            </w:tcBorders>
            <w:vAlign w:val="top"/>
          </w:tcPr>
          <w:p w14:paraId="27E067E3">
            <w:pPr>
              <w:pStyle w:val="8"/>
              <w:spacing w:before="75" w:line="243" w:lineRule="exact"/>
              <w:ind w:left="411"/>
            </w:pPr>
            <w:r>
              <w:rPr>
                <w:b/>
                <w:bCs/>
                <w:color w:val="5F6A72"/>
                <w:spacing w:val="-1"/>
                <w:position w:val="1"/>
              </w:rPr>
              <w:t>2027f</w:t>
            </w:r>
          </w:p>
        </w:tc>
        <w:tc>
          <w:tcPr>
            <w:tcW w:w="927" w:type="dxa"/>
            <w:tcBorders>
              <w:left w:val="nil"/>
              <w:right w:val="nil"/>
            </w:tcBorders>
            <w:vAlign w:val="top"/>
          </w:tcPr>
          <w:p w14:paraId="2F5F7ADA">
            <w:pPr>
              <w:pStyle w:val="8"/>
              <w:spacing w:before="75" w:line="243" w:lineRule="exact"/>
              <w:ind w:left="411"/>
            </w:pPr>
            <w:r>
              <w:rPr>
                <w:b/>
                <w:bCs/>
                <w:color w:val="5F6A72"/>
                <w:spacing w:val="-1"/>
                <w:position w:val="1"/>
              </w:rPr>
              <w:t>2028f</w:t>
            </w:r>
          </w:p>
        </w:tc>
      </w:tr>
      <w:tr w14:paraId="03324BEB">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626" w:type="dxa"/>
            <w:tcBorders>
              <w:left w:val="nil"/>
            </w:tcBorders>
            <w:vAlign w:val="top"/>
          </w:tcPr>
          <w:p w14:paraId="0867F12F">
            <w:pPr>
              <w:pStyle w:val="8"/>
              <w:spacing w:before="71" w:line="236" w:lineRule="auto"/>
              <w:ind w:left="12"/>
            </w:pPr>
            <w:r>
              <w:rPr>
                <w:color w:val="2A8ABF"/>
                <w:spacing w:val="-5"/>
              </w:rPr>
              <w:t>Crude &amp; other liquids net</w:t>
            </w:r>
            <w:r>
              <w:rPr>
                <w:color w:val="2A8ABF"/>
                <w:spacing w:val="-10"/>
              </w:rPr>
              <w:t xml:space="preserve"> </w:t>
            </w:r>
            <w:r>
              <w:rPr>
                <w:color w:val="2A8ABF"/>
                <w:spacing w:val="-5"/>
              </w:rPr>
              <w:t>export,</w:t>
            </w:r>
            <w:r>
              <w:rPr>
                <w:color w:val="2A8ABF"/>
                <w:spacing w:val="-11"/>
              </w:rPr>
              <w:t xml:space="preserve"> </w:t>
            </w:r>
            <w:r>
              <w:rPr>
                <w:color w:val="2A8ABF"/>
                <w:spacing w:val="-5"/>
              </w:rPr>
              <w:t>00</w:t>
            </w:r>
            <w:r>
              <w:rPr>
                <w:color w:val="2A8ABF"/>
                <w:spacing w:val="-6"/>
              </w:rPr>
              <w:t>0b/d</w:t>
            </w:r>
          </w:p>
        </w:tc>
        <w:tc>
          <w:tcPr>
            <w:tcW w:w="942" w:type="dxa"/>
            <w:tcBorders>
              <w:right w:val="nil"/>
            </w:tcBorders>
            <w:vAlign w:val="top"/>
          </w:tcPr>
          <w:p w14:paraId="3863DAD9">
            <w:pPr>
              <w:pStyle w:val="8"/>
              <w:spacing w:before="71" w:line="237" w:lineRule="exact"/>
              <w:ind w:left="403"/>
            </w:pPr>
            <w:r>
              <w:rPr>
                <w:color w:val="5F6A72"/>
                <w:spacing w:val="-6"/>
                <w:position w:val="1"/>
              </w:rPr>
              <w:t>287.7</w:t>
            </w:r>
          </w:p>
        </w:tc>
        <w:tc>
          <w:tcPr>
            <w:tcW w:w="930" w:type="dxa"/>
            <w:tcBorders>
              <w:left w:val="nil"/>
              <w:right w:val="nil"/>
            </w:tcBorders>
            <w:vAlign w:val="top"/>
          </w:tcPr>
          <w:p w14:paraId="769D1CD3">
            <w:pPr>
              <w:pStyle w:val="8"/>
              <w:spacing w:before="71" w:line="237" w:lineRule="exact"/>
              <w:ind w:left="443"/>
            </w:pPr>
            <w:r>
              <w:rPr>
                <w:color w:val="5F6A72"/>
                <w:spacing w:val="-6"/>
                <w:position w:val="1"/>
              </w:rPr>
              <w:t>352.3</w:t>
            </w:r>
          </w:p>
        </w:tc>
        <w:tc>
          <w:tcPr>
            <w:tcW w:w="929" w:type="dxa"/>
            <w:tcBorders>
              <w:left w:val="nil"/>
              <w:right w:val="nil"/>
            </w:tcBorders>
            <w:vAlign w:val="top"/>
          </w:tcPr>
          <w:p w14:paraId="34BAA1CD">
            <w:pPr>
              <w:pStyle w:val="8"/>
              <w:spacing w:before="71" w:line="237" w:lineRule="exact"/>
              <w:ind w:left="439"/>
            </w:pPr>
            <w:r>
              <w:rPr>
                <w:color w:val="5F6A72"/>
                <w:spacing w:val="-6"/>
                <w:position w:val="1"/>
              </w:rPr>
              <w:t>457.3</w:t>
            </w:r>
          </w:p>
        </w:tc>
        <w:tc>
          <w:tcPr>
            <w:tcW w:w="924" w:type="dxa"/>
            <w:tcBorders>
              <w:left w:val="nil"/>
              <w:right w:val="nil"/>
            </w:tcBorders>
            <w:vAlign w:val="top"/>
          </w:tcPr>
          <w:p w14:paraId="543AE1A7">
            <w:pPr>
              <w:pStyle w:val="8"/>
              <w:spacing w:before="71" w:line="237" w:lineRule="exact"/>
              <w:ind w:left="436"/>
            </w:pPr>
            <w:r>
              <w:rPr>
                <w:color w:val="5F6A72"/>
                <w:spacing w:val="-6"/>
                <w:position w:val="1"/>
              </w:rPr>
              <w:t>478.1</w:t>
            </w:r>
          </w:p>
        </w:tc>
        <w:tc>
          <w:tcPr>
            <w:tcW w:w="926" w:type="dxa"/>
            <w:tcBorders>
              <w:left w:val="nil"/>
              <w:right w:val="nil"/>
            </w:tcBorders>
            <w:vAlign w:val="top"/>
          </w:tcPr>
          <w:p w14:paraId="20BB0134">
            <w:pPr>
              <w:pStyle w:val="8"/>
              <w:spacing w:before="71" w:line="237" w:lineRule="exact"/>
              <w:ind w:left="438"/>
            </w:pPr>
            <w:r>
              <w:rPr>
                <w:color w:val="5F6A72"/>
                <w:spacing w:val="-6"/>
                <w:position w:val="1"/>
              </w:rPr>
              <w:t>499.6</w:t>
            </w:r>
          </w:p>
        </w:tc>
        <w:tc>
          <w:tcPr>
            <w:tcW w:w="927" w:type="dxa"/>
            <w:tcBorders>
              <w:left w:val="nil"/>
              <w:right w:val="nil"/>
            </w:tcBorders>
            <w:vAlign w:val="top"/>
          </w:tcPr>
          <w:p w14:paraId="2C830A63">
            <w:pPr>
              <w:pStyle w:val="8"/>
              <w:spacing w:before="71" w:line="237" w:lineRule="exact"/>
              <w:ind w:left="442"/>
            </w:pPr>
            <w:r>
              <w:rPr>
                <w:color w:val="5F6A72"/>
                <w:spacing w:val="-6"/>
                <w:position w:val="1"/>
              </w:rPr>
              <w:t>513.2</w:t>
            </w:r>
          </w:p>
        </w:tc>
      </w:tr>
      <w:tr w14:paraId="1BF3FFAF">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626" w:type="dxa"/>
            <w:tcBorders>
              <w:left w:val="nil"/>
              <w:bottom w:val="single" w:color="333333" w:sz="4" w:space="0"/>
            </w:tcBorders>
            <w:shd w:val="clear" w:color="auto" w:fill="EAF9FF"/>
            <w:vAlign w:val="top"/>
          </w:tcPr>
          <w:p w14:paraId="1FCE06F8">
            <w:pPr>
              <w:pStyle w:val="8"/>
              <w:spacing w:before="72" w:line="234" w:lineRule="auto"/>
              <w:ind w:left="12"/>
            </w:pPr>
            <w:r>
              <w:rPr>
                <w:color w:val="2A8ABF"/>
                <w:spacing w:val="-7"/>
              </w:rPr>
              <w:t>Crude &amp; other liquids</w:t>
            </w:r>
            <w:r>
              <w:rPr>
                <w:color w:val="2A8ABF"/>
                <w:spacing w:val="-3"/>
              </w:rPr>
              <w:t xml:space="preserve"> </w:t>
            </w:r>
            <w:r>
              <w:rPr>
                <w:color w:val="2A8ABF"/>
                <w:spacing w:val="-7"/>
              </w:rPr>
              <w:t>net</w:t>
            </w:r>
            <w:r>
              <w:rPr>
                <w:color w:val="2A8ABF"/>
                <w:spacing w:val="-10"/>
              </w:rPr>
              <w:t xml:space="preserve"> </w:t>
            </w:r>
            <w:r>
              <w:rPr>
                <w:color w:val="2A8ABF"/>
                <w:spacing w:val="-7"/>
              </w:rPr>
              <w:t>export,</w:t>
            </w:r>
            <w:r>
              <w:rPr>
                <w:color w:val="2A8ABF"/>
                <w:spacing w:val="-13"/>
              </w:rPr>
              <w:t xml:space="preserve"> </w:t>
            </w:r>
            <w:r>
              <w:rPr>
                <w:color w:val="2A8ABF"/>
                <w:spacing w:val="-7"/>
              </w:rPr>
              <w:t>%</w:t>
            </w:r>
            <w:r>
              <w:rPr>
                <w:color w:val="2A8ABF"/>
                <w:spacing w:val="-17"/>
              </w:rPr>
              <w:t xml:space="preserve"> </w:t>
            </w:r>
            <w:r>
              <w:rPr>
                <w:color w:val="2A8ABF"/>
                <w:spacing w:val="-7"/>
              </w:rPr>
              <w:t>y-o-y</w:t>
            </w:r>
          </w:p>
        </w:tc>
        <w:tc>
          <w:tcPr>
            <w:tcW w:w="942" w:type="dxa"/>
            <w:tcBorders>
              <w:bottom w:val="single" w:color="333333" w:sz="4" w:space="0"/>
              <w:right w:val="nil"/>
            </w:tcBorders>
            <w:shd w:val="clear" w:color="auto" w:fill="EAF9FF"/>
            <w:vAlign w:val="top"/>
          </w:tcPr>
          <w:p w14:paraId="4A55EE9E">
            <w:pPr>
              <w:pStyle w:val="8"/>
              <w:spacing w:before="72" w:line="238" w:lineRule="exact"/>
              <w:ind w:left="594"/>
            </w:pPr>
            <w:r>
              <w:rPr>
                <w:color w:val="5F6A72"/>
                <w:spacing w:val="-6"/>
                <w:position w:val="1"/>
              </w:rPr>
              <w:t>0.5</w:t>
            </w:r>
          </w:p>
        </w:tc>
        <w:tc>
          <w:tcPr>
            <w:tcW w:w="930" w:type="dxa"/>
            <w:tcBorders>
              <w:left w:val="nil"/>
              <w:bottom w:val="single" w:color="333333" w:sz="4" w:space="0"/>
              <w:right w:val="nil"/>
            </w:tcBorders>
            <w:shd w:val="clear" w:color="auto" w:fill="EAF9FF"/>
            <w:vAlign w:val="top"/>
          </w:tcPr>
          <w:p w14:paraId="0A46158F">
            <w:pPr>
              <w:pStyle w:val="8"/>
              <w:spacing w:before="72" w:line="240" w:lineRule="exact"/>
              <w:ind w:left="543"/>
            </w:pPr>
            <w:r>
              <w:rPr>
                <w:color w:val="5F6A72"/>
                <w:spacing w:val="-6"/>
                <w:position w:val="1"/>
              </w:rPr>
              <w:t>22.4</w:t>
            </w:r>
          </w:p>
        </w:tc>
        <w:tc>
          <w:tcPr>
            <w:tcW w:w="929" w:type="dxa"/>
            <w:tcBorders>
              <w:left w:val="nil"/>
              <w:bottom w:val="single" w:color="333333" w:sz="4" w:space="0"/>
              <w:right w:val="nil"/>
            </w:tcBorders>
            <w:shd w:val="clear" w:color="auto" w:fill="EAF9FF"/>
            <w:vAlign w:val="top"/>
          </w:tcPr>
          <w:p w14:paraId="4A29E6D5">
            <w:pPr>
              <w:pStyle w:val="8"/>
              <w:spacing w:before="72" w:line="238" w:lineRule="exact"/>
              <w:ind w:left="539"/>
            </w:pPr>
            <w:r>
              <w:rPr>
                <w:color w:val="5F6A72"/>
                <w:spacing w:val="-6"/>
                <w:position w:val="1"/>
              </w:rPr>
              <w:t>29.8</w:t>
            </w:r>
          </w:p>
        </w:tc>
        <w:tc>
          <w:tcPr>
            <w:tcW w:w="924" w:type="dxa"/>
            <w:tcBorders>
              <w:left w:val="nil"/>
              <w:bottom w:val="single" w:color="333333" w:sz="4" w:space="0"/>
              <w:right w:val="nil"/>
            </w:tcBorders>
            <w:shd w:val="clear" w:color="auto" w:fill="EAF9FF"/>
            <w:vAlign w:val="top"/>
          </w:tcPr>
          <w:p w14:paraId="7CB34185">
            <w:pPr>
              <w:pStyle w:val="8"/>
              <w:spacing w:before="72" w:line="238" w:lineRule="exact"/>
              <w:ind w:left="630"/>
            </w:pPr>
            <w:r>
              <w:rPr>
                <w:color w:val="5F6A72"/>
                <w:spacing w:val="-6"/>
                <w:position w:val="1"/>
              </w:rPr>
              <w:t>4.6</w:t>
            </w:r>
          </w:p>
        </w:tc>
        <w:tc>
          <w:tcPr>
            <w:tcW w:w="926" w:type="dxa"/>
            <w:tcBorders>
              <w:left w:val="nil"/>
              <w:bottom w:val="single" w:color="333333" w:sz="4" w:space="0"/>
              <w:right w:val="nil"/>
            </w:tcBorders>
            <w:shd w:val="clear" w:color="auto" w:fill="EAF9FF"/>
            <w:vAlign w:val="top"/>
          </w:tcPr>
          <w:p w14:paraId="09F3D5ED">
            <w:pPr>
              <w:pStyle w:val="8"/>
              <w:spacing w:before="72" w:line="238" w:lineRule="exact"/>
              <w:ind w:left="632"/>
            </w:pPr>
            <w:r>
              <w:rPr>
                <w:color w:val="5F6A72"/>
                <w:spacing w:val="-6"/>
                <w:position w:val="1"/>
              </w:rPr>
              <w:t>4.5</w:t>
            </w:r>
          </w:p>
        </w:tc>
        <w:tc>
          <w:tcPr>
            <w:tcW w:w="927" w:type="dxa"/>
            <w:tcBorders>
              <w:left w:val="nil"/>
              <w:bottom w:val="single" w:color="333333" w:sz="4" w:space="0"/>
              <w:right w:val="nil"/>
            </w:tcBorders>
            <w:shd w:val="clear" w:color="auto" w:fill="EAF9FF"/>
            <w:vAlign w:val="top"/>
          </w:tcPr>
          <w:p w14:paraId="0D74AE65">
            <w:pPr>
              <w:pStyle w:val="8"/>
              <w:spacing w:before="72" w:line="240" w:lineRule="exact"/>
              <w:ind w:left="635"/>
            </w:pPr>
            <w:r>
              <w:rPr>
                <w:color w:val="5F6A72"/>
                <w:spacing w:val="-6"/>
                <w:position w:val="1"/>
              </w:rPr>
              <w:t>2.7</w:t>
            </w:r>
          </w:p>
        </w:tc>
      </w:tr>
      <w:tr w14:paraId="57E26A24">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878" w:hRule="atLeast"/>
        </w:trPr>
        <w:tc>
          <w:tcPr>
            <w:tcW w:w="10204" w:type="dxa"/>
            <w:gridSpan w:val="7"/>
            <w:tcBorders>
              <w:top w:val="single" w:color="333333" w:sz="4" w:space="0"/>
              <w:left w:val="nil"/>
              <w:right w:val="nil"/>
            </w:tcBorders>
            <w:vAlign w:val="top"/>
          </w:tcPr>
          <w:p w14:paraId="186E65AF">
            <w:pPr>
              <w:pStyle w:val="8"/>
              <w:spacing w:line="242" w:lineRule="auto"/>
              <w:ind w:left="13"/>
              <w:rPr>
                <w:sz w:val="15"/>
                <w:szCs w:val="15"/>
              </w:rPr>
            </w:pPr>
            <w:r>
              <w:rPr>
                <w:i/>
                <w:iCs/>
                <w:color w:val="333333"/>
                <w:spacing w:val="-3"/>
                <w:w w:val="92"/>
                <w:sz w:val="15"/>
                <w:szCs w:val="15"/>
              </w:rPr>
              <w:t>e/f</w:t>
            </w:r>
            <w:r>
              <w:rPr>
                <w:i/>
                <w:iCs/>
                <w:color w:val="333333"/>
                <w:spacing w:val="-24"/>
                <w:sz w:val="15"/>
                <w:szCs w:val="15"/>
              </w:rPr>
              <w:t xml:space="preserve"> </w:t>
            </w:r>
            <w:r>
              <w:rPr>
                <w:i/>
                <w:iCs/>
                <w:color w:val="333333"/>
                <w:spacing w:val="-3"/>
                <w:w w:val="92"/>
                <w:sz w:val="15"/>
                <w:szCs w:val="15"/>
              </w:rPr>
              <w:t>= BMI estimate/forecast. S</w:t>
            </w:r>
            <w:r>
              <w:rPr>
                <w:i/>
                <w:iCs/>
                <w:color w:val="333333"/>
                <w:spacing w:val="-4"/>
                <w:w w:val="92"/>
                <w:sz w:val="15"/>
                <w:szCs w:val="15"/>
              </w:rPr>
              <w:t>ource: EIA, national</w:t>
            </w:r>
            <w:r>
              <w:rPr>
                <w:i/>
                <w:iCs/>
                <w:color w:val="333333"/>
                <w:spacing w:val="-15"/>
                <w:sz w:val="15"/>
                <w:szCs w:val="15"/>
              </w:rPr>
              <w:t xml:space="preserve"> </w:t>
            </w:r>
            <w:r>
              <w:rPr>
                <w:i/>
                <w:iCs/>
                <w:color w:val="333333"/>
                <w:spacing w:val="-4"/>
                <w:w w:val="92"/>
                <w:sz w:val="15"/>
                <w:szCs w:val="15"/>
              </w:rPr>
              <w:t>sources, BMI</w:t>
            </w:r>
          </w:p>
          <w:p w14:paraId="239C31AC">
            <w:pPr>
              <w:pStyle w:val="8"/>
              <w:spacing w:line="321" w:lineRule="auto"/>
              <w:rPr>
                <w:sz w:val="21"/>
              </w:rPr>
            </w:pPr>
          </w:p>
          <w:p w14:paraId="7C3BC6F1">
            <w:pPr>
              <w:pStyle w:val="8"/>
              <w:spacing w:before="69" w:line="234" w:lineRule="auto"/>
              <w:ind w:left="59"/>
              <w:outlineLvl w:val="1"/>
              <w:rPr>
                <w:sz w:val="24"/>
                <w:szCs w:val="24"/>
              </w:rPr>
            </w:pPr>
            <w:r>
              <w:rPr>
                <w:color w:val="174174"/>
                <w:spacing w:val="-10"/>
                <w:sz w:val="24"/>
                <w:szCs w:val="24"/>
              </w:rPr>
              <w:t>Crude Oil Net Exports (Argentina 2029-2034)</w:t>
            </w:r>
          </w:p>
        </w:tc>
      </w:tr>
      <w:tr w14:paraId="6F8BAFAE">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626" w:type="dxa"/>
            <w:tcBorders>
              <w:left w:val="nil"/>
            </w:tcBorders>
            <w:vAlign w:val="top"/>
          </w:tcPr>
          <w:p w14:paraId="284B4769">
            <w:pPr>
              <w:pStyle w:val="8"/>
              <w:spacing w:before="74" w:line="243" w:lineRule="exact"/>
              <w:ind w:left="13"/>
            </w:pPr>
            <w:r>
              <w:rPr>
                <w:b/>
                <w:bCs/>
                <w:color w:val="5F6A72"/>
                <w:spacing w:val="-6"/>
                <w:position w:val="1"/>
              </w:rPr>
              <w:t>Indicator</w:t>
            </w:r>
          </w:p>
        </w:tc>
        <w:tc>
          <w:tcPr>
            <w:tcW w:w="942" w:type="dxa"/>
            <w:tcBorders>
              <w:right w:val="nil"/>
            </w:tcBorders>
            <w:vAlign w:val="top"/>
          </w:tcPr>
          <w:p w14:paraId="6A159787">
            <w:pPr>
              <w:pStyle w:val="8"/>
              <w:spacing w:before="74" w:line="243" w:lineRule="exact"/>
              <w:ind w:left="420"/>
            </w:pPr>
            <w:r>
              <w:rPr>
                <w:b/>
                <w:bCs/>
                <w:color w:val="5F6A72"/>
                <w:spacing w:val="-1"/>
                <w:position w:val="1"/>
              </w:rPr>
              <w:t>2029f</w:t>
            </w:r>
          </w:p>
        </w:tc>
        <w:tc>
          <w:tcPr>
            <w:tcW w:w="930" w:type="dxa"/>
            <w:tcBorders>
              <w:left w:val="nil"/>
              <w:right w:val="nil"/>
            </w:tcBorders>
            <w:vAlign w:val="top"/>
          </w:tcPr>
          <w:p w14:paraId="5A9DCA2E">
            <w:pPr>
              <w:pStyle w:val="8"/>
              <w:spacing w:before="74" w:line="243" w:lineRule="exact"/>
              <w:ind w:left="410"/>
            </w:pPr>
            <w:r>
              <w:rPr>
                <w:b/>
                <w:bCs/>
                <w:color w:val="5F6A72"/>
                <w:spacing w:val="-1"/>
                <w:position w:val="1"/>
              </w:rPr>
              <w:t>2030f</w:t>
            </w:r>
          </w:p>
        </w:tc>
        <w:tc>
          <w:tcPr>
            <w:tcW w:w="929" w:type="dxa"/>
            <w:tcBorders>
              <w:left w:val="nil"/>
              <w:right w:val="nil"/>
            </w:tcBorders>
            <w:vAlign w:val="top"/>
          </w:tcPr>
          <w:p w14:paraId="1189BCE3">
            <w:pPr>
              <w:pStyle w:val="8"/>
              <w:spacing w:before="74" w:line="243" w:lineRule="exact"/>
              <w:ind w:left="408"/>
            </w:pPr>
            <w:r>
              <w:rPr>
                <w:b/>
                <w:bCs/>
                <w:color w:val="5F6A72"/>
                <w:spacing w:val="-1"/>
                <w:position w:val="1"/>
              </w:rPr>
              <w:t>2031f</w:t>
            </w:r>
          </w:p>
        </w:tc>
        <w:tc>
          <w:tcPr>
            <w:tcW w:w="924" w:type="dxa"/>
            <w:tcBorders>
              <w:left w:val="nil"/>
              <w:right w:val="nil"/>
            </w:tcBorders>
            <w:vAlign w:val="top"/>
          </w:tcPr>
          <w:p w14:paraId="5B62D8AD">
            <w:pPr>
              <w:pStyle w:val="8"/>
              <w:spacing w:before="74" w:line="243" w:lineRule="exact"/>
              <w:ind w:left="406"/>
            </w:pPr>
            <w:r>
              <w:rPr>
                <w:b/>
                <w:bCs/>
                <w:color w:val="5F6A72"/>
                <w:spacing w:val="-1"/>
                <w:position w:val="1"/>
              </w:rPr>
              <w:t>2032f</w:t>
            </w:r>
          </w:p>
        </w:tc>
        <w:tc>
          <w:tcPr>
            <w:tcW w:w="926" w:type="dxa"/>
            <w:tcBorders>
              <w:left w:val="nil"/>
              <w:right w:val="nil"/>
            </w:tcBorders>
            <w:vAlign w:val="top"/>
          </w:tcPr>
          <w:p w14:paraId="44F0AB56">
            <w:pPr>
              <w:pStyle w:val="8"/>
              <w:spacing w:before="74" w:line="243" w:lineRule="exact"/>
              <w:ind w:left="409"/>
            </w:pPr>
            <w:r>
              <w:rPr>
                <w:b/>
                <w:bCs/>
                <w:color w:val="5F6A72"/>
                <w:spacing w:val="-1"/>
                <w:position w:val="1"/>
              </w:rPr>
              <w:t>2033f</w:t>
            </w:r>
          </w:p>
        </w:tc>
        <w:tc>
          <w:tcPr>
            <w:tcW w:w="927" w:type="dxa"/>
            <w:tcBorders>
              <w:left w:val="nil"/>
              <w:right w:val="nil"/>
            </w:tcBorders>
            <w:vAlign w:val="top"/>
          </w:tcPr>
          <w:p w14:paraId="0FA8EFC8">
            <w:pPr>
              <w:pStyle w:val="8"/>
              <w:spacing w:before="74" w:line="243" w:lineRule="exact"/>
              <w:ind w:left="411"/>
            </w:pPr>
            <w:r>
              <w:rPr>
                <w:b/>
                <w:bCs/>
                <w:color w:val="5F6A72"/>
                <w:spacing w:val="-1"/>
                <w:position w:val="1"/>
              </w:rPr>
              <w:t>2034f</w:t>
            </w:r>
          </w:p>
        </w:tc>
      </w:tr>
      <w:tr w14:paraId="4DEDD022">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626" w:type="dxa"/>
            <w:tcBorders>
              <w:left w:val="nil"/>
            </w:tcBorders>
            <w:vAlign w:val="top"/>
          </w:tcPr>
          <w:p w14:paraId="62746785">
            <w:pPr>
              <w:pStyle w:val="8"/>
              <w:spacing w:before="77" w:line="236" w:lineRule="auto"/>
              <w:ind w:left="12"/>
            </w:pPr>
            <w:r>
              <w:rPr>
                <w:color w:val="2A8ABF"/>
                <w:spacing w:val="-5"/>
              </w:rPr>
              <w:t>Crude &amp; other liquids net</w:t>
            </w:r>
            <w:r>
              <w:rPr>
                <w:color w:val="2A8ABF"/>
                <w:spacing w:val="-10"/>
              </w:rPr>
              <w:t xml:space="preserve"> </w:t>
            </w:r>
            <w:r>
              <w:rPr>
                <w:color w:val="2A8ABF"/>
                <w:spacing w:val="-5"/>
              </w:rPr>
              <w:t>export,</w:t>
            </w:r>
            <w:r>
              <w:rPr>
                <w:color w:val="2A8ABF"/>
                <w:spacing w:val="-11"/>
              </w:rPr>
              <w:t xml:space="preserve"> </w:t>
            </w:r>
            <w:r>
              <w:rPr>
                <w:color w:val="2A8ABF"/>
                <w:spacing w:val="-5"/>
              </w:rPr>
              <w:t>00</w:t>
            </w:r>
            <w:r>
              <w:rPr>
                <w:color w:val="2A8ABF"/>
                <w:spacing w:val="-6"/>
              </w:rPr>
              <w:t>0b/d</w:t>
            </w:r>
          </w:p>
        </w:tc>
        <w:tc>
          <w:tcPr>
            <w:tcW w:w="942" w:type="dxa"/>
            <w:tcBorders>
              <w:right w:val="nil"/>
            </w:tcBorders>
            <w:vAlign w:val="top"/>
          </w:tcPr>
          <w:p w14:paraId="5770458A">
            <w:pPr>
              <w:pStyle w:val="8"/>
              <w:spacing w:before="77" w:line="238" w:lineRule="exact"/>
              <w:ind w:left="452"/>
            </w:pPr>
            <w:r>
              <w:rPr>
                <w:color w:val="5F6A72"/>
                <w:spacing w:val="-6"/>
                <w:position w:val="1"/>
              </w:rPr>
              <w:t>527.2</w:t>
            </w:r>
          </w:p>
        </w:tc>
        <w:tc>
          <w:tcPr>
            <w:tcW w:w="930" w:type="dxa"/>
            <w:tcBorders>
              <w:left w:val="nil"/>
              <w:right w:val="nil"/>
            </w:tcBorders>
            <w:vAlign w:val="top"/>
          </w:tcPr>
          <w:p w14:paraId="31F8874F">
            <w:pPr>
              <w:pStyle w:val="8"/>
              <w:spacing w:before="77" w:line="238" w:lineRule="exact"/>
              <w:ind w:left="442"/>
            </w:pPr>
            <w:r>
              <w:rPr>
                <w:color w:val="5F6A72"/>
                <w:spacing w:val="-6"/>
                <w:position w:val="1"/>
              </w:rPr>
              <w:t>544.1</w:t>
            </w:r>
          </w:p>
        </w:tc>
        <w:tc>
          <w:tcPr>
            <w:tcW w:w="929" w:type="dxa"/>
            <w:tcBorders>
              <w:left w:val="nil"/>
              <w:right w:val="nil"/>
            </w:tcBorders>
            <w:vAlign w:val="top"/>
          </w:tcPr>
          <w:p w14:paraId="1318EA4A">
            <w:pPr>
              <w:pStyle w:val="8"/>
              <w:spacing w:before="77" w:line="238" w:lineRule="exact"/>
              <w:ind w:left="439"/>
            </w:pPr>
            <w:r>
              <w:rPr>
                <w:color w:val="5F6A72"/>
                <w:spacing w:val="-6"/>
                <w:position w:val="1"/>
              </w:rPr>
              <w:t>561.5</w:t>
            </w:r>
          </w:p>
        </w:tc>
        <w:tc>
          <w:tcPr>
            <w:tcW w:w="924" w:type="dxa"/>
            <w:tcBorders>
              <w:left w:val="nil"/>
              <w:right w:val="nil"/>
            </w:tcBorders>
            <w:vAlign w:val="top"/>
          </w:tcPr>
          <w:p w14:paraId="209591BD">
            <w:pPr>
              <w:pStyle w:val="8"/>
              <w:spacing w:before="77" w:line="238" w:lineRule="exact"/>
              <w:ind w:left="438"/>
            </w:pPr>
            <w:r>
              <w:rPr>
                <w:color w:val="5F6A72"/>
                <w:spacing w:val="-6"/>
                <w:position w:val="1"/>
              </w:rPr>
              <w:t>579.2</w:t>
            </w:r>
          </w:p>
        </w:tc>
        <w:tc>
          <w:tcPr>
            <w:tcW w:w="926" w:type="dxa"/>
            <w:tcBorders>
              <w:left w:val="nil"/>
              <w:right w:val="nil"/>
            </w:tcBorders>
            <w:vAlign w:val="top"/>
          </w:tcPr>
          <w:p w14:paraId="0393EE16">
            <w:pPr>
              <w:pStyle w:val="8"/>
              <w:spacing w:before="77" w:line="237" w:lineRule="exact"/>
              <w:ind w:left="441"/>
            </w:pPr>
            <w:r>
              <w:rPr>
                <w:color w:val="5F6A72"/>
                <w:spacing w:val="-6"/>
                <w:position w:val="1"/>
              </w:rPr>
              <w:t>597.3</w:t>
            </w:r>
          </w:p>
        </w:tc>
        <w:tc>
          <w:tcPr>
            <w:tcW w:w="927" w:type="dxa"/>
            <w:tcBorders>
              <w:left w:val="nil"/>
              <w:right w:val="nil"/>
            </w:tcBorders>
            <w:vAlign w:val="top"/>
          </w:tcPr>
          <w:p w14:paraId="44381FF7">
            <w:pPr>
              <w:pStyle w:val="8"/>
              <w:spacing w:before="77" w:line="238" w:lineRule="exact"/>
              <w:ind w:left="443"/>
            </w:pPr>
            <w:r>
              <w:rPr>
                <w:color w:val="5F6A72"/>
                <w:spacing w:val="-6"/>
                <w:position w:val="1"/>
              </w:rPr>
              <w:t>615.8</w:t>
            </w:r>
          </w:p>
        </w:tc>
      </w:tr>
      <w:tr w14:paraId="711B98A4">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7" w:hRule="atLeast"/>
        </w:trPr>
        <w:tc>
          <w:tcPr>
            <w:tcW w:w="4626" w:type="dxa"/>
            <w:tcBorders>
              <w:left w:val="nil"/>
              <w:bottom w:val="single" w:color="333333" w:sz="4" w:space="0"/>
            </w:tcBorders>
            <w:shd w:val="clear" w:color="auto" w:fill="EAF9FF"/>
            <w:vAlign w:val="top"/>
          </w:tcPr>
          <w:p w14:paraId="316884B0">
            <w:pPr>
              <w:pStyle w:val="8"/>
              <w:spacing w:before="78" w:line="234" w:lineRule="auto"/>
              <w:ind w:left="12"/>
            </w:pPr>
            <w:r>
              <w:rPr>
                <w:color w:val="2A8ABF"/>
                <w:spacing w:val="-7"/>
              </w:rPr>
              <w:t>Crude &amp; other liquids</w:t>
            </w:r>
            <w:r>
              <w:rPr>
                <w:color w:val="2A8ABF"/>
                <w:spacing w:val="-3"/>
              </w:rPr>
              <w:t xml:space="preserve"> </w:t>
            </w:r>
            <w:r>
              <w:rPr>
                <w:color w:val="2A8ABF"/>
                <w:spacing w:val="-7"/>
              </w:rPr>
              <w:t>net</w:t>
            </w:r>
            <w:r>
              <w:rPr>
                <w:color w:val="2A8ABF"/>
                <w:spacing w:val="-10"/>
              </w:rPr>
              <w:t xml:space="preserve"> </w:t>
            </w:r>
            <w:r>
              <w:rPr>
                <w:color w:val="2A8ABF"/>
                <w:spacing w:val="-7"/>
              </w:rPr>
              <w:t>export,</w:t>
            </w:r>
            <w:r>
              <w:rPr>
                <w:color w:val="2A8ABF"/>
                <w:spacing w:val="-13"/>
              </w:rPr>
              <w:t xml:space="preserve"> </w:t>
            </w:r>
            <w:r>
              <w:rPr>
                <w:color w:val="2A8ABF"/>
                <w:spacing w:val="-7"/>
              </w:rPr>
              <w:t>%</w:t>
            </w:r>
            <w:r>
              <w:rPr>
                <w:color w:val="2A8ABF"/>
                <w:spacing w:val="-17"/>
              </w:rPr>
              <w:t xml:space="preserve"> </w:t>
            </w:r>
            <w:r>
              <w:rPr>
                <w:color w:val="2A8ABF"/>
                <w:spacing w:val="-7"/>
              </w:rPr>
              <w:t>y-o-y</w:t>
            </w:r>
          </w:p>
        </w:tc>
        <w:tc>
          <w:tcPr>
            <w:tcW w:w="942" w:type="dxa"/>
            <w:tcBorders>
              <w:bottom w:val="single" w:color="333333" w:sz="4" w:space="0"/>
              <w:right w:val="nil"/>
            </w:tcBorders>
            <w:shd w:val="clear" w:color="auto" w:fill="EAF9FF"/>
            <w:vAlign w:val="top"/>
          </w:tcPr>
          <w:p w14:paraId="28EB9D84">
            <w:pPr>
              <w:pStyle w:val="8"/>
              <w:spacing w:before="78" w:line="240" w:lineRule="exact"/>
              <w:ind w:left="644"/>
            </w:pPr>
            <w:r>
              <w:rPr>
                <w:color w:val="5F6A72"/>
                <w:spacing w:val="-6"/>
                <w:position w:val="1"/>
              </w:rPr>
              <w:t>2.7</w:t>
            </w:r>
          </w:p>
        </w:tc>
        <w:tc>
          <w:tcPr>
            <w:tcW w:w="930" w:type="dxa"/>
            <w:tcBorders>
              <w:left w:val="nil"/>
              <w:bottom w:val="single" w:color="333333" w:sz="4" w:space="0"/>
              <w:right w:val="nil"/>
            </w:tcBorders>
            <w:shd w:val="clear" w:color="auto" w:fill="EAF9FF"/>
            <w:vAlign w:val="top"/>
          </w:tcPr>
          <w:p w14:paraId="0C892218">
            <w:pPr>
              <w:pStyle w:val="8"/>
              <w:spacing w:before="78" w:line="238" w:lineRule="exact"/>
              <w:ind w:left="632"/>
            </w:pPr>
            <w:r>
              <w:rPr>
                <w:color w:val="5F6A72"/>
                <w:spacing w:val="-6"/>
                <w:position w:val="1"/>
              </w:rPr>
              <w:t>3.2</w:t>
            </w:r>
          </w:p>
        </w:tc>
        <w:tc>
          <w:tcPr>
            <w:tcW w:w="929" w:type="dxa"/>
            <w:tcBorders>
              <w:left w:val="nil"/>
              <w:bottom w:val="single" w:color="333333" w:sz="4" w:space="0"/>
              <w:right w:val="nil"/>
            </w:tcBorders>
            <w:shd w:val="clear" w:color="auto" w:fill="EAF9FF"/>
            <w:vAlign w:val="top"/>
          </w:tcPr>
          <w:p w14:paraId="4ECC38DC">
            <w:pPr>
              <w:pStyle w:val="8"/>
              <w:spacing w:before="78" w:line="238" w:lineRule="exact"/>
              <w:ind w:left="629"/>
            </w:pPr>
            <w:r>
              <w:rPr>
                <w:color w:val="5F6A72"/>
                <w:spacing w:val="-6"/>
                <w:position w:val="1"/>
              </w:rPr>
              <w:t>3.2</w:t>
            </w:r>
          </w:p>
        </w:tc>
        <w:tc>
          <w:tcPr>
            <w:tcW w:w="924" w:type="dxa"/>
            <w:tcBorders>
              <w:left w:val="nil"/>
              <w:bottom w:val="single" w:color="333333" w:sz="4" w:space="0"/>
              <w:right w:val="nil"/>
            </w:tcBorders>
            <w:shd w:val="clear" w:color="auto" w:fill="EAF9FF"/>
            <w:vAlign w:val="top"/>
          </w:tcPr>
          <w:p w14:paraId="4646AD0D">
            <w:pPr>
              <w:pStyle w:val="8"/>
              <w:spacing w:before="78" w:line="238" w:lineRule="exact"/>
              <w:ind w:left="627"/>
            </w:pPr>
            <w:r>
              <w:rPr>
                <w:color w:val="5F6A72"/>
                <w:spacing w:val="-6"/>
                <w:position w:val="1"/>
              </w:rPr>
              <w:t>3.2</w:t>
            </w:r>
          </w:p>
        </w:tc>
        <w:tc>
          <w:tcPr>
            <w:tcW w:w="926" w:type="dxa"/>
            <w:tcBorders>
              <w:left w:val="nil"/>
              <w:bottom w:val="single" w:color="333333" w:sz="4" w:space="0"/>
              <w:right w:val="nil"/>
            </w:tcBorders>
            <w:shd w:val="clear" w:color="auto" w:fill="EAF9FF"/>
            <w:vAlign w:val="top"/>
          </w:tcPr>
          <w:p w14:paraId="181717D4">
            <w:pPr>
              <w:pStyle w:val="8"/>
              <w:spacing w:before="78" w:line="238" w:lineRule="exact"/>
              <w:ind w:left="631"/>
            </w:pPr>
            <w:r>
              <w:rPr>
                <w:color w:val="5F6A72"/>
                <w:spacing w:val="-6"/>
                <w:position w:val="1"/>
              </w:rPr>
              <w:t>3.1</w:t>
            </w:r>
          </w:p>
        </w:tc>
        <w:tc>
          <w:tcPr>
            <w:tcW w:w="927" w:type="dxa"/>
            <w:tcBorders>
              <w:left w:val="nil"/>
              <w:bottom w:val="single" w:color="333333" w:sz="4" w:space="0"/>
              <w:right w:val="nil"/>
            </w:tcBorders>
            <w:shd w:val="clear" w:color="auto" w:fill="EAF9FF"/>
            <w:vAlign w:val="top"/>
          </w:tcPr>
          <w:p w14:paraId="5532CF90">
            <w:pPr>
              <w:pStyle w:val="8"/>
              <w:spacing w:before="78" w:line="238" w:lineRule="exact"/>
              <w:ind w:left="632"/>
            </w:pPr>
            <w:r>
              <w:rPr>
                <w:color w:val="5F6A72"/>
                <w:spacing w:val="-6"/>
                <w:position w:val="1"/>
              </w:rPr>
              <w:t>3.1</w:t>
            </w:r>
          </w:p>
        </w:tc>
      </w:tr>
    </w:tbl>
    <w:p w14:paraId="41305901">
      <w:pPr>
        <w:pStyle w:val="4"/>
        <w:spacing w:line="175" w:lineRule="exact"/>
        <w:ind w:left="373"/>
        <w:rPr>
          <w:sz w:val="15"/>
          <w:szCs w:val="15"/>
        </w:rPr>
      </w:pPr>
      <w:r>
        <w:rPr>
          <w:i/>
          <w:iCs/>
          <w:color w:val="333333"/>
          <w:spacing w:val="-6"/>
          <w:w w:val="93"/>
          <w:position w:val="1"/>
          <w:sz w:val="15"/>
          <w:szCs w:val="15"/>
        </w:rPr>
        <w:t>f</w:t>
      </w:r>
      <w:r>
        <w:rPr>
          <w:i/>
          <w:iCs/>
          <w:color w:val="333333"/>
          <w:spacing w:val="-17"/>
          <w:position w:val="1"/>
          <w:sz w:val="15"/>
          <w:szCs w:val="15"/>
        </w:rPr>
        <w:t xml:space="preserve"> </w:t>
      </w:r>
      <w:r>
        <w:rPr>
          <w:i/>
          <w:iCs/>
          <w:color w:val="333333"/>
          <w:spacing w:val="-6"/>
          <w:w w:val="93"/>
          <w:position w:val="1"/>
          <w:sz w:val="15"/>
          <w:szCs w:val="15"/>
        </w:rPr>
        <w:t>= BMI</w:t>
      </w:r>
      <w:r>
        <w:rPr>
          <w:i/>
          <w:iCs/>
          <w:color w:val="333333"/>
          <w:spacing w:val="-8"/>
          <w:position w:val="1"/>
          <w:sz w:val="15"/>
          <w:szCs w:val="15"/>
        </w:rPr>
        <w:t xml:space="preserve"> </w:t>
      </w:r>
      <w:r>
        <w:rPr>
          <w:i/>
          <w:iCs/>
          <w:color w:val="333333"/>
          <w:spacing w:val="-6"/>
          <w:w w:val="93"/>
          <w:position w:val="1"/>
          <w:sz w:val="15"/>
          <w:szCs w:val="15"/>
        </w:rPr>
        <w:t>forecast. Source: EIA, national</w:t>
      </w:r>
      <w:r>
        <w:rPr>
          <w:i/>
          <w:iCs/>
          <w:color w:val="333333"/>
          <w:spacing w:val="-14"/>
          <w:position w:val="1"/>
          <w:sz w:val="15"/>
          <w:szCs w:val="15"/>
        </w:rPr>
        <w:t xml:space="preserve"> </w:t>
      </w:r>
      <w:r>
        <w:rPr>
          <w:i/>
          <w:iCs/>
          <w:color w:val="333333"/>
          <w:spacing w:val="-6"/>
          <w:w w:val="93"/>
          <w:position w:val="1"/>
          <w:sz w:val="15"/>
          <w:szCs w:val="15"/>
        </w:rPr>
        <w:t>sources, BMI</w:t>
      </w:r>
    </w:p>
    <w:p w14:paraId="72DCF908">
      <w:pPr>
        <w:spacing w:line="175" w:lineRule="exact"/>
        <w:rPr>
          <w:sz w:val="15"/>
          <w:szCs w:val="15"/>
        </w:rPr>
        <w:sectPr>
          <w:footerReference r:id="rId41" w:type="default"/>
          <w:pgSz w:w="11906" w:h="16838"/>
          <w:pgMar w:top="400" w:right="490" w:bottom="883" w:left="490" w:header="0" w:footer="0" w:gutter="0"/>
          <w:cols w:space="720" w:num="1"/>
        </w:sectPr>
      </w:pPr>
    </w:p>
    <w:p w14:paraId="10903C5E">
      <w:pPr>
        <w:pStyle w:val="4"/>
        <w:spacing w:before="73" w:line="241" w:lineRule="auto"/>
        <w:ind w:left="7372"/>
        <w:rPr>
          <w:sz w:val="20"/>
          <w:szCs w:val="20"/>
        </w:rPr>
      </w:pPr>
      <w:r>
        <w:drawing>
          <wp:anchor distT="0" distB="0" distL="0" distR="0" simplePos="0" relativeHeight="25182105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22080" behindDoc="0" locked="0" layoutInCell="0" allowOverlap="1">
            <wp:simplePos x="0" y="0"/>
            <wp:positionH relativeFrom="page">
              <wp:posOffset>311150</wp:posOffset>
            </wp:positionH>
            <wp:positionV relativeFrom="page">
              <wp:posOffset>0</wp:posOffset>
            </wp:positionV>
            <wp:extent cx="19050" cy="814070"/>
            <wp:effectExtent l="0" t="0" r="0" b="0"/>
            <wp:wrapNone/>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07C47D1">
      <w:pPr>
        <w:pStyle w:val="4"/>
        <w:spacing w:line="278" w:lineRule="auto"/>
      </w:pPr>
    </w:p>
    <w:p w14:paraId="7967994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847E30F">
      <w:pPr>
        <w:pStyle w:val="4"/>
        <w:spacing w:line="270" w:lineRule="auto"/>
      </w:pPr>
    </w:p>
    <w:p w14:paraId="445115B1">
      <w:pPr>
        <w:pStyle w:val="4"/>
        <w:spacing w:line="271" w:lineRule="auto"/>
      </w:pPr>
    </w:p>
    <w:p w14:paraId="2EFA473D">
      <w:pPr>
        <w:pStyle w:val="4"/>
        <w:spacing w:line="271" w:lineRule="auto"/>
      </w:pPr>
    </w:p>
    <w:p w14:paraId="44EB837A">
      <w:pPr>
        <w:pStyle w:val="4"/>
        <w:spacing w:before="69" w:line="324" w:lineRule="exact"/>
        <w:ind w:left="378"/>
        <w:outlineLvl w:val="2"/>
        <w:rPr>
          <w:sz w:val="24"/>
          <w:szCs w:val="24"/>
        </w:rPr>
      </w:pPr>
      <w:r>
        <w:rPr>
          <w:b/>
          <w:bCs/>
          <w:color w:val="174174"/>
          <w:spacing w:val="-13"/>
          <w:position w:val="1"/>
          <w:sz w:val="24"/>
          <w:szCs w:val="24"/>
        </w:rPr>
        <w:t>Refined Fuels</w:t>
      </w:r>
      <w:r>
        <w:rPr>
          <w:b/>
          <w:bCs/>
          <w:color w:val="174174"/>
          <w:spacing w:val="-15"/>
          <w:position w:val="1"/>
          <w:sz w:val="24"/>
          <w:szCs w:val="24"/>
        </w:rPr>
        <w:t xml:space="preserve"> </w:t>
      </w:r>
      <w:r>
        <w:rPr>
          <w:b/>
          <w:bCs/>
          <w:color w:val="174174"/>
          <w:spacing w:val="-13"/>
          <w:position w:val="1"/>
          <w:sz w:val="24"/>
          <w:szCs w:val="24"/>
        </w:rPr>
        <w:t>Trade Forecast</w:t>
      </w:r>
    </w:p>
    <w:p w14:paraId="0C14242B">
      <w:pPr>
        <w:pStyle w:val="4"/>
        <w:spacing w:line="342" w:lineRule="auto"/>
      </w:pPr>
    </w:p>
    <w:p w14:paraId="3342560E">
      <w:pPr>
        <w:pStyle w:val="4"/>
        <w:spacing w:before="69" w:line="182" w:lineRule="auto"/>
        <w:ind w:left="378"/>
        <w:outlineLvl w:val="2"/>
        <w:rPr>
          <w:sz w:val="24"/>
          <w:szCs w:val="24"/>
        </w:rPr>
      </w:pPr>
      <w:r>
        <w:rPr>
          <w:b/>
          <w:bCs/>
          <w:color w:val="174174"/>
          <w:spacing w:val="-9"/>
          <w:sz w:val="24"/>
          <w:szCs w:val="24"/>
        </w:rPr>
        <w:t>Latest Updates</w:t>
      </w:r>
    </w:p>
    <w:p w14:paraId="7BB51604">
      <w:pPr>
        <w:pStyle w:val="4"/>
        <w:spacing w:line="356" w:lineRule="auto"/>
      </w:pPr>
    </w:p>
    <w:p w14:paraId="15D8D057">
      <w:pPr>
        <w:pStyle w:val="4"/>
        <w:spacing w:before="58" w:line="262" w:lineRule="auto"/>
        <w:ind w:left="613" w:right="590" w:hanging="256"/>
        <w:rPr>
          <w:sz w:val="20"/>
          <w:szCs w:val="20"/>
        </w:rPr>
      </w:pPr>
      <w:r>
        <w:rPr>
          <w:color w:val="33CCFF"/>
          <w:spacing w:val="-10"/>
          <w:sz w:val="20"/>
          <w:szCs w:val="20"/>
        </w:rPr>
        <w:t xml:space="preserve">•   </w:t>
      </w:r>
      <w:r>
        <w:rPr>
          <w:color w:val="57585A"/>
          <w:spacing w:val="-10"/>
          <w:sz w:val="20"/>
          <w:szCs w:val="20"/>
        </w:rPr>
        <w:t>In 2025,</w:t>
      </w:r>
      <w:r>
        <w:rPr>
          <w:color w:val="57585A"/>
          <w:spacing w:val="-15"/>
          <w:sz w:val="20"/>
          <w:szCs w:val="20"/>
        </w:rPr>
        <w:t xml:space="preserve"> </w:t>
      </w:r>
      <w:r>
        <w:rPr>
          <w:color w:val="57585A"/>
          <w:spacing w:val="-10"/>
          <w:sz w:val="20"/>
          <w:szCs w:val="20"/>
        </w:rPr>
        <w:t>Argentina</w:t>
      </w:r>
      <w:r>
        <w:rPr>
          <w:color w:val="57585A"/>
          <w:spacing w:val="-15"/>
          <w:sz w:val="20"/>
          <w:szCs w:val="20"/>
        </w:rPr>
        <w:t xml:space="preserve"> </w:t>
      </w:r>
      <w:r>
        <w:rPr>
          <w:color w:val="57585A"/>
          <w:spacing w:val="-10"/>
          <w:sz w:val="20"/>
          <w:szCs w:val="20"/>
        </w:rPr>
        <w:t>will see net fuel import requirements increase to 212,000b/d compared to levels of 197,000b/d in 2024, as</w:t>
      </w:r>
      <w:r>
        <w:rPr>
          <w:color w:val="57585A"/>
          <w:sz w:val="20"/>
          <w:szCs w:val="20"/>
        </w:rPr>
        <w:t xml:space="preserve"> </w:t>
      </w:r>
      <w:r>
        <w:rPr>
          <w:color w:val="57585A"/>
          <w:spacing w:val="-10"/>
          <w:sz w:val="20"/>
          <w:szCs w:val="20"/>
        </w:rPr>
        <w:t xml:space="preserve">domestic demand picks up </w:t>
      </w:r>
      <w:r>
        <w:rPr>
          <w:color w:val="57585A"/>
          <w:spacing w:val="-11"/>
          <w:sz w:val="20"/>
          <w:szCs w:val="20"/>
        </w:rPr>
        <w:t>and refining output increases only marginally.</w:t>
      </w:r>
    </w:p>
    <w:p w14:paraId="726C014B">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Given our forecasts for a progressive strengthening of</w:t>
      </w:r>
      <w:r>
        <w:rPr>
          <w:color w:val="57585A"/>
          <w:spacing w:val="-22"/>
          <w:sz w:val="20"/>
          <w:szCs w:val="20"/>
        </w:rPr>
        <w:t xml:space="preserve"> </w:t>
      </w:r>
      <w:r>
        <w:rPr>
          <w:color w:val="57585A"/>
          <w:spacing w:val="-11"/>
          <w:sz w:val="20"/>
          <w:szCs w:val="20"/>
        </w:rPr>
        <w:t>fuels demand from 2025 onwards as the economy recovers a</w:t>
      </w:r>
      <w:r>
        <w:rPr>
          <w:color w:val="57585A"/>
          <w:spacing w:val="-12"/>
          <w:sz w:val="20"/>
          <w:szCs w:val="20"/>
        </w:rPr>
        <w:t>nd as the</w:t>
      </w:r>
    </w:p>
    <w:p w14:paraId="077D5143">
      <w:pPr>
        <w:pStyle w:val="4"/>
        <w:spacing w:before="56" w:line="262" w:lineRule="auto"/>
        <w:ind w:left="610" w:right="413" w:hanging="6"/>
        <w:rPr>
          <w:sz w:val="20"/>
          <w:szCs w:val="20"/>
        </w:rPr>
      </w:pPr>
      <w:r>
        <w:rPr>
          <w:color w:val="57585A"/>
          <w:spacing w:val="-10"/>
          <w:sz w:val="20"/>
          <w:szCs w:val="20"/>
        </w:rPr>
        <w:t>vehicle fleet return tor growth,</w:t>
      </w:r>
      <w:r>
        <w:rPr>
          <w:color w:val="57585A"/>
          <w:spacing w:val="-1"/>
          <w:sz w:val="20"/>
          <w:szCs w:val="20"/>
        </w:rPr>
        <w:t xml:space="preserve"> </w:t>
      </w:r>
      <w:r>
        <w:rPr>
          <w:color w:val="57585A"/>
          <w:spacing w:val="-10"/>
          <w:sz w:val="20"/>
          <w:szCs w:val="20"/>
        </w:rPr>
        <w:t>we believe</w:t>
      </w:r>
      <w:r>
        <w:rPr>
          <w:color w:val="57585A"/>
          <w:spacing w:val="-16"/>
          <w:sz w:val="20"/>
          <w:szCs w:val="20"/>
        </w:rPr>
        <w:t xml:space="preserve"> </w:t>
      </w:r>
      <w:r>
        <w:rPr>
          <w:color w:val="57585A"/>
          <w:spacing w:val="-10"/>
          <w:sz w:val="20"/>
          <w:szCs w:val="20"/>
        </w:rPr>
        <w:t>Argentina</w:t>
      </w:r>
      <w:r>
        <w:rPr>
          <w:color w:val="57585A"/>
          <w:spacing w:val="-15"/>
          <w:sz w:val="20"/>
          <w:szCs w:val="20"/>
        </w:rPr>
        <w:t xml:space="preserve"> </w:t>
      </w:r>
      <w:r>
        <w:rPr>
          <w:color w:val="57585A"/>
          <w:spacing w:val="-10"/>
          <w:sz w:val="20"/>
          <w:szCs w:val="20"/>
        </w:rPr>
        <w:t>will see rising net fuels import requirements throughout the forecast period,</w:t>
      </w:r>
      <w:r>
        <w:rPr>
          <w:color w:val="57585A"/>
          <w:sz w:val="20"/>
          <w:szCs w:val="20"/>
        </w:rPr>
        <w:t xml:space="preserve"> </w:t>
      </w:r>
      <w:r>
        <w:rPr>
          <w:color w:val="57585A"/>
          <w:spacing w:val="-11"/>
          <w:sz w:val="20"/>
          <w:szCs w:val="20"/>
        </w:rPr>
        <w:t>set to reach levels of 246,000b/d by 2034.</w:t>
      </w:r>
    </w:p>
    <w:p w14:paraId="79CAC376">
      <w:pPr>
        <w:pStyle w:val="4"/>
        <w:spacing w:line="314" w:lineRule="auto"/>
      </w:pPr>
    </w:p>
    <w:p w14:paraId="0E20F42F">
      <w:pPr>
        <w:pStyle w:val="4"/>
        <w:spacing w:line="314" w:lineRule="auto"/>
      </w:pPr>
    </w:p>
    <w:p w14:paraId="4995832F">
      <w:pPr>
        <w:pStyle w:val="4"/>
        <w:spacing w:before="70" w:line="324"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2A82C1E1">
      <w:pPr>
        <w:pStyle w:val="4"/>
        <w:spacing w:line="299" w:lineRule="auto"/>
      </w:pPr>
    </w:p>
    <w:p w14:paraId="26DA21FC">
      <w:pPr>
        <w:pStyle w:val="4"/>
        <w:spacing w:before="58" w:line="283" w:lineRule="auto"/>
        <w:ind w:left="362" w:right="382" w:hanging="3"/>
        <w:rPr>
          <w:sz w:val="20"/>
          <w:szCs w:val="20"/>
        </w:rPr>
      </w:pPr>
      <w:r>
        <w:rPr>
          <w:color w:val="57585A"/>
          <w:spacing w:val="-10"/>
          <w:sz w:val="20"/>
          <w:szCs w:val="20"/>
        </w:rPr>
        <w:t>Argentina is a mid-scale net fuels importer, as domesti</w:t>
      </w:r>
      <w:r>
        <w:rPr>
          <w:color w:val="57585A"/>
          <w:spacing w:val="-11"/>
          <w:sz w:val="20"/>
          <w:szCs w:val="20"/>
        </w:rPr>
        <w:t>c fuels production in insufficient to meet domestic demand, and this despite</w:t>
      </w:r>
      <w:r>
        <w:rPr>
          <w:color w:val="57585A"/>
          <w:sz w:val="20"/>
          <w:szCs w:val="20"/>
        </w:rPr>
        <w:t xml:space="preserve">  </w:t>
      </w:r>
      <w:r>
        <w:rPr>
          <w:color w:val="57585A"/>
          <w:spacing w:val="-11"/>
          <w:sz w:val="20"/>
          <w:szCs w:val="20"/>
        </w:rPr>
        <w:t>the decrease in fuels demand in recent</w:t>
      </w:r>
      <w:r>
        <w:rPr>
          <w:color w:val="57585A"/>
          <w:spacing w:val="-16"/>
          <w:sz w:val="20"/>
          <w:szCs w:val="20"/>
        </w:rPr>
        <w:t xml:space="preserve"> </w:t>
      </w:r>
      <w:r>
        <w:rPr>
          <w:color w:val="57585A"/>
          <w:spacing w:val="-11"/>
          <w:sz w:val="20"/>
          <w:szCs w:val="20"/>
        </w:rPr>
        <w:t>years linked to</w:t>
      </w:r>
      <w:r>
        <w:rPr>
          <w:color w:val="57585A"/>
          <w:spacing w:val="-15"/>
          <w:sz w:val="20"/>
          <w:szCs w:val="20"/>
        </w:rPr>
        <w:t xml:space="preserve"> </w:t>
      </w:r>
      <w:r>
        <w:rPr>
          <w:color w:val="57585A"/>
          <w:spacing w:val="-11"/>
          <w:sz w:val="20"/>
          <w:szCs w:val="20"/>
        </w:rPr>
        <w:t>weak e</w:t>
      </w:r>
      <w:r>
        <w:rPr>
          <w:color w:val="57585A"/>
          <w:spacing w:val="-12"/>
          <w:sz w:val="20"/>
          <w:szCs w:val="20"/>
        </w:rPr>
        <w:t>conomic activity. In 2024, fuels oil exports bound to Paraguay made</w:t>
      </w:r>
      <w:r>
        <w:rPr>
          <w:color w:val="57585A"/>
          <w:sz w:val="20"/>
          <w:szCs w:val="20"/>
        </w:rPr>
        <w:t xml:space="preserve">  </w:t>
      </w:r>
      <w:r>
        <w:rPr>
          <w:color w:val="57585A"/>
          <w:spacing w:val="-13"/>
          <w:sz w:val="20"/>
          <w:szCs w:val="20"/>
        </w:rPr>
        <w:t>up 41.7% of</w:t>
      </w:r>
      <w:r>
        <w:rPr>
          <w:color w:val="57585A"/>
          <w:spacing w:val="-25"/>
          <w:sz w:val="20"/>
          <w:szCs w:val="20"/>
        </w:rPr>
        <w:t xml:space="preserve"> </w:t>
      </w:r>
      <w:r>
        <w:rPr>
          <w:color w:val="57585A"/>
          <w:spacing w:val="-13"/>
          <w:sz w:val="20"/>
          <w:szCs w:val="20"/>
        </w:rPr>
        <w:t>Argentina's fuels exports,</w:t>
      </w:r>
      <w:r>
        <w:rPr>
          <w:color w:val="57585A"/>
          <w:spacing w:val="-12"/>
          <w:sz w:val="20"/>
          <w:szCs w:val="20"/>
        </w:rPr>
        <w:t xml:space="preserve"> </w:t>
      </w:r>
      <w:r>
        <w:rPr>
          <w:color w:val="57585A"/>
          <w:spacing w:val="-13"/>
          <w:sz w:val="20"/>
          <w:szCs w:val="20"/>
        </w:rPr>
        <w:t>followed by the United States (34.2%), Uruguay (8.6%), C</w:t>
      </w:r>
      <w:r>
        <w:rPr>
          <w:color w:val="57585A"/>
          <w:spacing w:val="-14"/>
          <w:sz w:val="20"/>
          <w:szCs w:val="20"/>
        </w:rPr>
        <w:t>hile (2.6%) and Brazil (3.0%), amongst</w:t>
      </w:r>
      <w:r>
        <w:rPr>
          <w:color w:val="57585A"/>
          <w:sz w:val="20"/>
          <w:szCs w:val="20"/>
        </w:rPr>
        <w:t xml:space="preserve"> </w:t>
      </w:r>
      <w:r>
        <w:rPr>
          <w:color w:val="57585A"/>
          <w:spacing w:val="-11"/>
          <w:sz w:val="20"/>
          <w:szCs w:val="20"/>
        </w:rPr>
        <w:t>other smaller export destinations. Net fuels import</w:t>
      </w:r>
      <w:r>
        <w:rPr>
          <w:color w:val="57585A"/>
          <w:spacing w:val="-12"/>
          <w:sz w:val="20"/>
          <w:szCs w:val="20"/>
        </w:rPr>
        <w:t>s into</w:t>
      </w:r>
      <w:r>
        <w:rPr>
          <w:color w:val="57585A"/>
          <w:spacing w:val="-16"/>
          <w:sz w:val="20"/>
          <w:szCs w:val="20"/>
        </w:rPr>
        <w:t xml:space="preserve"> </w:t>
      </w:r>
      <w:r>
        <w:rPr>
          <w:color w:val="57585A"/>
          <w:spacing w:val="-12"/>
          <w:sz w:val="20"/>
          <w:szCs w:val="20"/>
        </w:rPr>
        <w:t>Argentina mostly came from the United States (30.5%), the UAE (18.2%),</w:t>
      </w:r>
    </w:p>
    <w:p w14:paraId="7D39A263">
      <w:pPr>
        <w:pStyle w:val="4"/>
        <w:spacing w:before="37" w:line="231" w:lineRule="auto"/>
        <w:ind w:left="376"/>
        <w:rPr>
          <w:sz w:val="20"/>
          <w:szCs w:val="20"/>
        </w:rPr>
      </w:pPr>
      <w:r>
        <w:rPr>
          <w:color w:val="57585A"/>
          <w:spacing w:val="-15"/>
          <w:sz w:val="20"/>
          <w:szCs w:val="20"/>
        </w:rPr>
        <w:t>Belgium (7.7%), India (6.4%) and Brazil (5.4%).</w:t>
      </w:r>
    </w:p>
    <w:p w14:paraId="4764296E">
      <w:pPr>
        <w:pStyle w:val="4"/>
        <w:spacing w:line="305" w:lineRule="auto"/>
      </w:pPr>
    </w:p>
    <w:p w14:paraId="048058B7">
      <w:pPr>
        <w:pStyle w:val="4"/>
        <w:spacing w:line="306" w:lineRule="auto"/>
      </w:pPr>
    </w:p>
    <w:p w14:paraId="27DC0C62">
      <w:pPr>
        <w:pStyle w:val="4"/>
        <w:spacing w:before="70" w:line="234" w:lineRule="auto"/>
        <w:ind w:left="2951"/>
        <w:outlineLvl w:val="1"/>
        <w:rPr>
          <w:sz w:val="24"/>
          <w:szCs w:val="24"/>
        </w:rPr>
      </w:pPr>
      <w:r>
        <w:rPr>
          <w:color w:val="174174"/>
          <w:spacing w:val="-12"/>
          <w:sz w:val="24"/>
          <w:szCs w:val="24"/>
        </w:rPr>
        <w:t>Demand Recovery Translates to Higher Fuel Imports</w:t>
      </w:r>
    </w:p>
    <w:p w14:paraId="54382465">
      <w:pPr>
        <w:pStyle w:val="4"/>
        <w:spacing w:before="33" w:line="231" w:lineRule="auto"/>
        <w:ind w:left="3009"/>
        <w:outlineLvl w:val="1"/>
        <w:rPr>
          <w:sz w:val="20"/>
          <w:szCs w:val="20"/>
        </w:rPr>
      </w:pPr>
      <w:r>
        <w:rPr>
          <w:color w:val="333333"/>
          <w:spacing w:val="-12"/>
          <w:sz w:val="20"/>
          <w:szCs w:val="20"/>
        </w:rPr>
        <w:t>Argentina - Refined Products Net Exports Forecast (2023-</w:t>
      </w:r>
      <w:r>
        <w:rPr>
          <w:color w:val="333333"/>
          <w:spacing w:val="-13"/>
          <w:sz w:val="20"/>
          <w:szCs w:val="20"/>
        </w:rPr>
        <w:t>2034)</w:t>
      </w:r>
    </w:p>
    <w:p w14:paraId="150761D3">
      <w:pPr>
        <w:spacing w:before="96" w:line="4500" w:lineRule="exact"/>
        <w:ind w:firstLine="1862"/>
      </w:pPr>
      <w:r>
        <w:rPr>
          <w:position w:val="-89"/>
        </w:rPr>
        <w:drawing>
          <wp:inline distT="0" distB="0" distL="0" distR="0">
            <wp:extent cx="4572000" cy="2856865"/>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29"/>
                    <a:stretch>
                      <a:fillRect/>
                    </a:stretch>
                  </pic:blipFill>
                  <pic:spPr>
                    <a:xfrm>
                      <a:off x="0" y="0"/>
                      <a:ext cx="4572000" cy="2857499"/>
                    </a:xfrm>
                    <a:prstGeom prst="rect">
                      <a:avLst/>
                    </a:prstGeom>
                  </pic:spPr>
                </pic:pic>
              </a:graphicData>
            </a:graphic>
          </wp:inline>
        </w:drawing>
      </w:r>
    </w:p>
    <w:p w14:paraId="7AF925FF">
      <w:pPr>
        <w:pStyle w:val="4"/>
        <w:spacing w:before="149" w:line="177" w:lineRule="exact"/>
        <w:ind w:left="1876"/>
        <w:rPr>
          <w:sz w:val="15"/>
          <w:szCs w:val="15"/>
        </w:rPr>
      </w:pPr>
      <w:r>
        <w:drawing>
          <wp:anchor distT="0" distB="0" distL="0" distR="0" simplePos="0" relativeHeight="25182003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44FA3BFB">
      <w:pPr>
        <w:pStyle w:val="4"/>
        <w:spacing w:line="358" w:lineRule="auto"/>
      </w:pPr>
    </w:p>
    <w:p w14:paraId="71D4D144">
      <w:pPr>
        <w:pStyle w:val="4"/>
        <w:spacing w:before="58" w:line="231" w:lineRule="auto"/>
        <w:ind w:left="369"/>
        <w:rPr>
          <w:sz w:val="20"/>
          <w:szCs w:val="20"/>
        </w:rPr>
      </w:pPr>
      <w:r>
        <w:rPr>
          <w:color w:val="57585A"/>
          <w:spacing w:val="-11"/>
          <w:sz w:val="20"/>
          <w:szCs w:val="20"/>
        </w:rPr>
        <w:t>Given our forecasts for a progressive strengt</w:t>
      </w:r>
      <w:r>
        <w:rPr>
          <w:color w:val="57585A"/>
          <w:spacing w:val="-12"/>
          <w:sz w:val="20"/>
          <w:szCs w:val="20"/>
        </w:rPr>
        <w:t>hening of</w:t>
      </w:r>
      <w:r>
        <w:rPr>
          <w:color w:val="57585A"/>
          <w:spacing w:val="-21"/>
          <w:sz w:val="20"/>
          <w:szCs w:val="20"/>
        </w:rPr>
        <w:t xml:space="preserve"> </w:t>
      </w:r>
      <w:r>
        <w:rPr>
          <w:color w:val="57585A"/>
          <w:spacing w:val="-12"/>
          <w:sz w:val="20"/>
          <w:szCs w:val="20"/>
        </w:rPr>
        <w:t>fuels demand from 2025 onwards as the economy recovers and as the</w:t>
      </w:r>
    </w:p>
    <w:p w14:paraId="5CE4F5A2">
      <w:pPr>
        <w:pStyle w:val="4"/>
        <w:spacing w:before="59" w:line="273" w:lineRule="auto"/>
        <w:ind w:left="362" w:right="384" w:hanging="3"/>
        <w:rPr>
          <w:sz w:val="20"/>
          <w:szCs w:val="20"/>
        </w:rPr>
      </w:pPr>
      <w:r>
        <w:rPr>
          <w:color w:val="57585A"/>
          <w:spacing w:val="-10"/>
          <w:sz w:val="20"/>
          <w:szCs w:val="20"/>
        </w:rPr>
        <w:t>vehicle fleet return tor growth,</w:t>
      </w:r>
      <w:r>
        <w:rPr>
          <w:color w:val="57585A"/>
          <w:spacing w:val="-9"/>
          <w:sz w:val="20"/>
          <w:szCs w:val="20"/>
        </w:rPr>
        <w:t xml:space="preserve"> </w:t>
      </w:r>
      <w:r>
        <w:rPr>
          <w:color w:val="57585A"/>
          <w:spacing w:val="-10"/>
          <w:sz w:val="20"/>
          <w:szCs w:val="20"/>
        </w:rPr>
        <w:t>we believe</w:t>
      </w:r>
      <w:r>
        <w:rPr>
          <w:color w:val="57585A"/>
          <w:spacing w:val="-16"/>
          <w:sz w:val="20"/>
          <w:szCs w:val="20"/>
        </w:rPr>
        <w:t xml:space="preserve"> </w:t>
      </w:r>
      <w:r>
        <w:rPr>
          <w:color w:val="57585A"/>
          <w:spacing w:val="-10"/>
          <w:sz w:val="20"/>
          <w:szCs w:val="20"/>
        </w:rPr>
        <w:t>Argentina</w:t>
      </w:r>
      <w:r>
        <w:rPr>
          <w:color w:val="57585A"/>
          <w:spacing w:val="-15"/>
          <w:sz w:val="20"/>
          <w:szCs w:val="20"/>
        </w:rPr>
        <w:t xml:space="preserve"> </w:t>
      </w:r>
      <w:r>
        <w:rPr>
          <w:color w:val="57585A"/>
          <w:spacing w:val="-10"/>
          <w:sz w:val="20"/>
          <w:szCs w:val="20"/>
        </w:rPr>
        <w:t>will see rising net fuels import requirements throughout the forecast period, set</w:t>
      </w:r>
      <w:r>
        <w:rPr>
          <w:color w:val="57585A"/>
          <w:sz w:val="20"/>
          <w:szCs w:val="20"/>
        </w:rPr>
        <w:t xml:space="preserve"> </w:t>
      </w:r>
      <w:r>
        <w:rPr>
          <w:color w:val="57585A"/>
          <w:spacing w:val="-10"/>
          <w:sz w:val="20"/>
          <w:szCs w:val="20"/>
        </w:rPr>
        <w:t>to reach levels of 24</w:t>
      </w:r>
      <w:r>
        <w:rPr>
          <w:color w:val="57585A"/>
          <w:spacing w:val="-11"/>
          <w:sz w:val="20"/>
          <w:szCs w:val="20"/>
        </w:rPr>
        <w:t>6,000b/d by 2034.</w:t>
      </w:r>
    </w:p>
    <w:p w14:paraId="17DC9C22">
      <w:pPr>
        <w:spacing w:line="273" w:lineRule="auto"/>
        <w:rPr>
          <w:sz w:val="20"/>
          <w:szCs w:val="20"/>
        </w:rPr>
        <w:sectPr>
          <w:footerReference r:id="rId42" w:type="default"/>
          <w:pgSz w:w="11906" w:h="16838"/>
          <w:pgMar w:top="400" w:right="490" w:bottom="883" w:left="490" w:header="0" w:footer="0" w:gutter="0"/>
          <w:cols w:space="720" w:num="1"/>
        </w:sectPr>
      </w:pPr>
    </w:p>
    <w:p w14:paraId="5F34D2E2">
      <w:pPr>
        <w:pStyle w:val="4"/>
        <w:spacing w:before="73" w:line="241" w:lineRule="auto"/>
        <w:ind w:left="7372"/>
        <w:rPr>
          <w:sz w:val="20"/>
          <w:szCs w:val="20"/>
        </w:rPr>
      </w:pPr>
      <w:r>
        <w:drawing>
          <wp:anchor distT="0" distB="0" distL="0" distR="0" simplePos="0" relativeHeight="25182515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26176" behindDoc="0" locked="0" layoutInCell="0" allowOverlap="1">
            <wp:simplePos x="0" y="0"/>
            <wp:positionH relativeFrom="page">
              <wp:posOffset>311150</wp:posOffset>
            </wp:positionH>
            <wp:positionV relativeFrom="page">
              <wp:posOffset>0</wp:posOffset>
            </wp:positionV>
            <wp:extent cx="19050" cy="814070"/>
            <wp:effectExtent l="0" t="0" r="0" b="0"/>
            <wp:wrapNone/>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F97673F">
      <w:pPr>
        <w:pStyle w:val="4"/>
        <w:spacing w:line="278" w:lineRule="auto"/>
      </w:pPr>
    </w:p>
    <w:p w14:paraId="149E3087">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D48E047">
      <w:pPr>
        <w:pStyle w:val="4"/>
      </w:pPr>
    </w:p>
    <w:p w14:paraId="0C1287E5">
      <w:pPr>
        <w:pStyle w:val="4"/>
      </w:pPr>
    </w:p>
    <w:p w14:paraId="21BBAB3C">
      <w:pPr>
        <w:pStyle w:val="4"/>
        <w:spacing w:before="69" w:line="234" w:lineRule="auto"/>
        <w:ind w:left="427"/>
        <w:outlineLvl w:val="1"/>
        <w:rPr>
          <w:sz w:val="24"/>
          <w:szCs w:val="24"/>
        </w:rPr>
      </w:pPr>
      <w:r>
        <w:rPr>
          <w:color w:val="174174"/>
          <w:spacing w:val="-10"/>
          <w:sz w:val="24"/>
          <w:szCs w:val="24"/>
        </w:rPr>
        <w:t>Refined Fuels Net Expor</w:t>
      </w:r>
      <w:r>
        <w:rPr>
          <w:color w:val="174174"/>
          <w:spacing w:val="-11"/>
          <w:sz w:val="24"/>
          <w:szCs w:val="24"/>
        </w:rPr>
        <w:t>ts (Argentina 2023-2028)</w:t>
      </w:r>
    </w:p>
    <w:p w14:paraId="70E14563">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313"/>
        <w:gridCol w:w="991"/>
        <w:gridCol w:w="982"/>
        <w:gridCol w:w="979"/>
        <w:gridCol w:w="980"/>
        <w:gridCol w:w="980"/>
        <w:gridCol w:w="979"/>
      </w:tblGrid>
      <w:tr w14:paraId="382E126F">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4313" w:type="dxa"/>
            <w:tcBorders>
              <w:left w:val="nil"/>
              <w:right w:val="single" w:color="D7DADB" w:sz="6" w:space="0"/>
            </w:tcBorders>
            <w:vAlign w:val="top"/>
          </w:tcPr>
          <w:p w14:paraId="112984F8">
            <w:pPr>
              <w:pStyle w:val="8"/>
              <w:spacing w:before="75" w:line="243" w:lineRule="exact"/>
              <w:ind w:left="13"/>
            </w:pPr>
            <w:r>
              <w:rPr>
                <w:b/>
                <w:bCs/>
                <w:color w:val="5F6A72"/>
                <w:spacing w:val="-6"/>
                <w:position w:val="1"/>
              </w:rPr>
              <w:t>Indicator</w:t>
            </w:r>
          </w:p>
        </w:tc>
        <w:tc>
          <w:tcPr>
            <w:tcW w:w="991" w:type="dxa"/>
            <w:tcBorders>
              <w:left w:val="single" w:color="D7DADB" w:sz="6" w:space="0"/>
              <w:right w:val="nil"/>
            </w:tcBorders>
            <w:vAlign w:val="top"/>
          </w:tcPr>
          <w:p w14:paraId="31ADCCA0">
            <w:pPr>
              <w:pStyle w:val="8"/>
              <w:spacing w:before="75" w:line="243" w:lineRule="exact"/>
              <w:ind w:left="525"/>
            </w:pPr>
            <w:r>
              <w:rPr>
                <w:b/>
                <w:bCs/>
                <w:color w:val="5F6A72"/>
                <w:spacing w:val="-4"/>
                <w:position w:val="1"/>
              </w:rPr>
              <w:t>2023</w:t>
            </w:r>
          </w:p>
        </w:tc>
        <w:tc>
          <w:tcPr>
            <w:tcW w:w="982" w:type="dxa"/>
            <w:tcBorders>
              <w:left w:val="nil"/>
              <w:right w:val="nil"/>
            </w:tcBorders>
            <w:vAlign w:val="top"/>
          </w:tcPr>
          <w:p w14:paraId="2BA7EE13">
            <w:pPr>
              <w:pStyle w:val="8"/>
              <w:spacing w:before="75" w:line="243" w:lineRule="exact"/>
              <w:ind w:left="432"/>
            </w:pPr>
            <w:r>
              <w:rPr>
                <w:b/>
                <w:bCs/>
                <w:color w:val="5F6A72"/>
                <w:spacing w:val="-4"/>
                <w:position w:val="1"/>
              </w:rPr>
              <w:t>2024e</w:t>
            </w:r>
          </w:p>
        </w:tc>
        <w:tc>
          <w:tcPr>
            <w:tcW w:w="979" w:type="dxa"/>
            <w:tcBorders>
              <w:left w:val="nil"/>
              <w:right w:val="nil"/>
            </w:tcBorders>
            <w:vAlign w:val="top"/>
          </w:tcPr>
          <w:p w14:paraId="6DD0E042">
            <w:pPr>
              <w:pStyle w:val="8"/>
              <w:spacing w:before="75" w:line="243" w:lineRule="exact"/>
              <w:ind w:left="464"/>
            </w:pPr>
            <w:r>
              <w:rPr>
                <w:b/>
                <w:bCs/>
                <w:color w:val="5F6A72"/>
                <w:spacing w:val="-1"/>
                <w:position w:val="1"/>
              </w:rPr>
              <w:t>2025f</w:t>
            </w:r>
          </w:p>
        </w:tc>
        <w:tc>
          <w:tcPr>
            <w:tcW w:w="980" w:type="dxa"/>
            <w:tcBorders>
              <w:left w:val="nil"/>
              <w:right w:val="nil"/>
            </w:tcBorders>
            <w:vAlign w:val="top"/>
          </w:tcPr>
          <w:p w14:paraId="679F4411">
            <w:pPr>
              <w:pStyle w:val="8"/>
              <w:spacing w:before="75" w:line="243" w:lineRule="exact"/>
              <w:ind w:left="464"/>
            </w:pPr>
            <w:r>
              <w:rPr>
                <w:b/>
                <w:bCs/>
                <w:color w:val="5F6A72"/>
                <w:spacing w:val="-1"/>
                <w:position w:val="1"/>
              </w:rPr>
              <w:t>2026f</w:t>
            </w:r>
          </w:p>
        </w:tc>
        <w:tc>
          <w:tcPr>
            <w:tcW w:w="980" w:type="dxa"/>
            <w:tcBorders>
              <w:left w:val="nil"/>
              <w:right w:val="nil"/>
            </w:tcBorders>
            <w:vAlign w:val="top"/>
          </w:tcPr>
          <w:p w14:paraId="1BDFB275">
            <w:pPr>
              <w:pStyle w:val="8"/>
              <w:spacing w:before="75" w:line="243" w:lineRule="exact"/>
              <w:ind w:left="463"/>
            </w:pPr>
            <w:r>
              <w:rPr>
                <w:b/>
                <w:bCs/>
                <w:color w:val="5F6A72"/>
                <w:spacing w:val="-1"/>
                <w:position w:val="1"/>
              </w:rPr>
              <w:t>2027f</w:t>
            </w:r>
          </w:p>
        </w:tc>
        <w:tc>
          <w:tcPr>
            <w:tcW w:w="979" w:type="dxa"/>
            <w:tcBorders>
              <w:left w:val="nil"/>
              <w:right w:val="nil"/>
            </w:tcBorders>
            <w:vAlign w:val="top"/>
          </w:tcPr>
          <w:p w14:paraId="605BA60D">
            <w:pPr>
              <w:pStyle w:val="8"/>
              <w:spacing w:before="75" w:line="243" w:lineRule="exact"/>
              <w:ind w:left="463"/>
            </w:pPr>
            <w:r>
              <w:rPr>
                <w:b/>
                <w:bCs/>
                <w:color w:val="5F6A72"/>
                <w:spacing w:val="-1"/>
                <w:position w:val="1"/>
              </w:rPr>
              <w:t>2028f</w:t>
            </w:r>
          </w:p>
        </w:tc>
      </w:tr>
      <w:tr w14:paraId="17676CE0">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313" w:type="dxa"/>
            <w:tcBorders>
              <w:left w:val="nil"/>
              <w:right w:val="single" w:color="D7DADB" w:sz="6" w:space="0"/>
            </w:tcBorders>
            <w:vAlign w:val="top"/>
          </w:tcPr>
          <w:p w14:paraId="2D7B5956">
            <w:pPr>
              <w:pStyle w:val="8"/>
              <w:spacing w:before="70" w:line="236" w:lineRule="auto"/>
              <w:ind w:left="18"/>
            </w:pPr>
            <w:r>
              <w:rPr>
                <w:color w:val="2A8ABF"/>
                <w:spacing w:val="-6"/>
              </w:rPr>
              <w:t>Refined products net exports,</w:t>
            </w:r>
            <w:r>
              <w:rPr>
                <w:color w:val="2A8ABF"/>
                <w:spacing w:val="4"/>
              </w:rPr>
              <w:t xml:space="preserve"> </w:t>
            </w:r>
            <w:r>
              <w:rPr>
                <w:color w:val="2A8ABF"/>
                <w:spacing w:val="-6"/>
              </w:rPr>
              <w:t>000b/d</w:t>
            </w:r>
          </w:p>
        </w:tc>
        <w:tc>
          <w:tcPr>
            <w:tcW w:w="991" w:type="dxa"/>
            <w:tcBorders>
              <w:left w:val="single" w:color="D7DADB" w:sz="6" w:space="0"/>
              <w:right w:val="nil"/>
            </w:tcBorders>
            <w:vAlign w:val="top"/>
          </w:tcPr>
          <w:p w14:paraId="3071E740">
            <w:pPr>
              <w:pStyle w:val="8"/>
              <w:spacing w:before="70" w:line="237" w:lineRule="exact"/>
              <w:ind w:left="438"/>
            </w:pPr>
            <w:r>
              <w:rPr>
                <w:color w:val="5F6A72"/>
                <w:spacing w:val="-6"/>
                <w:position w:val="1"/>
              </w:rPr>
              <w:t>-229.8</w:t>
            </w:r>
          </w:p>
        </w:tc>
        <w:tc>
          <w:tcPr>
            <w:tcW w:w="982" w:type="dxa"/>
            <w:tcBorders>
              <w:left w:val="nil"/>
              <w:right w:val="nil"/>
            </w:tcBorders>
            <w:vAlign w:val="top"/>
          </w:tcPr>
          <w:p w14:paraId="4D969F1D">
            <w:pPr>
              <w:pStyle w:val="8"/>
              <w:spacing w:before="70" w:line="237" w:lineRule="exact"/>
              <w:ind w:left="439"/>
            </w:pPr>
            <w:r>
              <w:rPr>
                <w:color w:val="5F6A72"/>
                <w:spacing w:val="-6"/>
                <w:position w:val="1"/>
              </w:rPr>
              <w:t>-196.6</w:t>
            </w:r>
          </w:p>
        </w:tc>
        <w:tc>
          <w:tcPr>
            <w:tcW w:w="979" w:type="dxa"/>
            <w:tcBorders>
              <w:left w:val="nil"/>
              <w:right w:val="nil"/>
            </w:tcBorders>
            <w:vAlign w:val="top"/>
          </w:tcPr>
          <w:p w14:paraId="728120B0">
            <w:pPr>
              <w:pStyle w:val="8"/>
              <w:spacing w:before="70" w:line="237" w:lineRule="exact"/>
              <w:ind w:left="437"/>
            </w:pPr>
            <w:r>
              <w:rPr>
                <w:color w:val="5F6A72"/>
                <w:spacing w:val="-6"/>
                <w:position w:val="1"/>
              </w:rPr>
              <w:t>-212.0</w:t>
            </w:r>
          </w:p>
        </w:tc>
        <w:tc>
          <w:tcPr>
            <w:tcW w:w="980" w:type="dxa"/>
            <w:tcBorders>
              <w:left w:val="nil"/>
              <w:right w:val="nil"/>
            </w:tcBorders>
            <w:vAlign w:val="top"/>
          </w:tcPr>
          <w:p w14:paraId="65A71F65">
            <w:pPr>
              <w:pStyle w:val="8"/>
              <w:spacing w:before="70" w:line="237" w:lineRule="exact"/>
              <w:ind w:left="437"/>
            </w:pPr>
            <w:r>
              <w:rPr>
                <w:color w:val="5F6A72"/>
                <w:spacing w:val="-6"/>
                <w:position w:val="1"/>
              </w:rPr>
              <w:t>-221.6</w:t>
            </w:r>
          </w:p>
        </w:tc>
        <w:tc>
          <w:tcPr>
            <w:tcW w:w="980" w:type="dxa"/>
            <w:tcBorders>
              <w:left w:val="nil"/>
              <w:right w:val="nil"/>
            </w:tcBorders>
            <w:vAlign w:val="top"/>
          </w:tcPr>
          <w:p w14:paraId="1B9A0DBD">
            <w:pPr>
              <w:pStyle w:val="8"/>
              <w:spacing w:before="70" w:line="237" w:lineRule="exact"/>
              <w:ind w:left="436"/>
            </w:pPr>
            <w:r>
              <w:rPr>
                <w:color w:val="5F6A72"/>
                <w:spacing w:val="-6"/>
                <w:position w:val="1"/>
              </w:rPr>
              <w:t>-228.7</w:t>
            </w:r>
          </w:p>
        </w:tc>
        <w:tc>
          <w:tcPr>
            <w:tcW w:w="979" w:type="dxa"/>
            <w:tcBorders>
              <w:left w:val="nil"/>
              <w:right w:val="nil"/>
            </w:tcBorders>
            <w:vAlign w:val="top"/>
          </w:tcPr>
          <w:p w14:paraId="32CDAE9C">
            <w:pPr>
              <w:pStyle w:val="8"/>
              <w:spacing w:before="70" w:line="237" w:lineRule="exact"/>
              <w:ind w:left="436"/>
            </w:pPr>
            <w:r>
              <w:rPr>
                <w:color w:val="5F6A72"/>
                <w:spacing w:val="-6"/>
                <w:position w:val="1"/>
              </w:rPr>
              <w:t>-234.1</w:t>
            </w:r>
          </w:p>
        </w:tc>
      </w:tr>
      <w:tr w14:paraId="281BC7AB">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313" w:type="dxa"/>
            <w:tcBorders>
              <w:left w:val="nil"/>
              <w:right w:val="single" w:color="D7DADB" w:sz="6" w:space="0"/>
            </w:tcBorders>
            <w:shd w:val="clear" w:color="auto" w:fill="EAF9FF"/>
            <w:vAlign w:val="top"/>
          </w:tcPr>
          <w:p w14:paraId="65B0BD9C">
            <w:pPr>
              <w:pStyle w:val="8"/>
              <w:spacing w:before="71" w:line="234" w:lineRule="auto"/>
              <w:ind w:left="18"/>
            </w:pPr>
            <w:r>
              <w:rPr>
                <w:color w:val="2A8ABF"/>
                <w:spacing w:val="-8"/>
              </w:rPr>
              <w:t>Refined products net exports,</w:t>
            </w:r>
            <w:r>
              <w:rPr>
                <w:color w:val="2A8ABF"/>
                <w:spacing w:val="5"/>
              </w:rPr>
              <w:t xml:space="preserve"> </w:t>
            </w:r>
            <w:r>
              <w:rPr>
                <w:color w:val="2A8ABF"/>
                <w:spacing w:val="-8"/>
              </w:rPr>
              <w:t>%</w:t>
            </w:r>
            <w:r>
              <w:rPr>
                <w:color w:val="2A8ABF"/>
                <w:spacing w:val="-18"/>
              </w:rPr>
              <w:t xml:space="preserve"> </w:t>
            </w:r>
            <w:r>
              <w:rPr>
                <w:color w:val="2A8ABF"/>
                <w:spacing w:val="-8"/>
              </w:rPr>
              <w:t>y-o-y</w:t>
            </w:r>
          </w:p>
        </w:tc>
        <w:tc>
          <w:tcPr>
            <w:tcW w:w="991" w:type="dxa"/>
            <w:tcBorders>
              <w:left w:val="single" w:color="D7DADB" w:sz="6" w:space="0"/>
              <w:right w:val="nil"/>
            </w:tcBorders>
            <w:shd w:val="clear" w:color="auto" w:fill="EAF9FF"/>
            <w:vAlign w:val="top"/>
          </w:tcPr>
          <w:p w14:paraId="54C57A4B">
            <w:pPr>
              <w:pStyle w:val="8"/>
              <w:spacing w:before="71" w:line="238" w:lineRule="exact"/>
              <w:ind w:left="535"/>
            </w:pPr>
            <w:r>
              <w:rPr>
                <w:color w:val="5F6A72"/>
                <w:spacing w:val="-6"/>
                <w:position w:val="1"/>
              </w:rPr>
              <w:t>-15.1</w:t>
            </w:r>
          </w:p>
        </w:tc>
        <w:tc>
          <w:tcPr>
            <w:tcW w:w="982" w:type="dxa"/>
            <w:tcBorders>
              <w:left w:val="nil"/>
              <w:right w:val="nil"/>
            </w:tcBorders>
            <w:shd w:val="clear" w:color="auto" w:fill="EAF9FF"/>
            <w:vAlign w:val="top"/>
          </w:tcPr>
          <w:p w14:paraId="01A55598">
            <w:pPr>
              <w:pStyle w:val="8"/>
              <w:spacing w:before="71" w:line="238" w:lineRule="exact"/>
              <w:ind w:left="537"/>
            </w:pPr>
            <w:r>
              <w:rPr>
                <w:color w:val="5F6A72"/>
                <w:spacing w:val="-6"/>
                <w:position w:val="1"/>
              </w:rPr>
              <w:t>-14.5</w:t>
            </w:r>
          </w:p>
        </w:tc>
        <w:tc>
          <w:tcPr>
            <w:tcW w:w="979" w:type="dxa"/>
            <w:tcBorders>
              <w:left w:val="nil"/>
              <w:right w:val="nil"/>
            </w:tcBorders>
            <w:shd w:val="clear" w:color="auto" w:fill="EAF9FF"/>
            <w:vAlign w:val="top"/>
          </w:tcPr>
          <w:p w14:paraId="5037AAD8">
            <w:pPr>
              <w:pStyle w:val="8"/>
              <w:spacing w:before="71" w:line="238" w:lineRule="exact"/>
              <w:ind w:left="685"/>
            </w:pPr>
            <w:r>
              <w:rPr>
                <w:color w:val="5F6A72"/>
                <w:spacing w:val="-6"/>
                <w:position w:val="1"/>
              </w:rPr>
              <w:t>7.9</w:t>
            </w:r>
          </w:p>
        </w:tc>
        <w:tc>
          <w:tcPr>
            <w:tcW w:w="980" w:type="dxa"/>
            <w:tcBorders>
              <w:left w:val="nil"/>
              <w:right w:val="nil"/>
            </w:tcBorders>
            <w:shd w:val="clear" w:color="auto" w:fill="EAF9FF"/>
            <w:vAlign w:val="top"/>
          </w:tcPr>
          <w:p w14:paraId="5D880079">
            <w:pPr>
              <w:pStyle w:val="8"/>
              <w:spacing w:before="71" w:line="238" w:lineRule="exact"/>
              <w:ind w:left="686"/>
            </w:pPr>
            <w:r>
              <w:rPr>
                <w:color w:val="5F6A72"/>
                <w:spacing w:val="-6"/>
                <w:position w:val="1"/>
              </w:rPr>
              <w:t>4.5</w:t>
            </w:r>
          </w:p>
        </w:tc>
        <w:tc>
          <w:tcPr>
            <w:tcW w:w="980" w:type="dxa"/>
            <w:tcBorders>
              <w:left w:val="nil"/>
              <w:right w:val="nil"/>
            </w:tcBorders>
            <w:shd w:val="clear" w:color="auto" w:fill="EAF9FF"/>
            <w:vAlign w:val="top"/>
          </w:tcPr>
          <w:p w14:paraId="47F24AA3">
            <w:pPr>
              <w:pStyle w:val="8"/>
              <w:spacing w:before="71" w:line="238" w:lineRule="exact"/>
              <w:ind w:left="685"/>
            </w:pPr>
            <w:r>
              <w:rPr>
                <w:color w:val="5F6A72"/>
                <w:spacing w:val="-6"/>
                <w:position w:val="1"/>
              </w:rPr>
              <w:t>3.2</w:t>
            </w:r>
          </w:p>
        </w:tc>
        <w:tc>
          <w:tcPr>
            <w:tcW w:w="979" w:type="dxa"/>
            <w:tcBorders>
              <w:left w:val="nil"/>
              <w:right w:val="nil"/>
            </w:tcBorders>
            <w:shd w:val="clear" w:color="auto" w:fill="EAF9FF"/>
            <w:vAlign w:val="top"/>
          </w:tcPr>
          <w:p w14:paraId="6DF9A7FB">
            <w:pPr>
              <w:pStyle w:val="8"/>
              <w:spacing w:before="71" w:line="238" w:lineRule="exact"/>
              <w:ind w:left="687"/>
            </w:pPr>
            <w:r>
              <w:rPr>
                <w:color w:val="5F6A72"/>
                <w:spacing w:val="-6"/>
                <w:position w:val="1"/>
              </w:rPr>
              <w:t>2.3</w:t>
            </w:r>
          </w:p>
        </w:tc>
      </w:tr>
      <w:tr w14:paraId="41E074F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313" w:type="dxa"/>
            <w:tcBorders>
              <w:left w:val="nil"/>
              <w:bottom w:val="single" w:color="333333" w:sz="4" w:space="0"/>
              <w:right w:val="single" w:color="D7DADB" w:sz="6" w:space="0"/>
            </w:tcBorders>
            <w:vAlign w:val="top"/>
          </w:tcPr>
          <w:p w14:paraId="5FE7595A">
            <w:pPr>
              <w:pStyle w:val="8"/>
              <w:spacing w:before="73" w:line="236" w:lineRule="auto"/>
              <w:ind w:left="18"/>
            </w:pPr>
            <w:r>
              <w:rPr>
                <w:color w:val="2A8ABF"/>
                <w:spacing w:val="-8"/>
              </w:rPr>
              <w:t>Refined products net e</w:t>
            </w:r>
            <w:r>
              <w:rPr>
                <w:color w:val="2A8ABF"/>
                <w:spacing w:val="-9"/>
              </w:rPr>
              <w:t>xports, USDbn</w:t>
            </w:r>
          </w:p>
        </w:tc>
        <w:tc>
          <w:tcPr>
            <w:tcW w:w="991" w:type="dxa"/>
            <w:tcBorders>
              <w:left w:val="single" w:color="D7DADB" w:sz="6" w:space="0"/>
              <w:bottom w:val="single" w:color="333333" w:sz="4" w:space="0"/>
              <w:right w:val="nil"/>
            </w:tcBorders>
            <w:vAlign w:val="top"/>
          </w:tcPr>
          <w:p w14:paraId="70CDE32E">
            <w:pPr>
              <w:pStyle w:val="8"/>
              <w:spacing w:before="73" w:line="237" w:lineRule="exact"/>
              <w:ind w:left="632"/>
            </w:pPr>
            <w:r>
              <w:rPr>
                <w:color w:val="5F6A72"/>
                <w:spacing w:val="-6"/>
                <w:position w:val="1"/>
              </w:rPr>
              <w:t>-8.1</w:t>
            </w:r>
          </w:p>
        </w:tc>
        <w:tc>
          <w:tcPr>
            <w:tcW w:w="982" w:type="dxa"/>
            <w:tcBorders>
              <w:left w:val="nil"/>
              <w:bottom w:val="single" w:color="333333" w:sz="4" w:space="0"/>
              <w:right w:val="nil"/>
            </w:tcBorders>
            <w:vAlign w:val="top"/>
          </w:tcPr>
          <w:p w14:paraId="4D5E745E">
            <w:pPr>
              <w:pStyle w:val="8"/>
              <w:spacing w:before="73" w:line="237" w:lineRule="exact"/>
              <w:ind w:left="634"/>
            </w:pPr>
            <w:r>
              <w:rPr>
                <w:color w:val="5F6A72"/>
                <w:spacing w:val="-6"/>
                <w:position w:val="1"/>
              </w:rPr>
              <w:t>-6.3</w:t>
            </w:r>
          </w:p>
        </w:tc>
        <w:tc>
          <w:tcPr>
            <w:tcW w:w="979" w:type="dxa"/>
            <w:tcBorders>
              <w:left w:val="nil"/>
              <w:bottom w:val="single" w:color="333333" w:sz="4" w:space="0"/>
              <w:right w:val="nil"/>
            </w:tcBorders>
            <w:vAlign w:val="top"/>
          </w:tcPr>
          <w:p w14:paraId="60BEBF15">
            <w:pPr>
              <w:pStyle w:val="8"/>
              <w:spacing w:before="73" w:line="237" w:lineRule="exact"/>
              <w:ind w:left="631"/>
            </w:pPr>
            <w:r>
              <w:rPr>
                <w:color w:val="5F6A72"/>
                <w:spacing w:val="-6"/>
                <w:position w:val="1"/>
              </w:rPr>
              <w:t>-6.3</w:t>
            </w:r>
          </w:p>
        </w:tc>
        <w:tc>
          <w:tcPr>
            <w:tcW w:w="980" w:type="dxa"/>
            <w:tcBorders>
              <w:left w:val="nil"/>
              <w:bottom w:val="single" w:color="333333" w:sz="4" w:space="0"/>
              <w:right w:val="nil"/>
            </w:tcBorders>
            <w:vAlign w:val="top"/>
          </w:tcPr>
          <w:p w14:paraId="4C4F9538">
            <w:pPr>
              <w:pStyle w:val="8"/>
              <w:spacing w:before="73" w:line="237" w:lineRule="exact"/>
              <w:ind w:left="631"/>
            </w:pPr>
            <w:r>
              <w:rPr>
                <w:color w:val="5F6A72"/>
                <w:spacing w:val="-6"/>
                <w:position w:val="1"/>
              </w:rPr>
              <w:t>-6.5</w:t>
            </w:r>
          </w:p>
        </w:tc>
        <w:tc>
          <w:tcPr>
            <w:tcW w:w="980" w:type="dxa"/>
            <w:tcBorders>
              <w:left w:val="nil"/>
              <w:bottom w:val="single" w:color="333333" w:sz="4" w:space="0"/>
              <w:right w:val="nil"/>
            </w:tcBorders>
            <w:vAlign w:val="top"/>
          </w:tcPr>
          <w:p w14:paraId="5EB6204F">
            <w:pPr>
              <w:pStyle w:val="8"/>
              <w:spacing w:before="73" w:line="237" w:lineRule="exact"/>
              <w:ind w:left="631"/>
            </w:pPr>
            <w:r>
              <w:rPr>
                <w:color w:val="5F6A72"/>
                <w:spacing w:val="-6"/>
                <w:position w:val="1"/>
              </w:rPr>
              <w:t>-6.4</w:t>
            </w:r>
          </w:p>
        </w:tc>
        <w:tc>
          <w:tcPr>
            <w:tcW w:w="979" w:type="dxa"/>
            <w:tcBorders>
              <w:left w:val="nil"/>
              <w:bottom w:val="single" w:color="333333" w:sz="4" w:space="0"/>
              <w:right w:val="nil"/>
            </w:tcBorders>
            <w:vAlign w:val="top"/>
          </w:tcPr>
          <w:p w14:paraId="1D418C50">
            <w:pPr>
              <w:pStyle w:val="8"/>
              <w:spacing w:before="73" w:line="237" w:lineRule="exact"/>
              <w:ind w:left="630"/>
            </w:pPr>
            <w:r>
              <w:rPr>
                <w:color w:val="5F6A72"/>
                <w:spacing w:val="-6"/>
                <w:position w:val="1"/>
              </w:rPr>
              <w:t>-6.7</w:t>
            </w:r>
          </w:p>
        </w:tc>
      </w:tr>
      <w:tr w14:paraId="609B6909">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879" w:hRule="atLeast"/>
        </w:trPr>
        <w:tc>
          <w:tcPr>
            <w:tcW w:w="10204" w:type="dxa"/>
            <w:gridSpan w:val="7"/>
            <w:tcBorders>
              <w:top w:val="single" w:color="333333" w:sz="4" w:space="0"/>
              <w:left w:val="nil"/>
              <w:right w:val="nil"/>
            </w:tcBorders>
            <w:vAlign w:val="top"/>
          </w:tcPr>
          <w:p w14:paraId="2B58304F">
            <w:pPr>
              <w:pStyle w:val="8"/>
              <w:spacing w:line="242" w:lineRule="auto"/>
              <w:ind w:left="13"/>
              <w:rPr>
                <w:sz w:val="15"/>
                <w:szCs w:val="15"/>
              </w:rPr>
            </w:pPr>
            <w:r>
              <w:rPr>
                <w:i/>
                <w:iCs/>
                <w:color w:val="333333"/>
                <w:spacing w:val="-3"/>
                <w:w w:val="92"/>
                <w:sz w:val="15"/>
                <w:szCs w:val="15"/>
              </w:rPr>
              <w:t>e/f</w:t>
            </w:r>
            <w:r>
              <w:rPr>
                <w:i/>
                <w:iCs/>
                <w:color w:val="333333"/>
                <w:spacing w:val="-24"/>
                <w:sz w:val="15"/>
                <w:szCs w:val="15"/>
              </w:rPr>
              <w:t xml:space="preserve"> </w:t>
            </w:r>
            <w:r>
              <w:rPr>
                <w:i/>
                <w:iCs/>
                <w:color w:val="333333"/>
                <w:spacing w:val="-3"/>
                <w:w w:val="92"/>
                <w:sz w:val="15"/>
                <w:szCs w:val="15"/>
              </w:rPr>
              <w:t>= BMI estimate/forecast. S</w:t>
            </w:r>
            <w:r>
              <w:rPr>
                <w:i/>
                <w:iCs/>
                <w:color w:val="333333"/>
                <w:spacing w:val="-4"/>
                <w:w w:val="92"/>
                <w:sz w:val="15"/>
                <w:szCs w:val="15"/>
              </w:rPr>
              <w:t>ource: EIA, national</w:t>
            </w:r>
            <w:r>
              <w:rPr>
                <w:i/>
                <w:iCs/>
                <w:color w:val="333333"/>
                <w:spacing w:val="-15"/>
                <w:sz w:val="15"/>
                <w:szCs w:val="15"/>
              </w:rPr>
              <w:t xml:space="preserve"> </w:t>
            </w:r>
            <w:r>
              <w:rPr>
                <w:i/>
                <w:iCs/>
                <w:color w:val="333333"/>
                <w:spacing w:val="-4"/>
                <w:w w:val="92"/>
                <w:sz w:val="15"/>
                <w:szCs w:val="15"/>
              </w:rPr>
              <w:t>sources, BMI</w:t>
            </w:r>
          </w:p>
          <w:p w14:paraId="34146A3D">
            <w:pPr>
              <w:pStyle w:val="8"/>
              <w:spacing w:line="321" w:lineRule="auto"/>
              <w:rPr>
                <w:sz w:val="21"/>
              </w:rPr>
            </w:pPr>
          </w:p>
          <w:p w14:paraId="6366C808">
            <w:pPr>
              <w:pStyle w:val="8"/>
              <w:spacing w:before="69" w:line="234" w:lineRule="auto"/>
              <w:ind w:left="67"/>
              <w:outlineLvl w:val="1"/>
              <w:rPr>
                <w:sz w:val="24"/>
                <w:szCs w:val="24"/>
              </w:rPr>
            </w:pPr>
            <w:r>
              <w:rPr>
                <w:color w:val="174174"/>
                <w:spacing w:val="-10"/>
                <w:sz w:val="24"/>
                <w:szCs w:val="24"/>
              </w:rPr>
              <w:t>Refined Fuels Net Expor</w:t>
            </w:r>
            <w:r>
              <w:rPr>
                <w:color w:val="174174"/>
                <w:spacing w:val="-11"/>
                <w:sz w:val="24"/>
                <w:szCs w:val="24"/>
              </w:rPr>
              <w:t>ts (Argentina 2029-2034)</w:t>
            </w:r>
          </w:p>
        </w:tc>
      </w:tr>
      <w:tr w14:paraId="1AFBC368">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313" w:type="dxa"/>
            <w:tcBorders>
              <w:left w:val="nil"/>
              <w:right w:val="single" w:color="D7DADB" w:sz="6" w:space="0"/>
            </w:tcBorders>
            <w:vAlign w:val="top"/>
          </w:tcPr>
          <w:p w14:paraId="06015AA5">
            <w:pPr>
              <w:pStyle w:val="8"/>
              <w:spacing w:before="73" w:line="244" w:lineRule="exact"/>
              <w:ind w:left="13"/>
            </w:pPr>
            <w:r>
              <w:rPr>
                <w:b/>
                <w:bCs/>
                <w:color w:val="5F6A72"/>
                <w:spacing w:val="-6"/>
                <w:position w:val="1"/>
              </w:rPr>
              <w:t>Indicator</w:t>
            </w:r>
          </w:p>
        </w:tc>
        <w:tc>
          <w:tcPr>
            <w:tcW w:w="991" w:type="dxa"/>
            <w:tcBorders>
              <w:left w:val="single" w:color="D7DADB" w:sz="6" w:space="0"/>
              <w:right w:val="nil"/>
            </w:tcBorders>
            <w:vAlign w:val="top"/>
          </w:tcPr>
          <w:p w14:paraId="43625496">
            <w:pPr>
              <w:pStyle w:val="8"/>
              <w:spacing w:before="73" w:line="243" w:lineRule="exact"/>
              <w:ind w:left="468"/>
            </w:pPr>
            <w:r>
              <w:rPr>
                <w:b/>
                <w:bCs/>
                <w:color w:val="5F6A72"/>
                <w:spacing w:val="-1"/>
                <w:position w:val="1"/>
              </w:rPr>
              <w:t>2029f</w:t>
            </w:r>
          </w:p>
        </w:tc>
        <w:tc>
          <w:tcPr>
            <w:tcW w:w="982" w:type="dxa"/>
            <w:tcBorders>
              <w:left w:val="nil"/>
              <w:right w:val="nil"/>
            </w:tcBorders>
            <w:vAlign w:val="top"/>
          </w:tcPr>
          <w:p w14:paraId="462D3AE2">
            <w:pPr>
              <w:pStyle w:val="8"/>
              <w:spacing w:before="73" w:line="244" w:lineRule="exact"/>
              <w:ind w:left="464"/>
            </w:pPr>
            <w:r>
              <w:rPr>
                <w:b/>
                <w:bCs/>
                <w:color w:val="5F6A72"/>
                <w:spacing w:val="-1"/>
                <w:position w:val="1"/>
              </w:rPr>
              <w:t>2030f</w:t>
            </w:r>
          </w:p>
        </w:tc>
        <w:tc>
          <w:tcPr>
            <w:tcW w:w="979" w:type="dxa"/>
            <w:tcBorders>
              <w:left w:val="nil"/>
              <w:right w:val="nil"/>
            </w:tcBorders>
            <w:vAlign w:val="top"/>
          </w:tcPr>
          <w:p w14:paraId="723409A7">
            <w:pPr>
              <w:pStyle w:val="8"/>
              <w:spacing w:before="73" w:line="244" w:lineRule="exact"/>
              <w:ind w:left="462"/>
            </w:pPr>
            <w:r>
              <w:rPr>
                <w:b/>
                <w:bCs/>
                <w:color w:val="5F6A72"/>
                <w:spacing w:val="-1"/>
                <w:position w:val="1"/>
              </w:rPr>
              <w:t>2031f</w:t>
            </w:r>
          </w:p>
        </w:tc>
        <w:tc>
          <w:tcPr>
            <w:tcW w:w="980" w:type="dxa"/>
            <w:tcBorders>
              <w:left w:val="nil"/>
              <w:right w:val="nil"/>
            </w:tcBorders>
            <w:vAlign w:val="top"/>
          </w:tcPr>
          <w:p w14:paraId="7C52123B">
            <w:pPr>
              <w:pStyle w:val="8"/>
              <w:spacing w:before="73" w:line="244" w:lineRule="exact"/>
              <w:ind w:left="463"/>
            </w:pPr>
            <w:r>
              <w:rPr>
                <w:b/>
                <w:bCs/>
                <w:color w:val="5F6A72"/>
                <w:spacing w:val="-1"/>
                <w:position w:val="1"/>
              </w:rPr>
              <w:t>2032f</w:t>
            </w:r>
          </w:p>
        </w:tc>
        <w:tc>
          <w:tcPr>
            <w:tcW w:w="980" w:type="dxa"/>
            <w:tcBorders>
              <w:left w:val="nil"/>
              <w:right w:val="nil"/>
            </w:tcBorders>
            <w:vAlign w:val="top"/>
          </w:tcPr>
          <w:p w14:paraId="31309643">
            <w:pPr>
              <w:pStyle w:val="8"/>
              <w:spacing w:before="73" w:line="244" w:lineRule="exact"/>
              <w:ind w:left="463"/>
            </w:pPr>
            <w:r>
              <w:rPr>
                <w:b/>
                <w:bCs/>
                <w:color w:val="5F6A72"/>
                <w:spacing w:val="-1"/>
                <w:position w:val="1"/>
              </w:rPr>
              <w:t>2033f</w:t>
            </w:r>
          </w:p>
        </w:tc>
        <w:tc>
          <w:tcPr>
            <w:tcW w:w="979" w:type="dxa"/>
            <w:tcBorders>
              <w:left w:val="nil"/>
              <w:right w:val="nil"/>
            </w:tcBorders>
            <w:vAlign w:val="top"/>
          </w:tcPr>
          <w:p w14:paraId="2ADA6E0F">
            <w:pPr>
              <w:pStyle w:val="8"/>
              <w:spacing w:before="73" w:line="244" w:lineRule="exact"/>
              <w:ind w:left="463"/>
            </w:pPr>
            <w:r>
              <w:rPr>
                <w:b/>
                <w:bCs/>
                <w:color w:val="5F6A72"/>
                <w:spacing w:val="-1"/>
                <w:position w:val="1"/>
              </w:rPr>
              <w:t>2034f</w:t>
            </w:r>
          </w:p>
        </w:tc>
      </w:tr>
      <w:tr w14:paraId="4F1E738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313" w:type="dxa"/>
            <w:tcBorders>
              <w:left w:val="nil"/>
              <w:right w:val="single" w:color="D7DADB" w:sz="6" w:space="0"/>
            </w:tcBorders>
            <w:vAlign w:val="top"/>
          </w:tcPr>
          <w:p w14:paraId="456BD7D4">
            <w:pPr>
              <w:pStyle w:val="8"/>
              <w:spacing w:before="77" w:line="236" w:lineRule="auto"/>
              <w:ind w:left="18"/>
            </w:pPr>
            <w:r>
              <w:rPr>
                <w:color w:val="2A8ABF"/>
                <w:spacing w:val="-6"/>
              </w:rPr>
              <w:t>Refined products net exports,</w:t>
            </w:r>
            <w:r>
              <w:rPr>
                <w:color w:val="2A8ABF"/>
                <w:spacing w:val="4"/>
              </w:rPr>
              <w:t xml:space="preserve"> </w:t>
            </w:r>
            <w:r>
              <w:rPr>
                <w:color w:val="2A8ABF"/>
                <w:spacing w:val="-6"/>
              </w:rPr>
              <w:t>000b/d</w:t>
            </w:r>
          </w:p>
        </w:tc>
        <w:tc>
          <w:tcPr>
            <w:tcW w:w="991" w:type="dxa"/>
            <w:tcBorders>
              <w:left w:val="single" w:color="D7DADB" w:sz="6" w:space="0"/>
              <w:right w:val="nil"/>
            </w:tcBorders>
            <w:vAlign w:val="top"/>
          </w:tcPr>
          <w:p w14:paraId="308206B8">
            <w:pPr>
              <w:pStyle w:val="8"/>
              <w:spacing w:before="77" w:line="237" w:lineRule="exact"/>
              <w:ind w:left="441"/>
            </w:pPr>
            <w:r>
              <w:rPr>
                <w:color w:val="5F6A72"/>
                <w:spacing w:val="-6"/>
                <w:position w:val="1"/>
              </w:rPr>
              <w:t>-238.0</w:t>
            </w:r>
          </w:p>
        </w:tc>
        <w:tc>
          <w:tcPr>
            <w:tcW w:w="982" w:type="dxa"/>
            <w:tcBorders>
              <w:left w:val="nil"/>
              <w:right w:val="nil"/>
            </w:tcBorders>
            <w:vAlign w:val="top"/>
          </w:tcPr>
          <w:p w14:paraId="5A07507F">
            <w:pPr>
              <w:pStyle w:val="8"/>
              <w:spacing w:before="77" w:line="237" w:lineRule="exact"/>
              <w:ind w:left="437"/>
            </w:pPr>
            <w:r>
              <w:rPr>
                <w:color w:val="5F6A72"/>
                <w:spacing w:val="-6"/>
                <w:position w:val="1"/>
              </w:rPr>
              <w:t>-243.9</w:t>
            </w:r>
          </w:p>
        </w:tc>
        <w:tc>
          <w:tcPr>
            <w:tcW w:w="979" w:type="dxa"/>
            <w:tcBorders>
              <w:left w:val="nil"/>
              <w:right w:val="nil"/>
            </w:tcBorders>
            <w:vAlign w:val="top"/>
          </w:tcPr>
          <w:p w14:paraId="4729BE89">
            <w:pPr>
              <w:pStyle w:val="8"/>
              <w:spacing w:before="77" w:line="237" w:lineRule="exact"/>
              <w:ind w:left="435"/>
            </w:pPr>
            <w:r>
              <w:rPr>
                <w:color w:val="5F6A72"/>
                <w:spacing w:val="-6"/>
                <w:position w:val="1"/>
              </w:rPr>
              <w:t>-247.5</w:t>
            </w:r>
          </w:p>
        </w:tc>
        <w:tc>
          <w:tcPr>
            <w:tcW w:w="980" w:type="dxa"/>
            <w:tcBorders>
              <w:left w:val="nil"/>
              <w:right w:val="nil"/>
            </w:tcBorders>
            <w:vAlign w:val="top"/>
          </w:tcPr>
          <w:p w14:paraId="1C0E0D18">
            <w:pPr>
              <w:pStyle w:val="8"/>
              <w:spacing w:before="77" w:line="237" w:lineRule="exact"/>
              <w:ind w:left="436"/>
            </w:pPr>
            <w:r>
              <w:rPr>
                <w:color w:val="5F6A72"/>
                <w:spacing w:val="-6"/>
                <w:position w:val="1"/>
              </w:rPr>
              <w:t>-248.8</w:t>
            </w:r>
          </w:p>
        </w:tc>
        <w:tc>
          <w:tcPr>
            <w:tcW w:w="980" w:type="dxa"/>
            <w:tcBorders>
              <w:left w:val="nil"/>
              <w:right w:val="nil"/>
            </w:tcBorders>
            <w:vAlign w:val="top"/>
          </w:tcPr>
          <w:p w14:paraId="7781EDE6">
            <w:pPr>
              <w:pStyle w:val="8"/>
              <w:spacing w:before="77" w:line="237" w:lineRule="exact"/>
              <w:ind w:left="436"/>
            </w:pPr>
            <w:r>
              <w:rPr>
                <w:color w:val="5F6A72"/>
                <w:spacing w:val="-6"/>
                <w:position w:val="1"/>
              </w:rPr>
              <w:t>-248.4</w:t>
            </w:r>
          </w:p>
        </w:tc>
        <w:tc>
          <w:tcPr>
            <w:tcW w:w="979" w:type="dxa"/>
            <w:tcBorders>
              <w:left w:val="nil"/>
              <w:right w:val="nil"/>
            </w:tcBorders>
            <w:vAlign w:val="top"/>
          </w:tcPr>
          <w:p w14:paraId="0827A5BE">
            <w:pPr>
              <w:pStyle w:val="8"/>
              <w:spacing w:before="77" w:line="237" w:lineRule="exact"/>
              <w:ind w:left="436"/>
            </w:pPr>
            <w:r>
              <w:rPr>
                <w:color w:val="5F6A72"/>
                <w:spacing w:val="-6"/>
                <w:position w:val="1"/>
              </w:rPr>
              <w:t>-246.4</w:t>
            </w:r>
          </w:p>
        </w:tc>
      </w:tr>
      <w:tr w14:paraId="746495E8">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313" w:type="dxa"/>
            <w:tcBorders>
              <w:left w:val="nil"/>
              <w:right w:val="single" w:color="D7DADB" w:sz="6" w:space="0"/>
            </w:tcBorders>
            <w:shd w:val="clear" w:color="auto" w:fill="EAF9FF"/>
            <w:vAlign w:val="top"/>
          </w:tcPr>
          <w:p w14:paraId="59AA746A">
            <w:pPr>
              <w:pStyle w:val="8"/>
              <w:spacing w:before="78" w:line="234" w:lineRule="auto"/>
              <w:ind w:left="18"/>
            </w:pPr>
            <w:r>
              <w:rPr>
                <w:color w:val="2A8ABF"/>
                <w:spacing w:val="-8"/>
              </w:rPr>
              <w:t>Refined products net exports,</w:t>
            </w:r>
            <w:r>
              <w:rPr>
                <w:color w:val="2A8ABF"/>
                <w:spacing w:val="5"/>
              </w:rPr>
              <w:t xml:space="preserve"> </w:t>
            </w:r>
            <w:r>
              <w:rPr>
                <w:color w:val="2A8ABF"/>
                <w:spacing w:val="-8"/>
              </w:rPr>
              <w:t>%</w:t>
            </w:r>
            <w:r>
              <w:rPr>
                <w:color w:val="2A8ABF"/>
                <w:spacing w:val="-18"/>
              </w:rPr>
              <w:t xml:space="preserve"> </w:t>
            </w:r>
            <w:r>
              <w:rPr>
                <w:color w:val="2A8ABF"/>
                <w:spacing w:val="-8"/>
              </w:rPr>
              <w:t>y-o-y</w:t>
            </w:r>
          </w:p>
        </w:tc>
        <w:tc>
          <w:tcPr>
            <w:tcW w:w="991" w:type="dxa"/>
            <w:tcBorders>
              <w:left w:val="single" w:color="D7DADB" w:sz="6" w:space="0"/>
              <w:right w:val="nil"/>
            </w:tcBorders>
            <w:shd w:val="clear" w:color="auto" w:fill="EAF9FF"/>
            <w:vAlign w:val="top"/>
          </w:tcPr>
          <w:p w14:paraId="73D2267D">
            <w:pPr>
              <w:pStyle w:val="8"/>
              <w:spacing w:before="78" w:line="239" w:lineRule="exact"/>
              <w:ind w:left="697"/>
            </w:pPr>
            <w:r>
              <w:rPr>
                <w:color w:val="5F6A72"/>
                <w:spacing w:val="-7"/>
                <w:position w:val="1"/>
              </w:rPr>
              <w:t>1.7</w:t>
            </w:r>
          </w:p>
        </w:tc>
        <w:tc>
          <w:tcPr>
            <w:tcW w:w="982" w:type="dxa"/>
            <w:tcBorders>
              <w:left w:val="nil"/>
              <w:right w:val="nil"/>
            </w:tcBorders>
            <w:shd w:val="clear" w:color="auto" w:fill="EAF9FF"/>
            <w:vAlign w:val="top"/>
          </w:tcPr>
          <w:p w14:paraId="0F7FAB1F">
            <w:pPr>
              <w:pStyle w:val="8"/>
              <w:spacing w:before="78" w:line="237" w:lineRule="exact"/>
              <w:ind w:left="689"/>
            </w:pPr>
            <w:r>
              <w:rPr>
                <w:color w:val="5F6A72"/>
                <w:spacing w:val="-6"/>
                <w:position w:val="1"/>
              </w:rPr>
              <w:t>2.5</w:t>
            </w:r>
          </w:p>
        </w:tc>
        <w:tc>
          <w:tcPr>
            <w:tcW w:w="979" w:type="dxa"/>
            <w:tcBorders>
              <w:left w:val="nil"/>
              <w:right w:val="nil"/>
            </w:tcBorders>
            <w:shd w:val="clear" w:color="auto" w:fill="EAF9FF"/>
            <w:vAlign w:val="top"/>
          </w:tcPr>
          <w:p w14:paraId="6C99CEE4">
            <w:pPr>
              <w:pStyle w:val="8"/>
              <w:spacing w:before="78" w:line="237" w:lineRule="exact"/>
              <w:ind w:left="691"/>
            </w:pPr>
            <w:r>
              <w:rPr>
                <w:color w:val="5F6A72"/>
                <w:spacing w:val="-7"/>
                <w:position w:val="1"/>
              </w:rPr>
              <w:t>1.5</w:t>
            </w:r>
          </w:p>
        </w:tc>
        <w:tc>
          <w:tcPr>
            <w:tcW w:w="980" w:type="dxa"/>
            <w:tcBorders>
              <w:left w:val="nil"/>
              <w:right w:val="nil"/>
            </w:tcBorders>
            <w:shd w:val="clear" w:color="auto" w:fill="EAF9FF"/>
            <w:vAlign w:val="top"/>
          </w:tcPr>
          <w:p w14:paraId="11542D96">
            <w:pPr>
              <w:pStyle w:val="8"/>
              <w:spacing w:before="78" w:line="237" w:lineRule="exact"/>
              <w:ind w:left="683"/>
            </w:pPr>
            <w:r>
              <w:rPr>
                <w:color w:val="5F6A72"/>
                <w:spacing w:val="-6"/>
                <w:position w:val="1"/>
              </w:rPr>
              <w:t>0.5</w:t>
            </w:r>
          </w:p>
        </w:tc>
        <w:tc>
          <w:tcPr>
            <w:tcW w:w="980" w:type="dxa"/>
            <w:tcBorders>
              <w:left w:val="nil"/>
              <w:right w:val="nil"/>
            </w:tcBorders>
            <w:shd w:val="clear" w:color="auto" w:fill="EAF9FF"/>
            <w:vAlign w:val="top"/>
          </w:tcPr>
          <w:p w14:paraId="1B734C56">
            <w:pPr>
              <w:pStyle w:val="8"/>
              <w:spacing w:before="78" w:line="237" w:lineRule="exact"/>
              <w:ind w:left="630"/>
            </w:pPr>
            <w:r>
              <w:rPr>
                <w:color w:val="5F6A72"/>
                <w:spacing w:val="-6"/>
                <w:position w:val="1"/>
              </w:rPr>
              <w:t>-0.1</w:t>
            </w:r>
          </w:p>
        </w:tc>
        <w:tc>
          <w:tcPr>
            <w:tcW w:w="979" w:type="dxa"/>
            <w:tcBorders>
              <w:left w:val="nil"/>
              <w:right w:val="nil"/>
            </w:tcBorders>
            <w:shd w:val="clear" w:color="auto" w:fill="EAF9FF"/>
            <w:vAlign w:val="top"/>
          </w:tcPr>
          <w:p w14:paraId="63972600">
            <w:pPr>
              <w:pStyle w:val="8"/>
              <w:spacing w:before="78" w:line="237" w:lineRule="exact"/>
              <w:ind w:left="630"/>
            </w:pPr>
            <w:r>
              <w:rPr>
                <w:color w:val="5F6A72"/>
                <w:spacing w:val="-6"/>
                <w:position w:val="1"/>
              </w:rPr>
              <w:t>-0.8</w:t>
            </w:r>
          </w:p>
        </w:tc>
      </w:tr>
      <w:tr w14:paraId="6004B083">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4313" w:type="dxa"/>
            <w:tcBorders>
              <w:left w:val="nil"/>
              <w:bottom w:val="single" w:color="333333" w:sz="4" w:space="0"/>
              <w:right w:val="single" w:color="D7DADB" w:sz="6" w:space="0"/>
            </w:tcBorders>
            <w:vAlign w:val="top"/>
          </w:tcPr>
          <w:p w14:paraId="31C926AE">
            <w:pPr>
              <w:pStyle w:val="8"/>
              <w:spacing w:before="79" w:line="236" w:lineRule="auto"/>
              <w:ind w:left="18"/>
            </w:pPr>
            <w:r>
              <w:rPr>
                <w:color w:val="2A8ABF"/>
                <w:spacing w:val="-8"/>
              </w:rPr>
              <w:t>Refined products net e</w:t>
            </w:r>
            <w:r>
              <w:rPr>
                <w:color w:val="2A8ABF"/>
                <w:spacing w:val="-9"/>
              </w:rPr>
              <w:t>xports, USDbn</w:t>
            </w:r>
          </w:p>
        </w:tc>
        <w:tc>
          <w:tcPr>
            <w:tcW w:w="991" w:type="dxa"/>
            <w:tcBorders>
              <w:left w:val="single" w:color="D7DADB" w:sz="6" w:space="0"/>
              <w:bottom w:val="single" w:color="333333" w:sz="4" w:space="0"/>
              <w:right w:val="nil"/>
            </w:tcBorders>
            <w:vAlign w:val="top"/>
          </w:tcPr>
          <w:p w14:paraId="407857E8">
            <w:pPr>
              <w:pStyle w:val="8"/>
              <w:spacing w:before="79" w:line="237" w:lineRule="exact"/>
              <w:ind w:left="635"/>
            </w:pPr>
            <w:r>
              <w:rPr>
                <w:color w:val="5F6A72"/>
                <w:spacing w:val="-6"/>
                <w:position w:val="1"/>
              </w:rPr>
              <w:t>-6.8</w:t>
            </w:r>
          </w:p>
        </w:tc>
        <w:tc>
          <w:tcPr>
            <w:tcW w:w="982" w:type="dxa"/>
            <w:tcBorders>
              <w:left w:val="nil"/>
              <w:bottom w:val="single" w:color="333333" w:sz="4" w:space="0"/>
              <w:right w:val="nil"/>
            </w:tcBorders>
            <w:vAlign w:val="top"/>
          </w:tcPr>
          <w:p w14:paraId="56559F6A">
            <w:pPr>
              <w:pStyle w:val="8"/>
              <w:spacing w:before="79" w:line="237" w:lineRule="exact"/>
              <w:ind w:left="632"/>
            </w:pPr>
            <w:r>
              <w:rPr>
                <w:color w:val="5F6A72"/>
                <w:spacing w:val="-6"/>
                <w:position w:val="1"/>
              </w:rPr>
              <w:t>-7.0</w:t>
            </w:r>
          </w:p>
        </w:tc>
        <w:tc>
          <w:tcPr>
            <w:tcW w:w="979" w:type="dxa"/>
            <w:tcBorders>
              <w:left w:val="nil"/>
              <w:bottom w:val="single" w:color="333333" w:sz="4" w:space="0"/>
              <w:right w:val="nil"/>
            </w:tcBorders>
            <w:vAlign w:val="top"/>
          </w:tcPr>
          <w:p w14:paraId="567A2A9A">
            <w:pPr>
              <w:pStyle w:val="8"/>
              <w:spacing w:before="79" w:line="240" w:lineRule="exact"/>
              <w:ind w:left="630"/>
            </w:pPr>
            <w:r>
              <w:rPr>
                <w:color w:val="5F6A72"/>
                <w:spacing w:val="-6"/>
                <w:position w:val="1"/>
              </w:rPr>
              <w:t>-7.1</w:t>
            </w:r>
          </w:p>
        </w:tc>
        <w:tc>
          <w:tcPr>
            <w:tcW w:w="980" w:type="dxa"/>
            <w:tcBorders>
              <w:left w:val="nil"/>
              <w:bottom w:val="single" w:color="333333" w:sz="4" w:space="0"/>
              <w:right w:val="nil"/>
            </w:tcBorders>
            <w:vAlign w:val="top"/>
          </w:tcPr>
          <w:p w14:paraId="73C7E8D6">
            <w:pPr>
              <w:pStyle w:val="8"/>
              <w:spacing w:before="79" w:line="240" w:lineRule="exact"/>
              <w:ind w:left="630"/>
            </w:pPr>
            <w:r>
              <w:rPr>
                <w:color w:val="5F6A72"/>
                <w:spacing w:val="-6"/>
                <w:position w:val="1"/>
              </w:rPr>
              <w:t>-7.2</w:t>
            </w:r>
          </w:p>
        </w:tc>
        <w:tc>
          <w:tcPr>
            <w:tcW w:w="980" w:type="dxa"/>
            <w:tcBorders>
              <w:left w:val="nil"/>
              <w:bottom w:val="single" w:color="333333" w:sz="4" w:space="0"/>
              <w:right w:val="nil"/>
            </w:tcBorders>
            <w:vAlign w:val="top"/>
          </w:tcPr>
          <w:p w14:paraId="6C133350">
            <w:pPr>
              <w:pStyle w:val="8"/>
              <w:spacing w:before="79" w:line="240" w:lineRule="exact"/>
              <w:ind w:left="630"/>
            </w:pPr>
            <w:r>
              <w:rPr>
                <w:color w:val="5F6A72"/>
                <w:spacing w:val="-6"/>
                <w:position w:val="1"/>
              </w:rPr>
              <w:t>-7.1</w:t>
            </w:r>
          </w:p>
        </w:tc>
        <w:tc>
          <w:tcPr>
            <w:tcW w:w="979" w:type="dxa"/>
            <w:tcBorders>
              <w:left w:val="nil"/>
              <w:bottom w:val="single" w:color="333333" w:sz="4" w:space="0"/>
              <w:right w:val="nil"/>
            </w:tcBorders>
            <w:vAlign w:val="top"/>
          </w:tcPr>
          <w:p w14:paraId="332DEFA0">
            <w:pPr>
              <w:pStyle w:val="8"/>
              <w:spacing w:before="79" w:line="240" w:lineRule="exact"/>
              <w:ind w:left="630"/>
            </w:pPr>
            <w:r>
              <w:rPr>
                <w:color w:val="5F6A72"/>
                <w:spacing w:val="-6"/>
                <w:position w:val="1"/>
              </w:rPr>
              <w:t>-7.1</w:t>
            </w:r>
          </w:p>
        </w:tc>
      </w:tr>
    </w:tbl>
    <w:p w14:paraId="53D6F7C9">
      <w:pPr>
        <w:pStyle w:val="4"/>
        <w:spacing w:line="175" w:lineRule="exact"/>
        <w:ind w:left="373"/>
        <w:rPr>
          <w:sz w:val="15"/>
          <w:szCs w:val="15"/>
        </w:rPr>
      </w:pPr>
      <w:r>
        <w:rPr>
          <w:i/>
          <w:iCs/>
          <w:color w:val="333333"/>
          <w:spacing w:val="-5"/>
          <w:w w:val="93"/>
          <w:position w:val="1"/>
          <w:sz w:val="15"/>
          <w:szCs w:val="15"/>
        </w:rPr>
        <w:t>f</w:t>
      </w:r>
      <w:r>
        <w:rPr>
          <w:i/>
          <w:iCs/>
          <w:color w:val="333333"/>
          <w:spacing w:val="-10"/>
          <w:position w:val="1"/>
          <w:sz w:val="15"/>
          <w:szCs w:val="15"/>
        </w:rPr>
        <w:t xml:space="preserve"> </w:t>
      </w:r>
      <w:r>
        <w:rPr>
          <w:i/>
          <w:iCs/>
          <w:color w:val="333333"/>
          <w:spacing w:val="-5"/>
          <w:w w:val="93"/>
          <w:position w:val="1"/>
          <w:sz w:val="15"/>
          <w:szCs w:val="15"/>
        </w:rPr>
        <w:t>= BMI estimate/forecast. Source: EIA, national</w:t>
      </w:r>
      <w:r>
        <w:rPr>
          <w:i/>
          <w:iCs/>
          <w:color w:val="333333"/>
          <w:spacing w:val="-15"/>
          <w:position w:val="1"/>
          <w:sz w:val="15"/>
          <w:szCs w:val="15"/>
        </w:rPr>
        <w:t xml:space="preserve"> </w:t>
      </w:r>
      <w:r>
        <w:rPr>
          <w:i/>
          <w:iCs/>
          <w:color w:val="333333"/>
          <w:spacing w:val="-5"/>
          <w:w w:val="93"/>
          <w:position w:val="1"/>
          <w:sz w:val="15"/>
          <w:szCs w:val="15"/>
        </w:rPr>
        <w:t>sources, BMI</w:t>
      </w:r>
    </w:p>
    <w:p w14:paraId="67F13846">
      <w:pPr>
        <w:spacing w:line="175" w:lineRule="exact"/>
        <w:rPr>
          <w:sz w:val="15"/>
          <w:szCs w:val="15"/>
        </w:rPr>
        <w:sectPr>
          <w:footerReference r:id="rId43" w:type="default"/>
          <w:pgSz w:w="11906" w:h="16838"/>
          <w:pgMar w:top="400" w:right="490" w:bottom="883" w:left="490" w:header="0" w:footer="0" w:gutter="0"/>
          <w:cols w:space="720" w:num="1"/>
        </w:sectPr>
      </w:pPr>
    </w:p>
    <w:p w14:paraId="74560462">
      <w:pPr>
        <w:pStyle w:val="4"/>
        <w:spacing w:before="73" w:line="241" w:lineRule="auto"/>
        <w:ind w:left="7372"/>
        <w:rPr>
          <w:sz w:val="20"/>
          <w:szCs w:val="20"/>
        </w:rPr>
      </w:pPr>
      <w:r>
        <w:drawing>
          <wp:anchor distT="0" distB="0" distL="0" distR="0" simplePos="0" relativeHeight="25182924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30272" behindDoc="0" locked="0" layoutInCell="0" allowOverlap="1">
            <wp:simplePos x="0" y="0"/>
            <wp:positionH relativeFrom="page">
              <wp:posOffset>311150</wp:posOffset>
            </wp:positionH>
            <wp:positionV relativeFrom="page">
              <wp:posOffset>0</wp:posOffset>
            </wp:positionV>
            <wp:extent cx="19050" cy="814070"/>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B798979">
      <w:pPr>
        <w:pStyle w:val="4"/>
        <w:spacing w:line="278" w:lineRule="auto"/>
      </w:pPr>
    </w:p>
    <w:p w14:paraId="10E21652">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5AEBA48">
      <w:pPr>
        <w:pStyle w:val="4"/>
        <w:spacing w:line="428" w:lineRule="auto"/>
      </w:pPr>
    </w:p>
    <w:p w14:paraId="3EEE5B55">
      <w:pPr>
        <w:pStyle w:val="4"/>
        <w:spacing w:before="86" w:line="396" w:lineRule="exact"/>
        <w:ind w:left="374"/>
        <w:outlineLvl w:val="0"/>
        <w:rPr>
          <w:sz w:val="30"/>
          <w:szCs w:val="30"/>
        </w:rPr>
      </w:pPr>
      <w:bookmarkStart w:id="18" w:name="bookmark13"/>
      <w:bookmarkEnd w:id="18"/>
      <w:r>
        <w:rPr>
          <w:color w:val="2A8ABF"/>
          <w:spacing w:val="-22"/>
          <w:w w:val="96"/>
          <w:position w:val="1"/>
          <w:sz w:val="30"/>
          <w:szCs w:val="30"/>
        </w:rPr>
        <w:t>Gas</w:t>
      </w:r>
      <w:r>
        <w:rPr>
          <w:color w:val="2A8ABF"/>
          <w:spacing w:val="-9"/>
          <w:position w:val="1"/>
          <w:sz w:val="30"/>
          <w:szCs w:val="30"/>
        </w:rPr>
        <w:t xml:space="preserve"> </w:t>
      </w:r>
      <w:r>
        <w:rPr>
          <w:color w:val="2A8ABF"/>
          <w:spacing w:val="-22"/>
          <w:w w:val="96"/>
          <w:position w:val="1"/>
          <w:sz w:val="30"/>
          <w:szCs w:val="30"/>
        </w:rPr>
        <w:t>Trade</w:t>
      </w:r>
    </w:p>
    <w:p w14:paraId="65F489EB">
      <w:pPr>
        <w:pStyle w:val="4"/>
        <w:spacing w:before="266" w:line="273" w:lineRule="auto"/>
        <w:ind w:left="380" w:right="548" w:firstLine="6"/>
        <w:rPr>
          <w:sz w:val="20"/>
          <w:szCs w:val="20"/>
        </w:rPr>
      </w:pPr>
      <w:r>
        <w:rPr>
          <w:b/>
          <w:bCs/>
          <w:i/>
          <w:iCs/>
          <w:color w:val="57585A"/>
          <w:spacing w:val="-8"/>
          <w:w w:val="97"/>
          <w:sz w:val="20"/>
          <w:szCs w:val="20"/>
        </w:rPr>
        <w:t xml:space="preserve">Key View: </w:t>
      </w:r>
      <w:r>
        <w:rPr>
          <w:i/>
          <w:iCs/>
          <w:color w:val="57585A"/>
          <w:spacing w:val="-8"/>
          <w:w w:val="97"/>
          <w:sz w:val="20"/>
          <w:szCs w:val="20"/>
        </w:rPr>
        <w:t>We expect</w:t>
      </w:r>
      <w:r>
        <w:rPr>
          <w:i/>
          <w:iCs/>
          <w:color w:val="57585A"/>
          <w:spacing w:val="-31"/>
          <w:sz w:val="20"/>
          <w:szCs w:val="20"/>
        </w:rPr>
        <w:t xml:space="preserve"> </w:t>
      </w:r>
      <w:r>
        <w:rPr>
          <w:i/>
          <w:iCs/>
          <w:color w:val="57585A"/>
          <w:spacing w:val="-8"/>
          <w:w w:val="97"/>
          <w:sz w:val="20"/>
          <w:szCs w:val="20"/>
        </w:rPr>
        <w:t>Argentina to b</w:t>
      </w:r>
      <w:r>
        <w:rPr>
          <w:i/>
          <w:iCs/>
          <w:color w:val="57585A"/>
          <w:spacing w:val="-9"/>
          <w:w w:val="97"/>
          <w:sz w:val="20"/>
          <w:szCs w:val="20"/>
        </w:rPr>
        <w:t>ecome a net exporter</w:t>
      </w:r>
      <w:r>
        <w:rPr>
          <w:i/>
          <w:iCs/>
          <w:color w:val="57585A"/>
          <w:spacing w:val="-18"/>
          <w:sz w:val="20"/>
          <w:szCs w:val="20"/>
        </w:rPr>
        <w:t xml:space="preserve"> </w:t>
      </w:r>
      <w:r>
        <w:rPr>
          <w:i/>
          <w:iCs/>
          <w:color w:val="57585A"/>
          <w:spacing w:val="-9"/>
          <w:w w:val="97"/>
          <w:sz w:val="20"/>
          <w:szCs w:val="20"/>
        </w:rPr>
        <w:t>of</w:t>
      </w:r>
      <w:r>
        <w:rPr>
          <w:i/>
          <w:iCs/>
          <w:color w:val="57585A"/>
          <w:spacing w:val="-48"/>
          <w:sz w:val="20"/>
          <w:szCs w:val="20"/>
        </w:rPr>
        <w:t xml:space="preserve"> </w:t>
      </w:r>
      <w:r>
        <w:rPr>
          <w:i/>
          <w:iCs/>
          <w:color w:val="57585A"/>
          <w:spacing w:val="-9"/>
          <w:w w:val="97"/>
          <w:sz w:val="20"/>
          <w:szCs w:val="20"/>
        </w:rPr>
        <w:t>gas in 2025, as it cuts</w:t>
      </w:r>
      <w:r>
        <w:rPr>
          <w:i/>
          <w:iCs/>
          <w:color w:val="57585A"/>
          <w:spacing w:val="-20"/>
          <w:sz w:val="20"/>
          <w:szCs w:val="20"/>
        </w:rPr>
        <w:t xml:space="preserve"> </w:t>
      </w:r>
      <w:r>
        <w:rPr>
          <w:i/>
          <w:iCs/>
          <w:color w:val="57585A"/>
          <w:spacing w:val="-9"/>
          <w:w w:val="97"/>
          <w:sz w:val="20"/>
          <w:szCs w:val="20"/>
        </w:rPr>
        <w:t>pipeline imports from Bolivia and LNG imports,</w:t>
      </w:r>
      <w:r>
        <w:rPr>
          <w:i/>
          <w:iCs/>
          <w:color w:val="57585A"/>
          <w:sz w:val="20"/>
          <w:szCs w:val="20"/>
        </w:rPr>
        <w:t xml:space="preserve"> </w:t>
      </w:r>
      <w:r>
        <w:rPr>
          <w:i/>
          <w:iCs/>
          <w:color w:val="57585A"/>
          <w:spacing w:val="-7"/>
          <w:w w:val="97"/>
          <w:sz w:val="20"/>
          <w:szCs w:val="20"/>
        </w:rPr>
        <w:t>while ramping up pipeline expor</w:t>
      </w:r>
      <w:r>
        <w:rPr>
          <w:i/>
          <w:iCs/>
          <w:color w:val="57585A"/>
          <w:spacing w:val="-8"/>
          <w:w w:val="97"/>
          <w:sz w:val="20"/>
          <w:szCs w:val="20"/>
        </w:rPr>
        <w:t>ts to Chile.</w:t>
      </w:r>
      <w:r>
        <w:rPr>
          <w:i/>
          <w:iCs/>
          <w:color w:val="57585A"/>
          <w:spacing w:val="7"/>
          <w:sz w:val="20"/>
          <w:szCs w:val="20"/>
        </w:rPr>
        <w:t xml:space="preserve"> </w:t>
      </w:r>
      <w:r>
        <w:rPr>
          <w:i/>
          <w:iCs/>
          <w:color w:val="57585A"/>
          <w:spacing w:val="-8"/>
          <w:w w:val="97"/>
          <w:sz w:val="20"/>
          <w:szCs w:val="20"/>
        </w:rPr>
        <w:t>Our</w:t>
      </w:r>
      <w:r>
        <w:rPr>
          <w:i/>
          <w:iCs/>
          <w:color w:val="57585A"/>
          <w:spacing w:val="-23"/>
          <w:sz w:val="20"/>
          <w:szCs w:val="20"/>
        </w:rPr>
        <w:t xml:space="preserve"> </w:t>
      </w:r>
      <w:r>
        <w:rPr>
          <w:i/>
          <w:iCs/>
          <w:color w:val="57585A"/>
          <w:spacing w:val="-8"/>
          <w:w w:val="97"/>
          <w:sz w:val="20"/>
          <w:szCs w:val="20"/>
        </w:rPr>
        <w:t>bullish outlook for</w:t>
      </w:r>
      <w:r>
        <w:rPr>
          <w:i/>
          <w:iCs/>
          <w:color w:val="57585A"/>
          <w:spacing w:val="-23"/>
          <w:sz w:val="20"/>
          <w:szCs w:val="20"/>
        </w:rPr>
        <w:t xml:space="preserve"> </w:t>
      </w:r>
      <w:r>
        <w:rPr>
          <w:i/>
          <w:iCs/>
          <w:color w:val="57585A"/>
          <w:spacing w:val="-8"/>
          <w:w w:val="97"/>
          <w:sz w:val="20"/>
          <w:szCs w:val="20"/>
        </w:rPr>
        <w:t>net</w:t>
      </w:r>
      <w:r>
        <w:rPr>
          <w:i/>
          <w:iCs/>
          <w:color w:val="57585A"/>
          <w:spacing w:val="-27"/>
          <w:sz w:val="20"/>
          <w:szCs w:val="20"/>
        </w:rPr>
        <w:t xml:space="preserve"> </w:t>
      </w:r>
      <w:r>
        <w:rPr>
          <w:i/>
          <w:iCs/>
          <w:color w:val="57585A"/>
          <w:spacing w:val="-8"/>
          <w:w w:val="97"/>
          <w:sz w:val="20"/>
          <w:szCs w:val="20"/>
        </w:rPr>
        <w:t>gas exports hinges on certain midstream infrastructure</w:t>
      </w:r>
    </w:p>
    <w:p w14:paraId="3C036F5E">
      <w:pPr>
        <w:pStyle w:val="4"/>
        <w:spacing w:before="33" w:line="285" w:lineRule="auto"/>
        <w:ind w:left="370" w:right="722" w:hanging="5"/>
        <w:rPr>
          <w:sz w:val="20"/>
          <w:szCs w:val="20"/>
        </w:rPr>
      </w:pPr>
      <w:r>
        <w:rPr>
          <w:i/>
          <w:iCs/>
          <w:color w:val="57585A"/>
          <w:spacing w:val="-9"/>
          <w:w w:val="99"/>
          <w:sz w:val="20"/>
          <w:szCs w:val="20"/>
        </w:rPr>
        <w:t>projects. In the long-term, we see booming</w:t>
      </w:r>
      <w:r>
        <w:rPr>
          <w:i/>
          <w:iCs/>
          <w:color w:val="57585A"/>
          <w:spacing w:val="-16"/>
          <w:sz w:val="20"/>
          <w:szCs w:val="20"/>
        </w:rPr>
        <w:t xml:space="preserve"> </w:t>
      </w:r>
      <w:r>
        <w:rPr>
          <w:i/>
          <w:iCs/>
          <w:color w:val="57585A"/>
          <w:spacing w:val="-9"/>
          <w:w w:val="99"/>
          <w:sz w:val="20"/>
          <w:szCs w:val="20"/>
        </w:rPr>
        <w:t>natural</w:t>
      </w:r>
      <w:r>
        <w:rPr>
          <w:i/>
          <w:iCs/>
          <w:color w:val="57585A"/>
          <w:spacing w:val="-26"/>
          <w:sz w:val="20"/>
          <w:szCs w:val="20"/>
        </w:rPr>
        <w:t xml:space="preserve"> </w:t>
      </w:r>
      <w:r>
        <w:rPr>
          <w:i/>
          <w:iCs/>
          <w:color w:val="57585A"/>
          <w:spacing w:val="-9"/>
          <w:w w:val="99"/>
          <w:sz w:val="20"/>
          <w:szCs w:val="20"/>
        </w:rPr>
        <w:t>gas</w:t>
      </w:r>
      <w:r>
        <w:rPr>
          <w:i/>
          <w:iCs/>
          <w:color w:val="57585A"/>
          <w:spacing w:val="-20"/>
          <w:sz w:val="20"/>
          <w:szCs w:val="20"/>
        </w:rPr>
        <w:t xml:space="preserve"> </w:t>
      </w:r>
      <w:r>
        <w:rPr>
          <w:i/>
          <w:iCs/>
          <w:color w:val="57585A"/>
          <w:spacing w:val="-9"/>
          <w:w w:val="99"/>
          <w:sz w:val="20"/>
          <w:szCs w:val="20"/>
        </w:rPr>
        <w:t>production to support</w:t>
      </w:r>
      <w:r>
        <w:rPr>
          <w:i/>
          <w:iCs/>
          <w:color w:val="57585A"/>
          <w:spacing w:val="-19"/>
          <w:sz w:val="20"/>
          <w:szCs w:val="20"/>
        </w:rPr>
        <w:t xml:space="preserve"> </w:t>
      </w:r>
      <w:r>
        <w:rPr>
          <w:i/>
          <w:iCs/>
          <w:color w:val="57585A"/>
          <w:spacing w:val="-9"/>
          <w:w w:val="99"/>
          <w:sz w:val="20"/>
          <w:szCs w:val="20"/>
        </w:rPr>
        <w:t>net export</w:t>
      </w:r>
      <w:r>
        <w:rPr>
          <w:i/>
          <w:iCs/>
          <w:color w:val="57585A"/>
          <w:spacing w:val="-27"/>
          <w:sz w:val="20"/>
          <w:szCs w:val="20"/>
        </w:rPr>
        <w:t xml:space="preserve"> </w:t>
      </w:r>
      <w:r>
        <w:rPr>
          <w:i/>
          <w:iCs/>
          <w:color w:val="57585A"/>
          <w:spacing w:val="-9"/>
          <w:w w:val="99"/>
          <w:sz w:val="20"/>
          <w:szCs w:val="20"/>
        </w:rPr>
        <w:t>growth, which we fore</w:t>
      </w:r>
      <w:r>
        <w:rPr>
          <w:i/>
          <w:iCs/>
          <w:color w:val="57585A"/>
          <w:spacing w:val="-10"/>
          <w:w w:val="99"/>
          <w:sz w:val="20"/>
          <w:szCs w:val="20"/>
        </w:rPr>
        <w:t>cast will</w:t>
      </w:r>
      <w:r>
        <w:rPr>
          <w:i/>
          <w:iCs/>
          <w:color w:val="57585A"/>
          <w:spacing w:val="-17"/>
          <w:sz w:val="20"/>
          <w:szCs w:val="20"/>
        </w:rPr>
        <w:t xml:space="preserve"> </w:t>
      </w:r>
      <w:r>
        <w:rPr>
          <w:i/>
          <w:iCs/>
          <w:color w:val="57585A"/>
          <w:spacing w:val="-10"/>
          <w:w w:val="99"/>
          <w:sz w:val="20"/>
          <w:szCs w:val="20"/>
        </w:rPr>
        <w:t>rise to</w:t>
      </w:r>
      <w:r>
        <w:rPr>
          <w:i/>
          <w:iCs/>
          <w:color w:val="57585A"/>
          <w:sz w:val="20"/>
          <w:szCs w:val="20"/>
        </w:rPr>
        <w:t xml:space="preserve">  </w:t>
      </w:r>
      <w:r>
        <w:rPr>
          <w:i/>
          <w:iCs/>
          <w:color w:val="57585A"/>
          <w:spacing w:val="-6"/>
          <w:w w:val="95"/>
          <w:sz w:val="20"/>
          <w:szCs w:val="20"/>
        </w:rPr>
        <w:t>6.7bcm by</w:t>
      </w:r>
      <w:r>
        <w:rPr>
          <w:i/>
          <w:iCs/>
          <w:color w:val="57585A"/>
          <w:spacing w:val="-24"/>
          <w:sz w:val="20"/>
          <w:szCs w:val="20"/>
        </w:rPr>
        <w:t xml:space="preserve"> </w:t>
      </w:r>
      <w:r>
        <w:rPr>
          <w:i/>
          <w:iCs/>
          <w:color w:val="57585A"/>
          <w:spacing w:val="-6"/>
          <w:w w:val="95"/>
          <w:sz w:val="20"/>
          <w:szCs w:val="20"/>
        </w:rPr>
        <w:t>2034.</w:t>
      </w:r>
      <w:r>
        <w:rPr>
          <w:i/>
          <w:iCs/>
          <w:color w:val="57585A"/>
          <w:spacing w:val="7"/>
          <w:sz w:val="20"/>
          <w:szCs w:val="20"/>
        </w:rPr>
        <w:t xml:space="preserve"> </w:t>
      </w:r>
      <w:r>
        <w:rPr>
          <w:i/>
          <w:iCs/>
          <w:color w:val="57585A"/>
          <w:spacing w:val="-6"/>
          <w:w w:val="95"/>
          <w:sz w:val="20"/>
          <w:szCs w:val="20"/>
        </w:rPr>
        <w:t>Our</w:t>
      </w:r>
      <w:r>
        <w:rPr>
          <w:i/>
          <w:iCs/>
          <w:color w:val="57585A"/>
          <w:spacing w:val="-18"/>
          <w:sz w:val="20"/>
          <w:szCs w:val="20"/>
        </w:rPr>
        <w:t xml:space="preserve"> </w:t>
      </w:r>
      <w:r>
        <w:rPr>
          <w:i/>
          <w:iCs/>
          <w:color w:val="57585A"/>
          <w:spacing w:val="-6"/>
          <w:w w:val="95"/>
          <w:sz w:val="20"/>
          <w:szCs w:val="20"/>
        </w:rPr>
        <w:t>current</w:t>
      </w:r>
      <w:r>
        <w:rPr>
          <w:i/>
          <w:iCs/>
          <w:color w:val="57585A"/>
          <w:spacing w:val="-15"/>
          <w:sz w:val="20"/>
          <w:szCs w:val="20"/>
        </w:rPr>
        <w:t xml:space="preserve"> </w:t>
      </w:r>
      <w:r>
        <w:rPr>
          <w:i/>
          <w:iCs/>
          <w:color w:val="57585A"/>
          <w:spacing w:val="-6"/>
          <w:w w:val="95"/>
          <w:sz w:val="20"/>
          <w:szCs w:val="20"/>
        </w:rPr>
        <w:t>fofecass remains conservative</w:t>
      </w:r>
      <w:r>
        <w:rPr>
          <w:i/>
          <w:iCs/>
          <w:color w:val="57585A"/>
          <w:spacing w:val="-16"/>
          <w:sz w:val="20"/>
          <w:szCs w:val="20"/>
        </w:rPr>
        <w:t xml:space="preserve"> </w:t>
      </w:r>
      <w:r>
        <w:rPr>
          <w:i/>
          <w:iCs/>
          <w:color w:val="57585A"/>
          <w:spacing w:val="-6"/>
          <w:w w:val="95"/>
          <w:sz w:val="20"/>
          <w:szCs w:val="20"/>
        </w:rPr>
        <w:t>given cont</w:t>
      </w:r>
      <w:r>
        <w:rPr>
          <w:i/>
          <w:iCs/>
          <w:color w:val="57585A"/>
          <w:spacing w:val="-7"/>
          <w:w w:val="95"/>
          <w:sz w:val="20"/>
          <w:szCs w:val="20"/>
        </w:rPr>
        <w:t>inues infrastructure constraints and</w:t>
      </w:r>
      <w:r>
        <w:rPr>
          <w:i/>
          <w:iCs/>
          <w:color w:val="57585A"/>
          <w:spacing w:val="-18"/>
          <w:sz w:val="20"/>
          <w:szCs w:val="20"/>
        </w:rPr>
        <w:t xml:space="preserve"> </w:t>
      </w:r>
      <w:r>
        <w:rPr>
          <w:i/>
          <w:iCs/>
          <w:color w:val="57585A"/>
          <w:spacing w:val="-7"/>
          <w:w w:val="95"/>
          <w:sz w:val="20"/>
          <w:szCs w:val="20"/>
        </w:rPr>
        <w:t>a lack of</w:t>
      </w:r>
      <w:r>
        <w:rPr>
          <w:i/>
          <w:iCs/>
          <w:color w:val="57585A"/>
          <w:spacing w:val="-37"/>
          <w:sz w:val="20"/>
          <w:szCs w:val="20"/>
        </w:rPr>
        <w:t xml:space="preserve"> </w:t>
      </w:r>
      <w:r>
        <w:rPr>
          <w:i/>
          <w:iCs/>
          <w:color w:val="57585A"/>
          <w:spacing w:val="-7"/>
          <w:w w:val="95"/>
          <w:sz w:val="20"/>
          <w:szCs w:val="20"/>
        </w:rPr>
        <w:t>LNG export</w:t>
      </w:r>
      <w:r>
        <w:rPr>
          <w:i/>
          <w:iCs/>
          <w:color w:val="57585A"/>
          <w:sz w:val="20"/>
          <w:szCs w:val="20"/>
        </w:rPr>
        <w:t xml:space="preserve"> </w:t>
      </w:r>
      <w:r>
        <w:rPr>
          <w:i/>
          <w:iCs/>
          <w:color w:val="57585A"/>
          <w:spacing w:val="-7"/>
          <w:w w:val="96"/>
          <w:sz w:val="20"/>
          <w:szCs w:val="20"/>
        </w:rPr>
        <w:t>terminals. However, we expect the</w:t>
      </w:r>
      <w:r>
        <w:rPr>
          <w:i/>
          <w:iCs/>
          <w:color w:val="57585A"/>
          <w:spacing w:val="-15"/>
          <w:sz w:val="20"/>
          <w:szCs w:val="20"/>
        </w:rPr>
        <w:t xml:space="preserve"> </w:t>
      </w:r>
      <w:r>
        <w:rPr>
          <w:i/>
          <w:iCs/>
          <w:color w:val="57585A"/>
          <w:spacing w:val="-7"/>
          <w:w w:val="96"/>
          <w:sz w:val="20"/>
          <w:szCs w:val="20"/>
        </w:rPr>
        <w:t>government of</w:t>
      </w:r>
      <w:r>
        <w:rPr>
          <w:i/>
          <w:iCs/>
          <w:color w:val="57585A"/>
          <w:spacing w:val="-8"/>
          <w:w w:val="96"/>
          <w:sz w:val="20"/>
          <w:szCs w:val="20"/>
        </w:rPr>
        <w:t>Javier</w:t>
      </w:r>
      <w:r>
        <w:rPr>
          <w:i/>
          <w:iCs/>
          <w:color w:val="57585A"/>
          <w:spacing w:val="-21"/>
          <w:sz w:val="20"/>
          <w:szCs w:val="20"/>
        </w:rPr>
        <w:t xml:space="preserve"> </w:t>
      </w:r>
      <w:r>
        <w:rPr>
          <w:i/>
          <w:iCs/>
          <w:color w:val="57585A"/>
          <w:spacing w:val="-8"/>
          <w:w w:val="96"/>
          <w:sz w:val="20"/>
          <w:szCs w:val="20"/>
        </w:rPr>
        <w:t>Milei to support the expansion of</w:t>
      </w:r>
      <w:r>
        <w:rPr>
          <w:i/>
          <w:iCs/>
          <w:color w:val="57585A"/>
          <w:spacing w:val="-37"/>
          <w:sz w:val="20"/>
          <w:szCs w:val="20"/>
        </w:rPr>
        <w:t xml:space="preserve"> </w:t>
      </w:r>
      <w:r>
        <w:rPr>
          <w:i/>
          <w:iCs/>
          <w:color w:val="57585A"/>
          <w:spacing w:val="-8"/>
          <w:w w:val="96"/>
          <w:sz w:val="20"/>
          <w:szCs w:val="20"/>
        </w:rPr>
        <w:t>LNG export capabilities and therefore</w:t>
      </w:r>
      <w:r>
        <w:rPr>
          <w:i/>
          <w:iCs/>
          <w:color w:val="57585A"/>
          <w:sz w:val="20"/>
          <w:szCs w:val="20"/>
        </w:rPr>
        <w:t xml:space="preserve"> </w:t>
      </w:r>
      <w:r>
        <w:rPr>
          <w:i/>
          <w:iCs/>
          <w:color w:val="57585A"/>
          <w:spacing w:val="-7"/>
          <w:w w:val="96"/>
          <w:sz w:val="20"/>
          <w:szCs w:val="20"/>
        </w:rPr>
        <w:t>recognise upside risks to our</w:t>
      </w:r>
      <w:r>
        <w:rPr>
          <w:i/>
          <w:iCs/>
          <w:color w:val="57585A"/>
          <w:spacing w:val="-22"/>
          <w:sz w:val="20"/>
          <w:szCs w:val="20"/>
        </w:rPr>
        <w:t xml:space="preserve"> </w:t>
      </w:r>
      <w:r>
        <w:rPr>
          <w:i/>
          <w:iCs/>
          <w:color w:val="57585A"/>
          <w:spacing w:val="-7"/>
          <w:w w:val="96"/>
          <w:sz w:val="20"/>
          <w:szCs w:val="20"/>
        </w:rPr>
        <w:t>long-term gas</w:t>
      </w:r>
      <w:r>
        <w:rPr>
          <w:i/>
          <w:iCs/>
          <w:color w:val="57585A"/>
          <w:spacing w:val="-21"/>
          <w:sz w:val="20"/>
          <w:szCs w:val="20"/>
        </w:rPr>
        <w:t xml:space="preserve"> </w:t>
      </w:r>
      <w:r>
        <w:rPr>
          <w:i/>
          <w:iCs/>
          <w:color w:val="57585A"/>
          <w:spacing w:val="-7"/>
          <w:w w:val="96"/>
          <w:sz w:val="20"/>
          <w:szCs w:val="20"/>
        </w:rPr>
        <w:t>production and</w:t>
      </w:r>
      <w:r>
        <w:rPr>
          <w:i/>
          <w:iCs/>
          <w:color w:val="57585A"/>
          <w:spacing w:val="-17"/>
          <w:sz w:val="20"/>
          <w:szCs w:val="20"/>
        </w:rPr>
        <w:t xml:space="preserve"> </w:t>
      </w:r>
      <w:r>
        <w:rPr>
          <w:i/>
          <w:iCs/>
          <w:color w:val="57585A"/>
          <w:spacing w:val="-7"/>
          <w:w w:val="96"/>
          <w:sz w:val="20"/>
          <w:szCs w:val="20"/>
        </w:rPr>
        <w:t>net exports forecasts</w:t>
      </w:r>
      <w:r>
        <w:rPr>
          <w:i/>
          <w:iCs/>
          <w:color w:val="57585A"/>
          <w:spacing w:val="-15"/>
          <w:sz w:val="20"/>
          <w:szCs w:val="20"/>
        </w:rPr>
        <w:t xml:space="preserve"> </w:t>
      </w:r>
      <w:r>
        <w:rPr>
          <w:i/>
          <w:iCs/>
          <w:color w:val="57585A"/>
          <w:spacing w:val="-7"/>
          <w:w w:val="96"/>
          <w:sz w:val="20"/>
          <w:szCs w:val="20"/>
        </w:rPr>
        <w:t>stemming from advancing talk</w:t>
      </w:r>
      <w:r>
        <w:rPr>
          <w:i/>
          <w:iCs/>
          <w:color w:val="57585A"/>
          <w:spacing w:val="-8"/>
          <w:w w:val="96"/>
          <w:sz w:val="20"/>
          <w:szCs w:val="20"/>
        </w:rPr>
        <w:t>s about</w:t>
      </w:r>
      <w:r>
        <w:rPr>
          <w:i/>
          <w:iCs/>
          <w:color w:val="57585A"/>
          <w:spacing w:val="-20"/>
          <w:sz w:val="20"/>
          <w:szCs w:val="20"/>
        </w:rPr>
        <w:t xml:space="preserve"> </w:t>
      </w:r>
      <w:r>
        <w:rPr>
          <w:i/>
          <w:iCs/>
          <w:color w:val="57585A"/>
          <w:spacing w:val="-8"/>
          <w:w w:val="96"/>
          <w:sz w:val="20"/>
          <w:szCs w:val="20"/>
        </w:rPr>
        <w:t>a large-</w:t>
      </w:r>
      <w:r>
        <w:rPr>
          <w:i/>
          <w:iCs/>
          <w:color w:val="57585A"/>
          <w:sz w:val="20"/>
          <w:szCs w:val="20"/>
        </w:rPr>
        <w:t xml:space="preserve"> </w:t>
      </w:r>
      <w:r>
        <w:rPr>
          <w:i/>
          <w:iCs/>
          <w:color w:val="57585A"/>
          <w:spacing w:val="-8"/>
          <w:w w:val="95"/>
          <w:sz w:val="20"/>
          <w:szCs w:val="20"/>
        </w:rPr>
        <w:t>scale LNG facility.</w:t>
      </w:r>
    </w:p>
    <w:p w14:paraId="49E26132">
      <w:pPr>
        <w:pStyle w:val="4"/>
        <w:spacing w:line="332" w:lineRule="auto"/>
      </w:pPr>
    </w:p>
    <w:p w14:paraId="7FE1D6CB">
      <w:pPr>
        <w:pStyle w:val="4"/>
        <w:spacing w:line="333" w:lineRule="auto"/>
      </w:pPr>
    </w:p>
    <w:p w14:paraId="0CF2CF8E">
      <w:pPr>
        <w:pStyle w:val="4"/>
        <w:spacing w:before="70" w:line="182" w:lineRule="auto"/>
        <w:ind w:left="378"/>
        <w:outlineLvl w:val="2"/>
        <w:rPr>
          <w:sz w:val="24"/>
          <w:szCs w:val="24"/>
        </w:rPr>
      </w:pPr>
      <w:r>
        <w:rPr>
          <w:b/>
          <w:bCs/>
          <w:color w:val="174174"/>
          <w:spacing w:val="-9"/>
          <w:sz w:val="24"/>
          <w:szCs w:val="24"/>
        </w:rPr>
        <w:t>Latest Updates</w:t>
      </w:r>
    </w:p>
    <w:p w14:paraId="1E3B766B">
      <w:pPr>
        <w:pStyle w:val="4"/>
        <w:spacing w:line="357" w:lineRule="auto"/>
      </w:pPr>
    </w:p>
    <w:p w14:paraId="6FB4F355">
      <w:pPr>
        <w:pStyle w:val="4"/>
        <w:spacing w:before="57" w:line="234" w:lineRule="auto"/>
        <w:ind w:left="357"/>
        <w:rPr>
          <w:sz w:val="20"/>
          <w:szCs w:val="20"/>
        </w:rPr>
      </w:pPr>
      <w:r>
        <w:rPr>
          <w:color w:val="33CCFF"/>
          <w:spacing w:val="-11"/>
          <w:sz w:val="20"/>
          <w:szCs w:val="20"/>
        </w:rPr>
        <w:t xml:space="preserve">•   </w:t>
      </w:r>
      <w:r>
        <w:rPr>
          <w:color w:val="57585A"/>
          <w:spacing w:val="-11"/>
          <w:sz w:val="20"/>
          <w:szCs w:val="20"/>
        </w:rPr>
        <w:t>We expect</w:t>
      </w:r>
      <w:r>
        <w:rPr>
          <w:color w:val="57585A"/>
          <w:spacing w:val="-15"/>
          <w:sz w:val="20"/>
          <w:szCs w:val="20"/>
        </w:rPr>
        <w:t xml:space="preserve"> </w:t>
      </w:r>
      <w:r>
        <w:rPr>
          <w:color w:val="57585A"/>
          <w:spacing w:val="-11"/>
          <w:sz w:val="20"/>
          <w:szCs w:val="20"/>
        </w:rPr>
        <w:t>Argentina to become a net exporter of</w:t>
      </w:r>
      <w:r>
        <w:rPr>
          <w:color w:val="57585A"/>
          <w:spacing w:val="-17"/>
          <w:sz w:val="20"/>
          <w:szCs w:val="20"/>
        </w:rPr>
        <w:t xml:space="preserve"> </w:t>
      </w:r>
      <w:r>
        <w:rPr>
          <w:color w:val="57585A"/>
          <w:spacing w:val="-11"/>
          <w:sz w:val="20"/>
          <w:szCs w:val="20"/>
        </w:rPr>
        <w:t>gas in 2025, as it cuts pipeline imports from Boliv</w:t>
      </w:r>
      <w:r>
        <w:rPr>
          <w:color w:val="57585A"/>
          <w:spacing w:val="-12"/>
          <w:sz w:val="20"/>
          <w:szCs w:val="20"/>
        </w:rPr>
        <w:t>ia and</w:t>
      </w:r>
      <w:r>
        <w:rPr>
          <w:color w:val="57585A"/>
          <w:spacing w:val="1"/>
          <w:sz w:val="20"/>
          <w:szCs w:val="20"/>
        </w:rPr>
        <w:t xml:space="preserve"> </w:t>
      </w:r>
      <w:r>
        <w:rPr>
          <w:color w:val="57585A"/>
          <w:spacing w:val="-12"/>
          <w:sz w:val="20"/>
          <w:szCs w:val="20"/>
        </w:rPr>
        <w:t>LNG</w:t>
      </w:r>
      <w:r>
        <w:rPr>
          <w:color w:val="57585A"/>
          <w:spacing w:val="-4"/>
          <w:sz w:val="20"/>
          <w:szCs w:val="20"/>
        </w:rPr>
        <w:t xml:space="preserve"> </w:t>
      </w:r>
      <w:r>
        <w:rPr>
          <w:color w:val="57585A"/>
          <w:spacing w:val="-12"/>
          <w:sz w:val="20"/>
          <w:szCs w:val="20"/>
        </w:rPr>
        <w:t>imports,</w:t>
      </w:r>
      <w:r>
        <w:rPr>
          <w:color w:val="57585A"/>
          <w:spacing w:val="-15"/>
          <w:sz w:val="20"/>
          <w:szCs w:val="20"/>
        </w:rPr>
        <w:t xml:space="preserve"> </w:t>
      </w:r>
      <w:r>
        <w:rPr>
          <w:color w:val="57585A"/>
          <w:spacing w:val="-12"/>
          <w:sz w:val="20"/>
          <w:szCs w:val="20"/>
        </w:rPr>
        <w:t>while</w:t>
      </w:r>
    </w:p>
    <w:p w14:paraId="25456440">
      <w:pPr>
        <w:pStyle w:val="4"/>
        <w:spacing w:before="56" w:line="262" w:lineRule="auto"/>
        <w:ind w:left="612" w:right="371" w:firstLine="5"/>
        <w:rPr>
          <w:sz w:val="20"/>
          <w:szCs w:val="20"/>
        </w:rPr>
      </w:pPr>
      <w:r>
        <w:rPr>
          <w:color w:val="57585A"/>
          <w:spacing w:val="-11"/>
          <w:sz w:val="20"/>
          <w:szCs w:val="20"/>
        </w:rPr>
        <w:t>ramping up pipeline exports to Chile. We note that the completion of</w:t>
      </w:r>
      <w:r>
        <w:rPr>
          <w:color w:val="57585A"/>
          <w:spacing w:val="-16"/>
          <w:sz w:val="20"/>
          <w:szCs w:val="20"/>
        </w:rPr>
        <w:t xml:space="preserve"> </w:t>
      </w:r>
      <w:r>
        <w:rPr>
          <w:color w:val="57585A"/>
          <w:spacing w:val="-11"/>
          <w:sz w:val="20"/>
          <w:szCs w:val="20"/>
        </w:rPr>
        <w:t>the Northern Pipeline Reversal project in October 2024</w:t>
      </w:r>
      <w:r>
        <w:rPr>
          <w:color w:val="57585A"/>
          <w:spacing w:val="-16"/>
          <w:sz w:val="20"/>
          <w:szCs w:val="20"/>
        </w:rPr>
        <w:t xml:space="preserve"> </w:t>
      </w:r>
      <w:r>
        <w:rPr>
          <w:color w:val="57585A"/>
          <w:spacing w:val="-11"/>
          <w:sz w:val="20"/>
          <w:szCs w:val="20"/>
        </w:rPr>
        <w:t>was</w:t>
      </w:r>
      <w:r>
        <w:rPr>
          <w:color w:val="57585A"/>
          <w:sz w:val="20"/>
          <w:szCs w:val="20"/>
        </w:rPr>
        <w:t xml:space="preserve"> </w:t>
      </w:r>
      <w:r>
        <w:rPr>
          <w:color w:val="57585A"/>
          <w:spacing w:val="-11"/>
          <w:sz w:val="20"/>
          <w:szCs w:val="20"/>
        </w:rPr>
        <w:t>a major milestone to raise gas self-sufficiency, by supplying seven nort</w:t>
      </w:r>
      <w:r>
        <w:rPr>
          <w:color w:val="57585A"/>
          <w:spacing w:val="-12"/>
          <w:sz w:val="20"/>
          <w:szCs w:val="20"/>
        </w:rPr>
        <w:t>hern-most provinces by domestically produced gas as</w:t>
      </w:r>
    </w:p>
    <w:p w14:paraId="4905D3E6">
      <w:pPr>
        <w:pStyle w:val="4"/>
        <w:spacing w:before="58" w:line="262" w:lineRule="auto"/>
        <w:ind w:left="614" w:right="631"/>
        <w:rPr>
          <w:sz w:val="20"/>
          <w:szCs w:val="20"/>
        </w:rPr>
      </w:pPr>
      <w:r>
        <w:rPr>
          <w:color w:val="57585A"/>
          <w:spacing w:val="-11"/>
          <w:sz w:val="20"/>
          <w:szCs w:val="20"/>
        </w:rPr>
        <w:t>opposed imported Bolivian gas.</w:t>
      </w:r>
      <w:r>
        <w:rPr>
          <w:color w:val="57585A"/>
          <w:spacing w:val="-16"/>
          <w:sz w:val="20"/>
          <w:szCs w:val="20"/>
        </w:rPr>
        <w:t xml:space="preserve"> </w:t>
      </w:r>
      <w:r>
        <w:rPr>
          <w:color w:val="57585A"/>
          <w:spacing w:val="-11"/>
          <w:sz w:val="20"/>
          <w:szCs w:val="20"/>
        </w:rPr>
        <w:t>Argentina terminated gas</w:t>
      </w:r>
      <w:r>
        <w:rPr>
          <w:color w:val="57585A"/>
          <w:spacing w:val="-12"/>
          <w:sz w:val="20"/>
          <w:szCs w:val="20"/>
        </w:rPr>
        <w:t xml:space="preserve"> imports from Bolivia over Q3 2024,</w:t>
      </w:r>
      <w:r>
        <w:rPr>
          <w:color w:val="57585A"/>
          <w:spacing w:val="-16"/>
          <w:sz w:val="20"/>
          <w:szCs w:val="20"/>
        </w:rPr>
        <w:t xml:space="preserve"> </w:t>
      </w:r>
      <w:r>
        <w:rPr>
          <w:color w:val="57585A"/>
          <w:spacing w:val="-12"/>
          <w:sz w:val="20"/>
          <w:szCs w:val="20"/>
        </w:rPr>
        <w:t>while ramping up gas exports to</w:t>
      </w:r>
      <w:r>
        <w:rPr>
          <w:color w:val="57585A"/>
          <w:sz w:val="20"/>
          <w:szCs w:val="20"/>
        </w:rPr>
        <w:t xml:space="preserve"> </w:t>
      </w:r>
      <w:r>
        <w:rPr>
          <w:color w:val="57585A"/>
          <w:spacing w:val="-11"/>
          <w:sz w:val="20"/>
          <w:szCs w:val="20"/>
        </w:rPr>
        <w:t>Chile. The prospect of exporting gas</w:t>
      </w:r>
      <w:r>
        <w:rPr>
          <w:color w:val="57585A"/>
          <w:spacing w:val="-13"/>
          <w:sz w:val="20"/>
          <w:szCs w:val="20"/>
        </w:rPr>
        <w:t xml:space="preserve"> </w:t>
      </w:r>
      <w:r>
        <w:rPr>
          <w:color w:val="57585A"/>
          <w:spacing w:val="-11"/>
          <w:sz w:val="20"/>
          <w:szCs w:val="20"/>
        </w:rPr>
        <w:t>through</w:t>
      </w:r>
      <w:r>
        <w:rPr>
          <w:color w:val="57585A"/>
          <w:spacing w:val="-12"/>
          <w:sz w:val="20"/>
          <w:szCs w:val="20"/>
        </w:rPr>
        <w:t xml:space="preserve"> </w:t>
      </w:r>
      <w:r>
        <w:rPr>
          <w:color w:val="57585A"/>
          <w:spacing w:val="-11"/>
          <w:sz w:val="20"/>
          <w:szCs w:val="20"/>
        </w:rPr>
        <w:t>the Bolivian gas grid to Brazil further supports our bullish</w:t>
      </w:r>
      <w:r>
        <w:rPr>
          <w:color w:val="57585A"/>
          <w:spacing w:val="-16"/>
          <w:sz w:val="20"/>
          <w:szCs w:val="20"/>
        </w:rPr>
        <w:t xml:space="preserve"> </w:t>
      </w:r>
      <w:r>
        <w:rPr>
          <w:color w:val="57585A"/>
          <w:spacing w:val="-11"/>
          <w:sz w:val="20"/>
          <w:szCs w:val="20"/>
        </w:rPr>
        <w:t>view.</w:t>
      </w:r>
    </w:p>
    <w:p w14:paraId="71AEA92A">
      <w:pPr>
        <w:pStyle w:val="4"/>
        <w:spacing w:before="57" w:line="262" w:lineRule="auto"/>
        <w:ind w:left="604" w:right="411" w:hanging="247"/>
        <w:rPr>
          <w:sz w:val="20"/>
          <w:szCs w:val="20"/>
        </w:rPr>
      </w:pPr>
      <w:r>
        <w:rPr>
          <w:color w:val="33CCFF"/>
          <w:spacing w:val="-11"/>
          <w:sz w:val="20"/>
          <w:szCs w:val="20"/>
        </w:rPr>
        <w:t xml:space="preserve">•   </w:t>
      </w:r>
      <w:r>
        <w:rPr>
          <w:color w:val="57585A"/>
          <w:spacing w:val="-11"/>
          <w:sz w:val="20"/>
          <w:szCs w:val="20"/>
        </w:rPr>
        <w:t>We currently see net g</w:t>
      </w:r>
      <w:r>
        <w:rPr>
          <w:color w:val="57585A"/>
          <w:spacing w:val="-12"/>
          <w:sz w:val="20"/>
          <w:szCs w:val="20"/>
        </w:rPr>
        <w:t>as exports reaching 1.3bcm in 2025 and</w:t>
      </w:r>
      <w:r>
        <w:rPr>
          <w:color w:val="57585A"/>
          <w:spacing w:val="2"/>
          <w:sz w:val="20"/>
          <w:szCs w:val="20"/>
        </w:rPr>
        <w:t xml:space="preserve"> </w:t>
      </w:r>
      <w:r>
        <w:rPr>
          <w:color w:val="57585A"/>
          <w:spacing w:val="-12"/>
          <w:sz w:val="20"/>
          <w:szCs w:val="20"/>
        </w:rPr>
        <w:t>1.4bcm in</w:t>
      </w:r>
      <w:r>
        <w:rPr>
          <w:color w:val="57585A"/>
          <w:spacing w:val="-4"/>
          <w:sz w:val="20"/>
          <w:szCs w:val="20"/>
        </w:rPr>
        <w:t xml:space="preserve"> </w:t>
      </w:r>
      <w:r>
        <w:rPr>
          <w:color w:val="57585A"/>
          <w:spacing w:val="-12"/>
          <w:sz w:val="20"/>
          <w:szCs w:val="20"/>
        </w:rPr>
        <w:t>2026. We note</w:t>
      </w:r>
      <w:r>
        <w:rPr>
          <w:color w:val="57585A"/>
          <w:spacing w:val="-2"/>
          <w:sz w:val="20"/>
          <w:szCs w:val="20"/>
        </w:rPr>
        <w:t xml:space="preserve"> </w:t>
      </w:r>
      <w:r>
        <w:rPr>
          <w:color w:val="57585A"/>
          <w:spacing w:val="-12"/>
          <w:sz w:val="20"/>
          <w:szCs w:val="20"/>
        </w:rPr>
        <w:t>however existing</w:t>
      </w:r>
      <w:r>
        <w:rPr>
          <w:color w:val="57585A"/>
          <w:spacing w:val="-2"/>
          <w:sz w:val="20"/>
          <w:szCs w:val="20"/>
        </w:rPr>
        <w:t xml:space="preserve"> </w:t>
      </w:r>
      <w:r>
        <w:rPr>
          <w:color w:val="57585A"/>
          <w:spacing w:val="-12"/>
          <w:sz w:val="20"/>
          <w:szCs w:val="20"/>
        </w:rPr>
        <w:t>risk of</w:t>
      </w:r>
      <w:r>
        <w:rPr>
          <w:color w:val="57585A"/>
          <w:spacing w:val="-18"/>
          <w:sz w:val="20"/>
          <w:szCs w:val="20"/>
        </w:rPr>
        <w:t xml:space="preserve"> </w:t>
      </w:r>
      <w:r>
        <w:rPr>
          <w:color w:val="57585A"/>
          <w:spacing w:val="-12"/>
          <w:sz w:val="20"/>
          <w:szCs w:val="20"/>
        </w:rPr>
        <w:t>severe</w:t>
      </w:r>
      <w:r>
        <w:rPr>
          <w:color w:val="57585A"/>
          <w:spacing w:val="-15"/>
          <w:sz w:val="20"/>
          <w:szCs w:val="20"/>
        </w:rPr>
        <w:t xml:space="preserve"> </w:t>
      </w:r>
      <w:r>
        <w:rPr>
          <w:color w:val="57585A"/>
          <w:spacing w:val="-12"/>
          <w:sz w:val="20"/>
          <w:szCs w:val="20"/>
        </w:rPr>
        <w:t>weather</w:t>
      </w:r>
      <w:r>
        <w:rPr>
          <w:color w:val="57585A"/>
          <w:sz w:val="20"/>
          <w:szCs w:val="20"/>
        </w:rPr>
        <w:t xml:space="preserve"> </w:t>
      </w:r>
      <w:r>
        <w:rPr>
          <w:color w:val="57585A"/>
          <w:spacing w:val="-10"/>
          <w:sz w:val="20"/>
          <w:szCs w:val="20"/>
        </w:rPr>
        <w:t>which</w:t>
      </w:r>
      <w:r>
        <w:rPr>
          <w:color w:val="57585A"/>
          <w:spacing w:val="-15"/>
          <w:sz w:val="20"/>
          <w:szCs w:val="20"/>
        </w:rPr>
        <w:t xml:space="preserve"> </w:t>
      </w:r>
      <w:r>
        <w:rPr>
          <w:color w:val="57585A"/>
          <w:spacing w:val="-10"/>
          <w:sz w:val="20"/>
          <w:szCs w:val="20"/>
        </w:rPr>
        <w:t>would limit</w:t>
      </w:r>
      <w:r>
        <w:rPr>
          <w:color w:val="57585A"/>
          <w:spacing w:val="-16"/>
          <w:sz w:val="20"/>
          <w:szCs w:val="20"/>
        </w:rPr>
        <w:t xml:space="preserve"> </w:t>
      </w:r>
      <w:r>
        <w:rPr>
          <w:color w:val="57585A"/>
          <w:spacing w:val="-10"/>
          <w:sz w:val="20"/>
          <w:szCs w:val="20"/>
        </w:rPr>
        <w:t>volumes available for exports.</w:t>
      </w:r>
      <w:r>
        <w:rPr>
          <w:color w:val="57585A"/>
          <w:spacing w:val="-16"/>
          <w:sz w:val="20"/>
          <w:szCs w:val="20"/>
        </w:rPr>
        <w:t xml:space="preserve"> </w:t>
      </w:r>
      <w:r>
        <w:rPr>
          <w:color w:val="57585A"/>
          <w:spacing w:val="-10"/>
          <w:sz w:val="20"/>
          <w:szCs w:val="20"/>
        </w:rPr>
        <w:t>At the same time,</w:t>
      </w:r>
      <w:r>
        <w:rPr>
          <w:color w:val="57585A"/>
          <w:spacing w:val="-15"/>
          <w:sz w:val="20"/>
          <w:szCs w:val="20"/>
        </w:rPr>
        <w:t xml:space="preserve"> </w:t>
      </w:r>
      <w:r>
        <w:rPr>
          <w:color w:val="57585A"/>
          <w:spacing w:val="-11"/>
          <w:sz w:val="20"/>
          <w:szCs w:val="20"/>
        </w:rPr>
        <w:t>we highlight existing cross-border midstream infrastructure</w:t>
      </w:r>
    </w:p>
    <w:p w14:paraId="29F70A34">
      <w:pPr>
        <w:pStyle w:val="4"/>
        <w:spacing w:before="59" w:line="234" w:lineRule="auto"/>
        <w:ind w:left="604"/>
        <w:rPr>
          <w:sz w:val="20"/>
          <w:szCs w:val="20"/>
        </w:rPr>
      </w:pPr>
      <w:r>
        <w:rPr>
          <w:color w:val="57585A"/>
          <w:spacing w:val="-11"/>
          <w:sz w:val="20"/>
          <w:szCs w:val="20"/>
        </w:rPr>
        <w:t>which adds upside risks to our e</w:t>
      </w:r>
      <w:r>
        <w:rPr>
          <w:color w:val="57585A"/>
          <w:spacing w:val="-12"/>
          <w:sz w:val="20"/>
          <w:szCs w:val="20"/>
        </w:rPr>
        <w:t>xports forecast.</w:t>
      </w:r>
    </w:p>
    <w:p w14:paraId="5F91B03C">
      <w:pPr>
        <w:pStyle w:val="4"/>
        <w:spacing w:before="55" w:line="262" w:lineRule="auto"/>
        <w:ind w:left="612" w:right="509" w:hanging="255"/>
        <w:rPr>
          <w:sz w:val="20"/>
          <w:szCs w:val="20"/>
        </w:rPr>
      </w:pPr>
      <w:r>
        <w:rPr>
          <w:color w:val="33CCFF"/>
          <w:spacing w:val="-11"/>
          <w:sz w:val="20"/>
          <w:szCs w:val="20"/>
        </w:rPr>
        <w:t xml:space="preserve">•   </w:t>
      </w:r>
      <w:r>
        <w:rPr>
          <w:color w:val="57585A"/>
          <w:spacing w:val="-11"/>
          <w:sz w:val="20"/>
          <w:szCs w:val="20"/>
        </w:rPr>
        <w:t>In November 2024,</w:t>
      </w:r>
      <w:r>
        <w:rPr>
          <w:color w:val="57585A"/>
          <w:spacing w:val="1"/>
          <w:sz w:val="20"/>
          <w:szCs w:val="20"/>
        </w:rPr>
        <w:t xml:space="preserve"> </w:t>
      </w:r>
      <w:r>
        <w:rPr>
          <w:color w:val="57585A"/>
          <w:spacing w:val="-11"/>
          <w:sz w:val="20"/>
          <w:szCs w:val="20"/>
        </w:rPr>
        <w:t>Brazil and</w:t>
      </w:r>
      <w:r>
        <w:rPr>
          <w:color w:val="57585A"/>
          <w:spacing w:val="-16"/>
          <w:sz w:val="20"/>
          <w:szCs w:val="20"/>
        </w:rPr>
        <w:t xml:space="preserve"> </w:t>
      </w:r>
      <w:r>
        <w:rPr>
          <w:color w:val="57585A"/>
          <w:spacing w:val="-11"/>
          <w:sz w:val="20"/>
          <w:szCs w:val="20"/>
        </w:rPr>
        <w:t>Argentina signed an MoU to facil</w:t>
      </w:r>
      <w:r>
        <w:rPr>
          <w:color w:val="57585A"/>
          <w:spacing w:val="-12"/>
          <w:sz w:val="20"/>
          <w:szCs w:val="20"/>
        </w:rPr>
        <w:t>itate gas exports from the Vaca Muerta shale formation. The two</w:t>
      </w:r>
      <w:r>
        <w:rPr>
          <w:color w:val="57585A"/>
          <w:sz w:val="20"/>
          <w:szCs w:val="20"/>
        </w:rPr>
        <w:t xml:space="preserve"> </w:t>
      </w:r>
      <w:r>
        <w:rPr>
          <w:color w:val="57585A"/>
          <w:spacing w:val="-10"/>
          <w:sz w:val="20"/>
          <w:szCs w:val="20"/>
        </w:rPr>
        <w:t xml:space="preserve">governments estimate </w:t>
      </w:r>
      <w:r>
        <w:rPr>
          <w:color w:val="57585A"/>
          <w:spacing w:val="-11"/>
          <w:sz w:val="20"/>
          <w:szCs w:val="20"/>
        </w:rPr>
        <w:t>gas exports to start at about 2mn cm per day in 2025 (0.7bcm in 2025), to rise to 10mncm per day</w:t>
      </w:r>
    </w:p>
    <w:p w14:paraId="3A3E3AC4">
      <w:pPr>
        <w:pStyle w:val="4"/>
        <w:spacing w:before="59" w:line="231" w:lineRule="auto"/>
        <w:ind w:left="613"/>
        <w:rPr>
          <w:sz w:val="20"/>
          <w:szCs w:val="20"/>
        </w:rPr>
      </w:pPr>
      <w:r>
        <w:rPr>
          <w:color w:val="57585A"/>
          <w:spacing w:val="-11"/>
          <w:sz w:val="20"/>
          <w:szCs w:val="20"/>
        </w:rPr>
        <w:t>(3.6bcm per</w:t>
      </w:r>
      <w:r>
        <w:rPr>
          <w:color w:val="57585A"/>
          <w:spacing w:val="-15"/>
          <w:sz w:val="20"/>
          <w:szCs w:val="20"/>
        </w:rPr>
        <w:t xml:space="preserve"> </w:t>
      </w:r>
      <w:r>
        <w:rPr>
          <w:color w:val="57585A"/>
          <w:spacing w:val="-11"/>
          <w:sz w:val="20"/>
          <w:szCs w:val="20"/>
        </w:rPr>
        <w:t>year) in the next three</w:t>
      </w:r>
      <w:r>
        <w:rPr>
          <w:color w:val="57585A"/>
          <w:spacing w:val="-16"/>
          <w:sz w:val="20"/>
          <w:szCs w:val="20"/>
        </w:rPr>
        <w:t xml:space="preserve"> </w:t>
      </w:r>
      <w:r>
        <w:rPr>
          <w:color w:val="57585A"/>
          <w:spacing w:val="-11"/>
          <w:sz w:val="20"/>
          <w:szCs w:val="20"/>
        </w:rPr>
        <w:t>years, reaching 30mnc</w:t>
      </w:r>
      <w:r>
        <w:rPr>
          <w:color w:val="57585A"/>
          <w:spacing w:val="-12"/>
          <w:sz w:val="20"/>
          <w:szCs w:val="20"/>
        </w:rPr>
        <w:t>m per day in 2030 (11bcm per</w:t>
      </w:r>
      <w:r>
        <w:rPr>
          <w:color w:val="57585A"/>
          <w:spacing w:val="-15"/>
          <w:sz w:val="20"/>
          <w:szCs w:val="20"/>
        </w:rPr>
        <w:t xml:space="preserve"> </w:t>
      </w:r>
      <w:r>
        <w:rPr>
          <w:color w:val="57585A"/>
          <w:spacing w:val="-12"/>
          <w:sz w:val="20"/>
          <w:szCs w:val="20"/>
        </w:rPr>
        <w:t>year).</w:t>
      </w:r>
    </w:p>
    <w:p w14:paraId="58381E38">
      <w:pPr>
        <w:pStyle w:val="4"/>
        <w:spacing w:before="58" w:line="262" w:lineRule="auto"/>
        <w:ind w:left="613" w:right="360" w:hanging="256"/>
        <w:rPr>
          <w:sz w:val="20"/>
          <w:szCs w:val="20"/>
        </w:rPr>
      </w:pPr>
      <w:r>
        <w:rPr>
          <w:color w:val="33CCFF"/>
          <w:spacing w:val="-11"/>
          <w:sz w:val="20"/>
          <w:szCs w:val="20"/>
        </w:rPr>
        <w:t xml:space="preserve">•   </w:t>
      </w:r>
      <w:r>
        <w:rPr>
          <w:color w:val="57585A"/>
          <w:spacing w:val="-11"/>
          <w:sz w:val="20"/>
          <w:szCs w:val="20"/>
        </w:rPr>
        <w:t xml:space="preserve">On the LNG front, the passage ofthe Milei’s Law of </w:t>
      </w:r>
      <w:r>
        <w:rPr>
          <w:color w:val="57585A"/>
          <w:spacing w:val="-12"/>
          <w:sz w:val="20"/>
          <w:szCs w:val="20"/>
        </w:rPr>
        <w:t>Bases in</w:t>
      </w:r>
      <w:r>
        <w:rPr>
          <w:color w:val="57585A"/>
          <w:spacing w:val="-1"/>
          <w:sz w:val="20"/>
          <w:szCs w:val="20"/>
        </w:rPr>
        <w:t xml:space="preserve"> </w:t>
      </w:r>
      <w:r>
        <w:rPr>
          <w:color w:val="57585A"/>
          <w:spacing w:val="-12"/>
          <w:sz w:val="20"/>
          <w:szCs w:val="20"/>
        </w:rPr>
        <w:t>late</w:t>
      </w:r>
      <w:r>
        <w:rPr>
          <w:color w:val="57585A"/>
          <w:spacing w:val="-23"/>
          <w:sz w:val="20"/>
          <w:szCs w:val="20"/>
        </w:rPr>
        <w:t xml:space="preserve"> </w:t>
      </w:r>
      <w:r>
        <w:rPr>
          <w:color w:val="57585A"/>
          <w:spacing w:val="-12"/>
          <w:sz w:val="20"/>
          <w:szCs w:val="20"/>
        </w:rPr>
        <w:t>June 2024,</w:t>
      </w:r>
      <w:r>
        <w:rPr>
          <w:color w:val="57585A"/>
          <w:spacing w:val="-16"/>
          <w:sz w:val="20"/>
          <w:szCs w:val="20"/>
        </w:rPr>
        <w:t xml:space="preserve"> </w:t>
      </w:r>
      <w:r>
        <w:rPr>
          <w:color w:val="57585A"/>
          <w:spacing w:val="-12"/>
          <w:sz w:val="20"/>
          <w:szCs w:val="20"/>
        </w:rPr>
        <w:t>which</w:t>
      </w:r>
      <w:r>
        <w:rPr>
          <w:color w:val="57585A"/>
          <w:spacing w:val="-4"/>
          <w:sz w:val="20"/>
          <w:szCs w:val="20"/>
        </w:rPr>
        <w:t xml:space="preserve"> </w:t>
      </w:r>
      <w:r>
        <w:rPr>
          <w:color w:val="57585A"/>
          <w:spacing w:val="-12"/>
          <w:sz w:val="20"/>
          <w:szCs w:val="20"/>
        </w:rPr>
        <w:t>included the large-scale</w:t>
      </w:r>
      <w:r>
        <w:rPr>
          <w:color w:val="57585A"/>
          <w:spacing w:val="-4"/>
          <w:sz w:val="20"/>
          <w:szCs w:val="20"/>
        </w:rPr>
        <w:t xml:space="preserve"> </w:t>
      </w:r>
      <w:r>
        <w:rPr>
          <w:color w:val="57585A"/>
          <w:spacing w:val="-12"/>
          <w:sz w:val="20"/>
          <w:szCs w:val="20"/>
        </w:rPr>
        <w:t>investment framework</w:t>
      </w:r>
      <w:r>
        <w:rPr>
          <w:color w:val="57585A"/>
          <w:sz w:val="20"/>
          <w:szCs w:val="20"/>
        </w:rPr>
        <w:t xml:space="preserve"> </w:t>
      </w:r>
      <w:r>
        <w:rPr>
          <w:color w:val="57585A"/>
          <w:spacing w:val="-11"/>
          <w:sz w:val="20"/>
          <w:szCs w:val="20"/>
        </w:rPr>
        <w:t>(RIGI) marks a broad improvement of</w:t>
      </w:r>
      <w:r>
        <w:rPr>
          <w:color w:val="57585A"/>
          <w:spacing w:val="-21"/>
          <w:sz w:val="20"/>
          <w:szCs w:val="20"/>
        </w:rPr>
        <w:t xml:space="preserve"> </w:t>
      </w:r>
      <w:r>
        <w:rPr>
          <w:color w:val="57585A"/>
          <w:spacing w:val="-11"/>
          <w:sz w:val="20"/>
          <w:szCs w:val="20"/>
        </w:rPr>
        <w:t>the regulatory framework for the future large-sca</w:t>
      </w:r>
      <w:r>
        <w:rPr>
          <w:color w:val="57585A"/>
          <w:spacing w:val="-12"/>
          <w:sz w:val="20"/>
          <w:szCs w:val="20"/>
        </w:rPr>
        <w:t>le LNG (and other) investments in the</w:t>
      </w:r>
    </w:p>
    <w:p w14:paraId="6C4CB1DC">
      <w:pPr>
        <w:pStyle w:val="4"/>
        <w:spacing w:before="58" w:line="262" w:lineRule="auto"/>
        <w:ind w:left="612" w:right="544" w:firstLine="1"/>
        <w:rPr>
          <w:sz w:val="20"/>
          <w:szCs w:val="20"/>
        </w:rPr>
      </w:pPr>
      <w:r>
        <w:rPr>
          <w:color w:val="57585A"/>
          <w:spacing w:val="-12"/>
          <w:sz w:val="20"/>
          <w:szCs w:val="20"/>
        </w:rPr>
        <w:t>country. In</w:t>
      </w:r>
      <w:r>
        <w:rPr>
          <w:color w:val="57585A"/>
          <w:spacing w:val="-16"/>
          <w:sz w:val="20"/>
          <w:szCs w:val="20"/>
        </w:rPr>
        <w:t xml:space="preserve"> </w:t>
      </w:r>
      <w:r>
        <w:rPr>
          <w:color w:val="57585A"/>
          <w:spacing w:val="-12"/>
          <w:sz w:val="20"/>
          <w:szCs w:val="20"/>
        </w:rPr>
        <w:t>August 2024,</w:t>
      </w:r>
      <w:r>
        <w:rPr>
          <w:color w:val="57585A"/>
          <w:spacing w:val="-15"/>
          <w:sz w:val="20"/>
          <w:szCs w:val="20"/>
        </w:rPr>
        <w:t xml:space="preserve"> </w:t>
      </w:r>
      <w:r>
        <w:rPr>
          <w:color w:val="57585A"/>
          <w:spacing w:val="-12"/>
          <w:sz w:val="20"/>
          <w:szCs w:val="20"/>
        </w:rPr>
        <w:t>YPF and Petronas,</w:t>
      </w:r>
      <w:r>
        <w:rPr>
          <w:color w:val="57585A"/>
          <w:spacing w:val="-16"/>
          <w:sz w:val="20"/>
          <w:szCs w:val="20"/>
        </w:rPr>
        <w:t xml:space="preserve"> </w:t>
      </w:r>
      <w:r>
        <w:rPr>
          <w:color w:val="57585A"/>
          <w:spacing w:val="-12"/>
          <w:sz w:val="20"/>
          <w:szCs w:val="20"/>
        </w:rPr>
        <w:t xml:space="preserve">which are </w:t>
      </w:r>
      <w:r>
        <w:rPr>
          <w:color w:val="57585A"/>
          <w:spacing w:val="-13"/>
          <w:sz w:val="20"/>
          <w:szCs w:val="20"/>
        </w:rPr>
        <w:t>planning a USD50bn export terminal in</w:t>
      </w:r>
      <w:r>
        <w:rPr>
          <w:color w:val="57585A"/>
          <w:spacing w:val="-16"/>
          <w:sz w:val="20"/>
          <w:szCs w:val="20"/>
        </w:rPr>
        <w:t xml:space="preserve"> </w:t>
      </w:r>
      <w:r>
        <w:rPr>
          <w:color w:val="57585A"/>
          <w:spacing w:val="-13"/>
          <w:sz w:val="20"/>
          <w:szCs w:val="20"/>
        </w:rPr>
        <w:t>Argentina, announced Rio</w:t>
      </w:r>
      <w:r>
        <w:rPr>
          <w:color w:val="57585A"/>
          <w:spacing w:val="1"/>
          <w:sz w:val="20"/>
          <w:szCs w:val="20"/>
        </w:rPr>
        <w:t xml:space="preserve"> </w:t>
      </w:r>
      <w:r>
        <w:rPr>
          <w:color w:val="57585A"/>
          <w:spacing w:val="-13"/>
          <w:sz w:val="20"/>
          <w:szCs w:val="20"/>
        </w:rPr>
        <w:t>Negro</w:t>
      </w:r>
      <w:r>
        <w:rPr>
          <w:color w:val="57585A"/>
          <w:sz w:val="20"/>
          <w:szCs w:val="20"/>
        </w:rPr>
        <w:t xml:space="preserve"> </w:t>
      </w:r>
      <w:r>
        <w:rPr>
          <w:color w:val="57585A"/>
          <w:spacing w:val="-11"/>
          <w:sz w:val="20"/>
          <w:szCs w:val="20"/>
        </w:rPr>
        <w:t>as a location for their flagship project. The companies</w:t>
      </w:r>
      <w:r>
        <w:rPr>
          <w:color w:val="57585A"/>
          <w:spacing w:val="-13"/>
          <w:sz w:val="20"/>
          <w:szCs w:val="20"/>
        </w:rPr>
        <w:t xml:space="preserve"> </w:t>
      </w:r>
      <w:r>
        <w:rPr>
          <w:color w:val="57585A"/>
          <w:spacing w:val="-11"/>
          <w:sz w:val="20"/>
          <w:szCs w:val="20"/>
        </w:rPr>
        <w:t>target an F</w:t>
      </w:r>
      <w:r>
        <w:rPr>
          <w:color w:val="57585A"/>
          <w:spacing w:val="-12"/>
          <w:sz w:val="20"/>
          <w:szCs w:val="20"/>
        </w:rPr>
        <w:t>ID in H2 2025. In December 2024 however, it is</w:t>
      </w:r>
      <w:r>
        <w:rPr>
          <w:color w:val="57585A"/>
          <w:spacing w:val="-1"/>
          <w:sz w:val="20"/>
          <w:szCs w:val="20"/>
        </w:rPr>
        <w:t xml:space="preserve"> </w:t>
      </w:r>
      <w:r>
        <w:rPr>
          <w:color w:val="57585A"/>
          <w:spacing w:val="-12"/>
          <w:sz w:val="20"/>
          <w:szCs w:val="20"/>
        </w:rPr>
        <w:t>reported that</w:t>
      </w:r>
    </w:p>
    <w:p w14:paraId="1433D632">
      <w:pPr>
        <w:pStyle w:val="4"/>
        <w:spacing w:before="58" w:line="263" w:lineRule="auto"/>
        <w:ind w:left="614" w:right="376" w:firstLine="6"/>
        <w:rPr>
          <w:sz w:val="20"/>
          <w:szCs w:val="20"/>
        </w:rPr>
      </w:pPr>
      <w:r>
        <w:rPr>
          <w:color w:val="57585A"/>
          <w:spacing w:val="-11"/>
          <w:sz w:val="20"/>
          <w:szCs w:val="20"/>
        </w:rPr>
        <w:t>Petronas is exiting the pro</w:t>
      </w:r>
      <w:r>
        <w:rPr>
          <w:color w:val="57585A"/>
          <w:spacing w:val="-12"/>
          <w:sz w:val="20"/>
          <w:szCs w:val="20"/>
        </w:rPr>
        <w:t>ject, but that it will be replaced by Shell. Shell and YPF signed an agreement to develop the initial phase</w:t>
      </w:r>
      <w:r>
        <w:rPr>
          <w:color w:val="57585A"/>
          <w:sz w:val="20"/>
          <w:szCs w:val="20"/>
        </w:rPr>
        <w:t xml:space="preserve"> </w:t>
      </w:r>
      <w:r>
        <w:rPr>
          <w:color w:val="57585A"/>
          <w:spacing w:val="-11"/>
          <w:sz w:val="20"/>
          <w:szCs w:val="20"/>
        </w:rPr>
        <w:t>ofthe LNG terminal.</w:t>
      </w:r>
      <w:r>
        <w:rPr>
          <w:color w:val="57585A"/>
          <w:spacing w:val="-15"/>
          <w:sz w:val="20"/>
          <w:szCs w:val="20"/>
        </w:rPr>
        <w:t xml:space="preserve"> </w:t>
      </w:r>
      <w:r>
        <w:rPr>
          <w:color w:val="57585A"/>
          <w:spacing w:val="-11"/>
          <w:sz w:val="20"/>
          <w:szCs w:val="20"/>
        </w:rPr>
        <w:t>The terminal aims to produce some 10mtpa of</w:t>
      </w:r>
      <w:r>
        <w:rPr>
          <w:color w:val="57585A"/>
          <w:spacing w:val="-12"/>
          <w:sz w:val="20"/>
          <w:szCs w:val="20"/>
        </w:rPr>
        <w:t xml:space="preserve"> LNG.</w:t>
      </w:r>
    </w:p>
    <w:p w14:paraId="0FF0C697">
      <w:pPr>
        <w:pStyle w:val="4"/>
        <w:spacing w:before="56" w:line="277" w:lineRule="auto"/>
        <w:ind w:left="604" w:right="486" w:hanging="247"/>
        <w:rPr>
          <w:sz w:val="20"/>
          <w:szCs w:val="20"/>
        </w:rPr>
      </w:pPr>
      <w:r>
        <w:rPr>
          <w:color w:val="33CCFF"/>
          <w:spacing w:val="-10"/>
          <w:sz w:val="20"/>
          <w:szCs w:val="20"/>
        </w:rPr>
        <w:t xml:space="preserve">•   </w:t>
      </w:r>
      <w:r>
        <w:rPr>
          <w:color w:val="57585A"/>
          <w:spacing w:val="-10"/>
          <w:sz w:val="20"/>
          <w:szCs w:val="20"/>
        </w:rPr>
        <w:t>In our forecast,</w:t>
      </w:r>
      <w:r>
        <w:rPr>
          <w:color w:val="57585A"/>
          <w:spacing w:val="-15"/>
          <w:sz w:val="20"/>
          <w:szCs w:val="20"/>
        </w:rPr>
        <w:t xml:space="preserve"> </w:t>
      </w:r>
      <w:r>
        <w:rPr>
          <w:color w:val="57585A"/>
          <w:spacing w:val="-10"/>
          <w:sz w:val="20"/>
          <w:szCs w:val="20"/>
        </w:rPr>
        <w:t>we do not</w:t>
      </w:r>
      <w:r>
        <w:rPr>
          <w:color w:val="57585A"/>
          <w:spacing w:val="-16"/>
          <w:sz w:val="20"/>
          <w:szCs w:val="20"/>
        </w:rPr>
        <w:t xml:space="preserve"> </w:t>
      </w:r>
      <w:r>
        <w:rPr>
          <w:color w:val="57585A"/>
          <w:spacing w:val="-10"/>
          <w:sz w:val="20"/>
          <w:szCs w:val="20"/>
        </w:rPr>
        <w:t>yet incorpo</w:t>
      </w:r>
      <w:r>
        <w:rPr>
          <w:color w:val="57585A"/>
          <w:spacing w:val="-11"/>
          <w:sz w:val="20"/>
          <w:szCs w:val="20"/>
        </w:rPr>
        <w:t>rate this large-scale terminal, rather</w:t>
      </w:r>
      <w:r>
        <w:rPr>
          <w:color w:val="57585A"/>
          <w:spacing w:val="-16"/>
          <w:sz w:val="20"/>
          <w:szCs w:val="20"/>
        </w:rPr>
        <w:t xml:space="preserve"> </w:t>
      </w:r>
      <w:r>
        <w:rPr>
          <w:color w:val="57585A"/>
          <w:spacing w:val="-11"/>
          <w:sz w:val="20"/>
          <w:szCs w:val="20"/>
        </w:rPr>
        <w:t>we expect small scale terminals to be deployed over</w:t>
      </w:r>
      <w:r>
        <w:rPr>
          <w:color w:val="57585A"/>
          <w:sz w:val="20"/>
          <w:szCs w:val="20"/>
        </w:rPr>
        <w:t xml:space="preserve">  </w:t>
      </w:r>
      <w:r>
        <w:rPr>
          <w:color w:val="57585A"/>
          <w:spacing w:val="-12"/>
          <w:sz w:val="20"/>
          <w:szCs w:val="20"/>
        </w:rPr>
        <w:t>the medium term. Most probably, Pan</w:t>
      </w:r>
      <w:r>
        <w:rPr>
          <w:color w:val="57585A"/>
          <w:spacing w:val="-16"/>
          <w:sz w:val="20"/>
          <w:szCs w:val="20"/>
        </w:rPr>
        <w:t xml:space="preserve"> </w:t>
      </w:r>
      <w:r>
        <w:rPr>
          <w:color w:val="57585A"/>
          <w:spacing w:val="-12"/>
          <w:sz w:val="20"/>
          <w:szCs w:val="20"/>
        </w:rPr>
        <w:t xml:space="preserve">American Energy is expected to commence LNG exports </w:t>
      </w:r>
      <w:r>
        <w:rPr>
          <w:color w:val="57585A"/>
          <w:spacing w:val="-13"/>
          <w:sz w:val="20"/>
          <w:szCs w:val="20"/>
        </w:rPr>
        <w:t>in 2027,</w:t>
      </w:r>
      <w:r>
        <w:rPr>
          <w:color w:val="57585A"/>
          <w:spacing w:val="-2"/>
          <w:sz w:val="20"/>
          <w:szCs w:val="20"/>
        </w:rPr>
        <w:t xml:space="preserve"> </w:t>
      </w:r>
      <w:r>
        <w:rPr>
          <w:color w:val="57585A"/>
          <w:spacing w:val="-13"/>
          <w:sz w:val="20"/>
          <w:szCs w:val="20"/>
        </w:rPr>
        <w:t>reaching annual export</w:t>
      </w:r>
      <w:r>
        <w:rPr>
          <w:color w:val="57585A"/>
          <w:sz w:val="20"/>
          <w:szCs w:val="20"/>
        </w:rPr>
        <w:t xml:space="preserve"> </w:t>
      </w:r>
      <w:r>
        <w:rPr>
          <w:color w:val="57585A"/>
          <w:spacing w:val="-12"/>
          <w:sz w:val="20"/>
          <w:szCs w:val="20"/>
        </w:rPr>
        <w:t>volumes of 2.6bcm.</w:t>
      </w:r>
      <w:r>
        <w:rPr>
          <w:color w:val="57585A"/>
          <w:spacing w:val="-15"/>
          <w:sz w:val="20"/>
          <w:szCs w:val="20"/>
        </w:rPr>
        <w:t xml:space="preserve"> </w:t>
      </w:r>
      <w:r>
        <w:rPr>
          <w:color w:val="57585A"/>
          <w:spacing w:val="-12"/>
          <w:sz w:val="20"/>
          <w:szCs w:val="20"/>
        </w:rPr>
        <w:t>This</w:t>
      </w:r>
      <w:r>
        <w:rPr>
          <w:color w:val="57585A"/>
          <w:spacing w:val="-16"/>
          <w:sz w:val="20"/>
          <w:szCs w:val="20"/>
        </w:rPr>
        <w:t xml:space="preserve"> </w:t>
      </w:r>
      <w:r>
        <w:rPr>
          <w:color w:val="57585A"/>
          <w:spacing w:val="-12"/>
          <w:sz w:val="20"/>
          <w:szCs w:val="20"/>
        </w:rPr>
        <w:t>view is reaffirmed by the company’s agreement</w:t>
      </w:r>
      <w:r>
        <w:rPr>
          <w:color w:val="57585A"/>
          <w:spacing w:val="-15"/>
          <w:sz w:val="20"/>
          <w:szCs w:val="20"/>
        </w:rPr>
        <w:t xml:space="preserve"> </w:t>
      </w:r>
      <w:r>
        <w:rPr>
          <w:color w:val="57585A"/>
          <w:spacing w:val="-12"/>
          <w:sz w:val="20"/>
          <w:szCs w:val="20"/>
        </w:rPr>
        <w:t>with Golar LNG in</w:t>
      </w:r>
      <w:r>
        <w:rPr>
          <w:color w:val="57585A"/>
          <w:spacing w:val="-23"/>
          <w:sz w:val="20"/>
          <w:szCs w:val="20"/>
        </w:rPr>
        <w:t xml:space="preserve"> </w:t>
      </w:r>
      <w:r>
        <w:rPr>
          <w:color w:val="57585A"/>
          <w:spacing w:val="-12"/>
          <w:sz w:val="20"/>
          <w:szCs w:val="20"/>
        </w:rPr>
        <w:t>Ju</w:t>
      </w:r>
      <w:r>
        <w:rPr>
          <w:color w:val="57585A"/>
          <w:spacing w:val="-13"/>
          <w:sz w:val="20"/>
          <w:szCs w:val="20"/>
        </w:rPr>
        <w:t>ly 2024, to deploy a floating LNG</w:t>
      </w:r>
      <w:r>
        <w:rPr>
          <w:color w:val="57585A"/>
          <w:sz w:val="20"/>
          <w:szCs w:val="20"/>
        </w:rPr>
        <w:t xml:space="preserve">  </w:t>
      </w:r>
      <w:r>
        <w:rPr>
          <w:color w:val="57585A"/>
          <w:spacing w:val="-10"/>
          <w:sz w:val="20"/>
          <w:szCs w:val="20"/>
        </w:rPr>
        <w:t>vessel off</w:t>
      </w:r>
      <w:r>
        <w:rPr>
          <w:color w:val="57585A"/>
          <w:spacing w:val="-22"/>
          <w:sz w:val="20"/>
          <w:szCs w:val="20"/>
        </w:rPr>
        <w:t xml:space="preserve"> </w:t>
      </w:r>
      <w:r>
        <w:rPr>
          <w:color w:val="57585A"/>
          <w:spacing w:val="-10"/>
          <w:sz w:val="20"/>
          <w:szCs w:val="20"/>
        </w:rPr>
        <w:t>the</w:t>
      </w:r>
      <w:r>
        <w:rPr>
          <w:color w:val="57585A"/>
          <w:spacing w:val="-15"/>
          <w:sz w:val="20"/>
          <w:szCs w:val="20"/>
        </w:rPr>
        <w:t xml:space="preserve"> </w:t>
      </w:r>
      <w:r>
        <w:rPr>
          <w:color w:val="57585A"/>
          <w:spacing w:val="-10"/>
          <w:sz w:val="20"/>
          <w:szCs w:val="20"/>
        </w:rPr>
        <w:t xml:space="preserve">Argentine </w:t>
      </w:r>
      <w:r>
        <w:rPr>
          <w:color w:val="57585A"/>
          <w:spacing w:val="-11"/>
          <w:sz w:val="20"/>
          <w:szCs w:val="20"/>
        </w:rPr>
        <w:t>coast.</w:t>
      </w:r>
    </w:p>
    <w:p w14:paraId="645CE474">
      <w:pPr>
        <w:pStyle w:val="4"/>
        <w:spacing w:before="58" w:line="262" w:lineRule="auto"/>
        <w:ind w:left="620" w:right="371" w:hanging="263"/>
        <w:rPr>
          <w:sz w:val="20"/>
          <w:szCs w:val="20"/>
        </w:rPr>
      </w:pPr>
      <w:r>
        <w:rPr>
          <w:color w:val="33CCFF"/>
          <w:spacing w:val="-12"/>
          <w:sz w:val="20"/>
          <w:szCs w:val="20"/>
        </w:rPr>
        <w:t xml:space="preserve">•   </w:t>
      </w:r>
      <w:r>
        <w:rPr>
          <w:color w:val="57585A"/>
          <w:spacing w:val="-12"/>
          <w:sz w:val="20"/>
          <w:szCs w:val="20"/>
        </w:rPr>
        <w:t>In November 2024,</w:t>
      </w:r>
      <w:r>
        <w:rPr>
          <w:color w:val="57585A"/>
          <w:spacing w:val="-16"/>
          <w:sz w:val="20"/>
          <w:szCs w:val="20"/>
        </w:rPr>
        <w:t xml:space="preserve"> </w:t>
      </w:r>
      <w:r>
        <w:rPr>
          <w:color w:val="57585A"/>
          <w:spacing w:val="-12"/>
          <w:sz w:val="20"/>
          <w:szCs w:val="20"/>
        </w:rPr>
        <w:t>YPF</w:t>
      </w:r>
      <w:r>
        <w:rPr>
          <w:color w:val="57585A"/>
          <w:spacing w:val="-2"/>
          <w:sz w:val="20"/>
          <w:szCs w:val="20"/>
        </w:rPr>
        <w:t xml:space="preserve"> </w:t>
      </w:r>
      <w:r>
        <w:rPr>
          <w:color w:val="57585A"/>
          <w:spacing w:val="-12"/>
          <w:sz w:val="20"/>
          <w:szCs w:val="20"/>
        </w:rPr>
        <w:t>partnered</w:t>
      </w:r>
      <w:r>
        <w:rPr>
          <w:color w:val="57585A"/>
          <w:spacing w:val="-15"/>
          <w:sz w:val="20"/>
          <w:szCs w:val="20"/>
        </w:rPr>
        <w:t xml:space="preserve"> </w:t>
      </w:r>
      <w:r>
        <w:rPr>
          <w:color w:val="57585A"/>
          <w:spacing w:val="-12"/>
          <w:sz w:val="20"/>
          <w:szCs w:val="20"/>
        </w:rPr>
        <w:t>with Southern</w:t>
      </w:r>
      <w:r>
        <w:rPr>
          <w:color w:val="57585A"/>
          <w:sz w:val="20"/>
          <w:szCs w:val="20"/>
        </w:rPr>
        <w:t xml:space="preserve"> </w:t>
      </w:r>
      <w:r>
        <w:rPr>
          <w:color w:val="57585A"/>
          <w:spacing w:val="-12"/>
          <w:sz w:val="20"/>
          <w:szCs w:val="20"/>
        </w:rPr>
        <w:t>Energy to deploy a 2.45mt/year</w:t>
      </w:r>
      <w:r>
        <w:rPr>
          <w:color w:val="57585A"/>
          <w:spacing w:val="1"/>
          <w:sz w:val="20"/>
          <w:szCs w:val="20"/>
        </w:rPr>
        <w:t xml:space="preserve"> </w:t>
      </w:r>
      <w:r>
        <w:rPr>
          <w:color w:val="57585A"/>
          <w:spacing w:val="-12"/>
          <w:sz w:val="20"/>
          <w:szCs w:val="20"/>
        </w:rPr>
        <w:t>FLNG</w:t>
      </w:r>
      <w:r>
        <w:rPr>
          <w:color w:val="57585A"/>
          <w:spacing w:val="-16"/>
          <w:sz w:val="20"/>
          <w:szCs w:val="20"/>
        </w:rPr>
        <w:t xml:space="preserve"> </w:t>
      </w:r>
      <w:r>
        <w:rPr>
          <w:color w:val="57585A"/>
          <w:spacing w:val="-12"/>
          <w:sz w:val="20"/>
          <w:szCs w:val="20"/>
        </w:rPr>
        <w:t>ves</w:t>
      </w:r>
      <w:r>
        <w:rPr>
          <w:color w:val="57585A"/>
          <w:spacing w:val="-13"/>
          <w:sz w:val="20"/>
          <w:szCs w:val="20"/>
        </w:rPr>
        <w:t>sel, the Hilli</w:t>
      </w:r>
      <w:r>
        <w:rPr>
          <w:color w:val="57585A"/>
          <w:spacing w:val="1"/>
          <w:sz w:val="20"/>
          <w:szCs w:val="20"/>
        </w:rPr>
        <w:t xml:space="preserve"> </w:t>
      </w:r>
      <w:r>
        <w:rPr>
          <w:color w:val="57585A"/>
          <w:spacing w:val="-13"/>
          <w:sz w:val="20"/>
          <w:szCs w:val="20"/>
        </w:rPr>
        <w:t>Episeyo</w:t>
      </w:r>
      <w:r>
        <w:rPr>
          <w:color w:val="57585A"/>
          <w:spacing w:val="-4"/>
          <w:sz w:val="20"/>
          <w:szCs w:val="20"/>
        </w:rPr>
        <w:t xml:space="preserve"> </w:t>
      </w:r>
      <w:r>
        <w:rPr>
          <w:color w:val="57585A"/>
          <w:spacing w:val="-13"/>
          <w:sz w:val="20"/>
          <w:szCs w:val="20"/>
        </w:rPr>
        <w:t>in the Gulf of</w:t>
      </w:r>
      <w:r>
        <w:rPr>
          <w:color w:val="57585A"/>
          <w:spacing w:val="-18"/>
          <w:sz w:val="20"/>
          <w:szCs w:val="20"/>
        </w:rPr>
        <w:t xml:space="preserve"> </w:t>
      </w:r>
      <w:r>
        <w:rPr>
          <w:color w:val="57585A"/>
          <w:spacing w:val="-13"/>
          <w:sz w:val="20"/>
          <w:szCs w:val="20"/>
        </w:rPr>
        <w:t>San</w:t>
      </w:r>
      <w:r>
        <w:rPr>
          <w:color w:val="57585A"/>
          <w:sz w:val="20"/>
          <w:szCs w:val="20"/>
        </w:rPr>
        <w:t xml:space="preserve"> </w:t>
      </w:r>
      <w:r>
        <w:rPr>
          <w:color w:val="57585A"/>
          <w:spacing w:val="-13"/>
          <w:sz w:val="20"/>
          <w:szCs w:val="20"/>
        </w:rPr>
        <w:t>Matias, Rio Negro. The project aims to boost production from Vaca Muerta shale gas field. Southern Energy, aJV between Pan</w:t>
      </w:r>
    </w:p>
    <w:p w14:paraId="2BB8BBF3">
      <w:pPr>
        <w:pStyle w:val="4"/>
        <w:spacing w:before="57" w:line="262" w:lineRule="auto"/>
        <w:ind w:left="617" w:right="443" w:hanging="13"/>
        <w:rPr>
          <w:sz w:val="20"/>
          <w:szCs w:val="20"/>
        </w:rPr>
      </w:pPr>
      <w:r>
        <w:rPr>
          <w:color w:val="57585A"/>
          <w:spacing w:val="-14"/>
          <w:sz w:val="20"/>
          <w:szCs w:val="20"/>
        </w:rPr>
        <w:t>American Energy (PAE) and Golar LNG will oversee LNG operations, with Golar holding a 10% stake.</w:t>
      </w:r>
      <w:r>
        <w:rPr>
          <w:color w:val="57585A"/>
          <w:sz w:val="20"/>
          <w:szCs w:val="20"/>
        </w:rPr>
        <w:t xml:space="preserve"> </w:t>
      </w:r>
      <w:r>
        <w:rPr>
          <w:color w:val="57585A"/>
          <w:spacing w:val="-14"/>
          <w:sz w:val="20"/>
          <w:szCs w:val="20"/>
        </w:rPr>
        <w:t>Exports are</w:t>
      </w:r>
      <w:r>
        <w:rPr>
          <w:color w:val="57585A"/>
          <w:spacing w:val="-6"/>
          <w:sz w:val="20"/>
          <w:szCs w:val="20"/>
        </w:rPr>
        <w:t xml:space="preserve"> </w:t>
      </w:r>
      <w:r>
        <w:rPr>
          <w:color w:val="57585A"/>
          <w:spacing w:val="-14"/>
          <w:sz w:val="20"/>
          <w:szCs w:val="20"/>
        </w:rPr>
        <w:t>expected to start</w:t>
      </w:r>
      <w:r>
        <w:rPr>
          <w:color w:val="57585A"/>
          <w:sz w:val="20"/>
          <w:szCs w:val="20"/>
        </w:rPr>
        <w:t xml:space="preserve"> </w:t>
      </w:r>
      <w:r>
        <w:rPr>
          <w:color w:val="57585A"/>
          <w:spacing w:val="-13"/>
          <w:sz w:val="20"/>
          <w:szCs w:val="20"/>
        </w:rPr>
        <w:t>by 2027.</w:t>
      </w:r>
    </w:p>
    <w:p w14:paraId="30A40AE8">
      <w:pPr>
        <w:pStyle w:val="4"/>
        <w:spacing w:line="314" w:lineRule="auto"/>
      </w:pPr>
    </w:p>
    <w:p w14:paraId="49F0AB03">
      <w:pPr>
        <w:pStyle w:val="4"/>
        <w:spacing w:line="314" w:lineRule="auto"/>
      </w:pPr>
    </w:p>
    <w:p w14:paraId="448C56F9">
      <w:pPr>
        <w:pStyle w:val="4"/>
        <w:spacing w:before="70" w:line="325" w:lineRule="exact"/>
        <w:ind w:left="366"/>
        <w:outlineLvl w:val="2"/>
        <w:rPr>
          <w:sz w:val="24"/>
          <w:szCs w:val="24"/>
        </w:rPr>
      </w:pPr>
      <w:r>
        <w:rPr>
          <w:b/>
          <w:bCs/>
          <w:color w:val="174174"/>
          <w:spacing w:val="-10"/>
          <w:position w:val="1"/>
          <w:sz w:val="24"/>
          <w:szCs w:val="24"/>
        </w:rPr>
        <w:t>Structural</w:t>
      </w:r>
      <w:r>
        <w:rPr>
          <w:b/>
          <w:bCs/>
          <w:color w:val="174174"/>
          <w:spacing w:val="-12"/>
          <w:position w:val="1"/>
          <w:sz w:val="24"/>
          <w:szCs w:val="24"/>
        </w:rPr>
        <w:t xml:space="preserve"> </w:t>
      </w:r>
      <w:r>
        <w:rPr>
          <w:b/>
          <w:bCs/>
          <w:color w:val="174174"/>
          <w:spacing w:val="-10"/>
          <w:position w:val="1"/>
          <w:sz w:val="24"/>
          <w:szCs w:val="24"/>
        </w:rPr>
        <w:t>Trends</w:t>
      </w:r>
    </w:p>
    <w:p w14:paraId="43B91B9A">
      <w:pPr>
        <w:pStyle w:val="4"/>
        <w:spacing w:line="301" w:lineRule="auto"/>
      </w:pPr>
    </w:p>
    <w:p w14:paraId="465CBCEA">
      <w:pPr>
        <w:pStyle w:val="4"/>
        <w:spacing w:before="57" w:line="273" w:lineRule="auto"/>
        <w:ind w:left="367" w:right="603" w:firstLine="8"/>
        <w:rPr>
          <w:sz w:val="20"/>
          <w:szCs w:val="20"/>
        </w:rPr>
      </w:pPr>
      <w:r>
        <w:rPr>
          <w:color w:val="57585A"/>
          <w:spacing w:val="-10"/>
          <w:sz w:val="20"/>
          <w:szCs w:val="20"/>
        </w:rPr>
        <w:t>Historically,</w:t>
      </w:r>
      <w:r>
        <w:rPr>
          <w:color w:val="57585A"/>
          <w:spacing w:val="-16"/>
          <w:sz w:val="20"/>
          <w:szCs w:val="20"/>
        </w:rPr>
        <w:t xml:space="preserve"> </w:t>
      </w:r>
      <w:r>
        <w:rPr>
          <w:color w:val="57585A"/>
          <w:spacing w:val="-10"/>
          <w:sz w:val="20"/>
          <w:szCs w:val="20"/>
        </w:rPr>
        <w:t>Argentina</w:t>
      </w:r>
      <w:r>
        <w:rPr>
          <w:color w:val="57585A"/>
          <w:spacing w:val="-15"/>
          <w:sz w:val="20"/>
          <w:szCs w:val="20"/>
        </w:rPr>
        <w:t xml:space="preserve"> </w:t>
      </w:r>
      <w:r>
        <w:rPr>
          <w:color w:val="57585A"/>
          <w:spacing w:val="-10"/>
          <w:sz w:val="20"/>
          <w:szCs w:val="20"/>
        </w:rPr>
        <w:t xml:space="preserve">was a net </w:t>
      </w:r>
      <w:r>
        <w:rPr>
          <w:color w:val="57585A"/>
          <w:spacing w:val="-11"/>
          <w:sz w:val="20"/>
          <w:szCs w:val="20"/>
        </w:rPr>
        <w:t>importer of natural gas. The market briefly returned to net exporter status in 2016 on the back of</w:t>
      </w:r>
      <w:r>
        <w:rPr>
          <w:color w:val="57585A"/>
          <w:sz w:val="20"/>
          <w:szCs w:val="20"/>
        </w:rPr>
        <w:t xml:space="preserve"> </w:t>
      </w:r>
      <w:r>
        <w:rPr>
          <w:color w:val="57585A"/>
          <w:spacing w:val="-10"/>
          <w:sz w:val="20"/>
          <w:szCs w:val="20"/>
        </w:rPr>
        <w:t>growing natural gas production. In 2018,</w:t>
      </w:r>
      <w:r>
        <w:rPr>
          <w:color w:val="57585A"/>
          <w:spacing w:val="-15"/>
          <w:sz w:val="20"/>
          <w:szCs w:val="20"/>
        </w:rPr>
        <w:t xml:space="preserve"> </w:t>
      </w:r>
      <w:r>
        <w:rPr>
          <w:color w:val="57585A"/>
          <w:spacing w:val="-10"/>
          <w:sz w:val="20"/>
          <w:szCs w:val="20"/>
        </w:rPr>
        <w:t>Argentina's econ</w:t>
      </w:r>
      <w:r>
        <w:rPr>
          <w:color w:val="57585A"/>
          <w:spacing w:val="-11"/>
          <w:sz w:val="20"/>
          <w:szCs w:val="20"/>
        </w:rPr>
        <w:t>omic growth slowed due to a severe contraction in agricultural</w:t>
      </w:r>
    </w:p>
    <w:p w14:paraId="3DD9D273">
      <w:pPr>
        <w:pStyle w:val="4"/>
        <w:spacing w:before="36" w:line="283" w:lineRule="auto"/>
        <w:ind w:left="366" w:right="525" w:firstLine="6"/>
        <w:rPr>
          <w:sz w:val="20"/>
          <w:szCs w:val="20"/>
        </w:rPr>
      </w:pPr>
      <w:r>
        <w:rPr>
          <w:color w:val="57585A"/>
          <w:spacing w:val="-10"/>
          <w:sz w:val="20"/>
          <w:szCs w:val="20"/>
        </w:rPr>
        <w:t>production and the feed-through of</w:t>
      </w:r>
      <w:r>
        <w:rPr>
          <w:color w:val="57585A"/>
          <w:spacing w:val="-21"/>
          <w:sz w:val="20"/>
          <w:szCs w:val="20"/>
        </w:rPr>
        <w:t xml:space="preserve"> </w:t>
      </w:r>
      <w:r>
        <w:rPr>
          <w:color w:val="57585A"/>
          <w:spacing w:val="-10"/>
          <w:sz w:val="20"/>
          <w:szCs w:val="20"/>
        </w:rPr>
        <w:t>financial market</w:t>
      </w:r>
      <w:r>
        <w:rPr>
          <w:color w:val="57585A"/>
          <w:spacing w:val="-16"/>
          <w:sz w:val="20"/>
          <w:szCs w:val="20"/>
        </w:rPr>
        <w:t xml:space="preserve"> </w:t>
      </w:r>
      <w:r>
        <w:rPr>
          <w:color w:val="57585A"/>
          <w:spacing w:val="-10"/>
          <w:sz w:val="20"/>
          <w:szCs w:val="20"/>
        </w:rPr>
        <w:t>volatil</w:t>
      </w:r>
      <w:r>
        <w:rPr>
          <w:color w:val="57585A"/>
          <w:spacing w:val="-11"/>
          <w:sz w:val="20"/>
          <w:szCs w:val="20"/>
        </w:rPr>
        <w:t>ity. The Covid-19 pandemic has exacerbated the situation in</w:t>
      </w:r>
      <w:r>
        <w:rPr>
          <w:color w:val="57585A"/>
          <w:spacing w:val="-15"/>
          <w:sz w:val="20"/>
          <w:szCs w:val="20"/>
        </w:rPr>
        <w:t xml:space="preserve"> </w:t>
      </w:r>
      <w:r>
        <w:rPr>
          <w:color w:val="57585A"/>
          <w:spacing w:val="-11"/>
          <w:sz w:val="20"/>
          <w:szCs w:val="20"/>
        </w:rPr>
        <w:t>Argentina,</w:t>
      </w:r>
      <w:r>
        <w:rPr>
          <w:color w:val="57585A"/>
          <w:sz w:val="20"/>
          <w:szCs w:val="20"/>
        </w:rPr>
        <w:t xml:space="preserve"> </w:t>
      </w:r>
      <w:r>
        <w:rPr>
          <w:color w:val="57585A"/>
          <w:spacing w:val="-11"/>
          <w:sz w:val="20"/>
          <w:szCs w:val="20"/>
        </w:rPr>
        <w:t>leading to a</w:t>
      </w:r>
      <w:r>
        <w:rPr>
          <w:color w:val="57585A"/>
          <w:spacing w:val="-10"/>
          <w:sz w:val="20"/>
          <w:szCs w:val="20"/>
        </w:rPr>
        <w:t xml:space="preserve"> </w:t>
      </w:r>
      <w:r>
        <w:rPr>
          <w:color w:val="57585A"/>
          <w:spacing w:val="-11"/>
          <w:sz w:val="20"/>
          <w:szCs w:val="20"/>
        </w:rPr>
        <w:t>weakened growth. In our</w:t>
      </w:r>
      <w:r>
        <w:rPr>
          <w:color w:val="57585A"/>
          <w:spacing w:val="-15"/>
          <w:sz w:val="20"/>
          <w:szCs w:val="20"/>
        </w:rPr>
        <w:t xml:space="preserve"> </w:t>
      </w:r>
      <w:r>
        <w:rPr>
          <w:color w:val="57585A"/>
          <w:spacing w:val="-11"/>
          <w:sz w:val="20"/>
          <w:szCs w:val="20"/>
        </w:rPr>
        <w:t>view,</w:t>
      </w:r>
      <w:r>
        <w:rPr>
          <w:color w:val="57585A"/>
          <w:spacing w:val="-16"/>
          <w:sz w:val="20"/>
          <w:szCs w:val="20"/>
        </w:rPr>
        <w:t xml:space="preserve"> </w:t>
      </w:r>
      <w:r>
        <w:rPr>
          <w:color w:val="57585A"/>
          <w:spacing w:val="-11"/>
          <w:sz w:val="20"/>
          <w:szCs w:val="20"/>
        </w:rPr>
        <w:t>Argentina</w:t>
      </w:r>
      <w:r>
        <w:rPr>
          <w:color w:val="57585A"/>
          <w:spacing w:val="-15"/>
          <w:sz w:val="20"/>
          <w:szCs w:val="20"/>
        </w:rPr>
        <w:t xml:space="preserve"> </w:t>
      </w:r>
      <w:r>
        <w:rPr>
          <w:color w:val="57585A"/>
          <w:spacing w:val="-11"/>
          <w:sz w:val="20"/>
          <w:szCs w:val="20"/>
        </w:rPr>
        <w:t>will continue to rely on seasonal gas imports. The transportation bottlenecks</w:t>
      </w:r>
      <w:r>
        <w:rPr>
          <w:color w:val="57585A"/>
          <w:sz w:val="20"/>
          <w:szCs w:val="20"/>
        </w:rPr>
        <w:t xml:space="preserve"> </w:t>
      </w:r>
      <w:r>
        <w:rPr>
          <w:color w:val="57585A"/>
          <w:spacing w:val="-12"/>
          <w:sz w:val="20"/>
          <w:szCs w:val="20"/>
        </w:rPr>
        <w:t>between gas-rich Vaca Muerta and demand-heavy region of Buenos</w:t>
      </w:r>
      <w:r>
        <w:rPr>
          <w:color w:val="57585A"/>
          <w:spacing w:val="-16"/>
          <w:sz w:val="20"/>
          <w:szCs w:val="20"/>
        </w:rPr>
        <w:t xml:space="preserve"> </w:t>
      </w:r>
      <w:r>
        <w:rPr>
          <w:color w:val="57585A"/>
          <w:spacing w:val="-12"/>
          <w:sz w:val="20"/>
          <w:szCs w:val="20"/>
        </w:rPr>
        <w:t>Aires</w:t>
      </w:r>
      <w:r>
        <w:rPr>
          <w:color w:val="57585A"/>
          <w:spacing w:val="-15"/>
          <w:sz w:val="20"/>
          <w:szCs w:val="20"/>
        </w:rPr>
        <w:t xml:space="preserve"> </w:t>
      </w:r>
      <w:r>
        <w:rPr>
          <w:color w:val="57585A"/>
          <w:spacing w:val="-12"/>
          <w:sz w:val="20"/>
          <w:szCs w:val="20"/>
        </w:rPr>
        <w:t xml:space="preserve">will lead to continued </w:t>
      </w:r>
      <w:r>
        <w:rPr>
          <w:color w:val="57585A"/>
          <w:spacing w:val="-13"/>
          <w:sz w:val="20"/>
          <w:szCs w:val="20"/>
        </w:rPr>
        <w:t>LNG imports to Escobar Terminal</w:t>
      </w:r>
      <w:r>
        <w:rPr>
          <w:color w:val="57585A"/>
          <w:sz w:val="20"/>
          <w:szCs w:val="20"/>
        </w:rPr>
        <w:t xml:space="preserve"> </w:t>
      </w:r>
      <w:r>
        <w:rPr>
          <w:color w:val="57585A"/>
          <w:spacing w:val="-11"/>
          <w:sz w:val="20"/>
          <w:szCs w:val="20"/>
        </w:rPr>
        <w:t>serving the most demand-intensive region of Buenos</w:t>
      </w:r>
      <w:r>
        <w:rPr>
          <w:color w:val="57585A"/>
          <w:spacing w:val="2"/>
          <w:sz w:val="20"/>
          <w:szCs w:val="20"/>
        </w:rPr>
        <w:t xml:space="preserve"> </w:t>
      </w:r>
      <w:r>
        <w:rPr>
          <w:color w:val="57585A"/>
          <w:spacing w:val="-11"/>
          <w:sz w:val="20"/>
          <w:szCs w:val="20"/>
        </w:rPr>
        <w:t>Aires and Rosario and pipeline imports from Bolivia to the remote northern</w:t>
      </w:r>
    </w:p>
    <w:p w14:paraId="5F7BE244">
      <w:pPr>
        <w:spacing w:line="283" w:lineRule="auto"/>
        <w:rPr>
          <w:sz w:val="20"/>
          <w:szCs w:val="20"/>
        </w:rPr>
        <w:sectPr>
          <w:footerReference r:id="rId44" w:type="default"/>
          <w:pgSz w:w="11906" w:h="16838"/>
          <w:pgMar w:top="400" w:right="490" w:bottom="883" w:left="490" w:header="0" w:footer="0" w:gutter="0"/>
          <w:cols w:space="720" w:num="1"/>
        </w:sectPr>
      </w:pPr>
    </w:p>
    <w:p w14:paraId="23230F49">
      <w:pPr>
        <w:pStyle w:val="4"/>
        <w:spacing w:before="73" w:line="241" w:lineRule="auto"/>
        <w:ind w:left="7372"/>
        <w:rPr>
          <w:sz w:val="20"/>
          <w:szCs w:val="20"/>
        </w:rPr>
      </w:pPr>
      <w:r>
        <w:drawing>
          <wp:anchor distT="0" distB="0" distL="0" distR="0" simplePos="0" relativeHeight="25183436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35392" behindDoc="0" locked="0" layoutInCell="0" allowOverlap="1">
            <wp:simplePos x="0" y="0"/>
            <wp:positionH relativeFrom="page">
              <wp:posOffset>311150</wp:posOffset>
            </wp:positionH>
            <wp:positionV relativeFrom="page">
              <wp:posOffset>0</wp:posOffset>
            </wp:positionV>
            <wp:extent cx="19050" cy="814070"/>
            <wp:effectExtent l="0" t="0" r="0" b="0"/>
            <wp:wrapNone/>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647EBFE">
      <w:pPr>
        <w:pStyle w:val="4"/>
        <w:spacing w:line="278" w:lineRule="auto"/>
      </w:pPr>
    </w:p>
    <w:p w14:paraId="0E8014F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67709CE">
      <w:pPr>
        <w:pStyle w:val="4"/>
        <w:spacing w:line="470" w:lineRule="auto"/>
      </w:pPr>
    </w:p>
    <w:p w14:paraId="742523F7">
      <w:pPr>
        <w:pStyle w:val="4"/>
        <w:spacing w:before="57" w:line="234" w:lineRule="auto"/>
        <w:ind w:left="373"/>
        <w:rPr>
          <w:sz w:val="20"/>
          <w:szCs w:val="20"/>
        </w:rPr>
      </w:pPr>
      <w:r>
        <w:rPr>
          <w:color w:val="57585A"/>
          <w:spacing w:val="-9"/>
          <w:sz w:val="20"/>
          <w:szCs w:val="20"/>
        </w:rPr>
        <w:t>part of</w:t>
      </w:r>
      <w:r>
        <w:rPr>
          <w:color w:val="57585A"/>
          <w:spacing w:val="-15"/>
          <w:sz w:val="20"/>
          <w:szCs w:val="20"/>
        </w:rPr>
        <w:t xml:space="preserve"> </w:t>
      </w:r>
      <w:r>
        <w:rPr>
          <w:color w:val="57585A"/>
          <w:spacing w:val="-9"/>
          <w:sz w:val="20"/>
          <w:szCs w:val="20"/>
        </w:rPr>
        <w:t>the market.</w:t>
      </w:r>
    </w:p>
    <w:p w14:paraId="2D825338">
      <w:pPr>
        <w:pStyle w:val="4"/>
        <w:spacing w:line="286" w:lineRule="auto"/>
      </w:pPr>
    </w:p>
    <w:p w14:paraId="026A9887">
      <w:pPr>
        <w:pStyle w:val="4"/>
        <w:spacing w:before="57" w:line="279" w:lineRule="auto"/>
        <w:ind w:left="359" w:right="366"/>
        <w:rPr>
          <w:sz w:val="20"/>
          <w:szCs w:val="20"/>
        </w:rPr>
      </w:pPr>
      <w:r>
        <w:rPr>
          <w:color w:val="57585A"/>
          <w:spacing w:val="-12"/>
          <w:sz w:val="20"/>
          <w:szCs w:val="20"/>
        </w:rPr>
        <w:t>Argentina currently has one LNG receiving terminal as a contract for the Bahia Blanca floating storage and regasification unit (FSRU),</w:t>
      </w:r>
      <w:r>
        <w:rPr>
          <w:color w:val="57585A"/>
          <w:sz w:val="20"/>
          <w:szCs w:val="20"/>
        </w:rPr>
        <w:t xml:space="preserve"> </w:t>
      </w:r>
      <w:r>
        <w:rPr>
          <w:color w:val="57585A"/>
          <w:spacing w:val="-11"/>
          <w:sz w:val="20"/>
          <w:szCs w:val="20"/>
        </w:rPr>
        <w:t>which had a baseload throughput capacity of 14mcm/d (500mn cf/d) remains inac</w:t>
      </w:r>
      <w:r>
        <w:rPr>
          <w:color w:val="57585A"/>
          <w:spacing w:val="-12"/>
          <w:sz w:val="20"/>
          <w:szCs w:val="20"/>
        </w:rPr>
        <w:t>tive. The active terminal - Escobar FSRU supplies</w:t>
      </w:r>
      <w:r>
        <w:rPr>
          <w:color w:val="57585A"/>
          <w:sz w:val="20"/>
          <w:szCs w:val="20"/>
        </w:rPr>
        <w:t xml:space="preserve"> </w:t>
      </w:r>
      <w:r>
        <w:rPr>
          <w:color w:val="57585A"/>
          <w:spacing w:val="-12"/>
          <w:sz w:val="20"/>
          <w:szCs w:val="20"/>
        </w:rPr>
        <w:t xml:space="preserve">the region of Buenos Aires and Rosario as it is located on Parana River </w:t>
      </w:r>
      <w:r>
        <w:rPr>
          <w:color w:val="57585A"/>
          <w:spacing w:val="-13"/>
          <w:sz w:val="20"/>
          <w:szCs w:val="20"/>
        </w:rPr>
        <w:t>40km west from Buenos Aires. Transportation bottlenecks</w:t>
      </w:r>
    </w:p>
    <w:p w14:paraId="27366B76">
      <w:pPr>
        <w:pStyle w:val="4"/>
        <w:spacing w:before="37" w:line="231" w:lineRule="auto"/>
        <w:ind w:left="373"/>
        <w:rPr>
          <w:sz w:val="20"/>
          <w:szCs w:val="20"/>
        </w:rPr>
      </w:pPr>
      <w:r>
        <w:rPr>
          <w:color w:val="57585A"/>
          <w:spacing w:val="-12"/>
          <w:sz w:val="20"/>
          <w:szCs w:val="20"/>
        </w:rPr>
        <w:t>between Vaca Muerta and Buenos</w:t>
      </w:r>
      <w:r>
        <w:rPr>
          <w:color w:val="57585A"/>
          <w:spacing w:val="-15"/>
          <w:sz w:val="20"/>
          <w:szCs w:val="20"/>
        </w:rPr>
        <w:t xml:space="preserve"> </w:t>
      </w:r>
      <w:r>
        <w:rPr>
          <w:color w:val="57585A"/>
          <w:spacing w:val="-12"/>
          <w:sz w:val="20"/>
          <w:szCs w:val="20"/>
        </w:rPr>
        <w:t xml:space="preserve">Aires </w:t>
      </w:r>
      <w:r>
        <w:rPr>
          <w:color w:val="57585A"/>
          <w:spacing w:val="-13"/>
          <w:sz w:val="20"/>
          <w:szCs w:val="20"/>
        </w:rPr>
        <w:t>support the spot imports</w:t>
      </w:r>
      <w:r>
        <w:rPr>
          <w:color w:val="57585A"/>
          <w:spacing w:val="-16"/>
          <w:sz w:val="20"/>
          <w:szCs w:val="20"/>
        </w:rPr>
        <w:t xml:space="preserve"> </w:t>
      </w:r>
      <w:r>
        <w:rPr>
          <w:color w:val="57585A"/>
          <w:spacing w:val="-13"/>
          <w:sz w:val="20"/>
          <w:szCs w:val="20"/>
        </w:rPr>
        <w:t>via Escobar FSRU to meet higher demand.</w:t>
      </w:r>
    </w:p>
    <w:p w14:paraId="1EF24008">
      <w:pPr>
        <w:pStyle w:val="4"/>
        <w:spacing w:line="285" w:lineRule="auto"/>
      </w:pPr>
    </w:p>
    <w:p w14:paraId="6A811CA4">
      <w:pPr>
        <w:pStyle w:val="4"/>
        <w:spacing w:line="286" w:lineRule="auto"/>
      </w:pPr>
    </w:p>
    <w:p w14:paraId="2F3D4CA0">
      <w:pPr>
        <w:pStyle w:val="4"/>
        <w:spacing w:before="58" w:line="287" w:lineRule="auto"/>
        <w:ind w:left="368" w:right="557" w:hanging="8"/>
        <w:rPr>
          <w:sz w:val="20"/>
          <w:szCs w:val="20"/>
        </w:rPr>
      </w:pPr>
      <w:r>
        <w:rPr>
          <w:color w:val="57585A"/>
          <w:spacing w:val="-11"/>
          <w:sz w:val="20"/>
          <w:szCs w:val="20"/>
        </w:rPr>
        <w:t>The ongoing midstream infrastructure expansion is set to position</w:t>
      </w:r>
      <w:r>
        <w:rPr>
          <w:color w:val="57585A"/>
          <w:spacing w:val="-16"/>
          <w:sz w:val="20"/>
          <w:szCs w:val="20"/>
        </w:rPr>
        <w:t xml:space="preserve"> </w:t>
      </w:r>
      <w:r>
        <w:rPr>
          <w:color w:val="57585A"/>
          <w:spacing w:val="-11"/>
          <w:sz w:val="20"/>
          <w:szCs w:val="20"/>
        </w:rPr>
        <w:t>Argentina as a rising natural gas exporter in Latin</w:t>
      </w:r>
      <w:r>
        <w:rPr>
          <w:color w:val="57585A"/>
          <w:spacing w:val="-15"/>
          <w:sz w:val="20"/>
          <w:szCs w:val="20"/>
        </w:rPr>
        <w:t xml:space="preserve"> </w:t>
      </w:r>
      <w:r>
        <w:rPr>
          <w:color w:val="57585A"/>
          <w:spacing w:val="-11"/>
          <w:sz w:val="20"/>
          <w:szCs w:val="20"/>
        </w:rPr>
        <w:t>Am</w:t>
      </w:r>
      <w:r>
        <w:rPr>
          <w:color w:val="57585A"/>
          <w:spacing w:val="-12"/>
          <w:sz w:val="20"/>
          <w:szCs w:val="20"/>
        </w:rPr>
        <w:t>erica from</w:t>
      </w:r>
      <w:r>
        <w:rPr>
          <w:color w:val="57585A"/>
          <w:sz w:val="20"/>
          <w:szCs w:val="20"/>
        </w:rPr>
        <w:t xml:space="preserve"> </w:t>
      </w:r>
      <w:r>
        <w:rPr>
          <w:color w:val="57585A"/>
          <w:spacing w:val="-10"/>
          <w:sz w:val="20"/>
          <w:szCs w:val="20"/>
        </w:rPr>
        <w:t xml:space="preserve">2025 onwards. Our bullish </w:t>
      </w:r>
      <w:r>
        <w:rPr>
          <w:color w:val="57585A"/>
          <w:spacing w:val="-11"/>
          <w:sz w:val="20"/>
          <w:szCs w:val="20"/>
        </w:rPr>
        <w:t>outlook for net gas exports hinges on certain midstream infrastructure projects. The Northern Pipeline</w:t>
      </w:r>
      <w:r>
        <w:rPr>
          <w:color w:val="57585A"/>
          <w:sz w:val="20"/>
          <w:szCs w:val="20"/>
        </w:rPr>
        <w:t xml:space="preserve"> </w:t>
      </w:r>
      <w:r>
        <w:rPr>
          <w:color w:val="57585A"/>
          <w:spacing w:val="-11"/>
          <w:sz w:val="20"/>
          <w:szCs w:val="20"/>
        </w:rPr>
        <w:t>Reversal project,</w:t>
      </w:r>
      <w:r>
        <w:rPr>
          <w:color w:val="57585A"/>
          <w:spacing w:val="-16"/>
          <w:sz w:val="20"/>
          <w:szCs w:val="20"/>
        </w:rPr>
        <w:t xml:space="preserve"> </w:t>
      </w:r>
      <w:r>
        <w:rPr>
          <w:color w:val="57585A"/>
          <w:spacing w:val="-11"/>
          <w:sz w:val="20"/>
          <w:szCs w:val="20"/>
        </w:rPr>
        <w:t>which</w:t>
      </w:r>
      <w:r>
        <w:rPr>
          <w:color w:val="57585A"/>
          <w:spacing w:val="-15"/>
          <w:sz w:val="20"/>
          <w:szCs w:val="20"/>
        </w:rPr>
        <w:t xml:space="preserve"> </w:t>
      </w:r>
      <w:r>
        <w:rPr>
          <w:color w:val="57585A"/>
          <w:spacing w:val="-11"/>
          <w:sz w:val="20"/>
          <w:szCs w:val="20"/>
        </w:rPr>
        <w:t>will be completed in a timely manner to allow domestic supplies to reach norther provinces, is historica</w:t>
      </w:r>
      <w:r>
        <w:rPr>
          <w:color w:val="57585A"/>
          <w:spacing w:val="-12"/>
          <w:sz w:val="20"/>
          <w:szCs w:val="20"/>
        </w:rPr>
        <w:t>lly</w:t>
      </w:r>
      <w:r>
        <w:rPr>
          <w:color w:val="57585A"/>
          <w:sz w:val="20"/>
          <w:szCs w:val="20"/>
        </w:rPr>
        <w:t xml:space="preserve"> </w:t>
      </w:r>
      <w:r>
        <w:rPr>
          <w:color w:val="57585A"/>
          <w:spacing w:val="-11"/>
          <w:sz w:val="20"/>
          <w:szCs w:val="20"/>
        </w:rPr>
        <w:t>reliant on Bolivia's gas. In the long-term,</w:t>
      </w:r>
      <w:r>
        <w:rPr>
          <w:color w:val="57585A"/>
          <w:spacing w:val="-16"/>
          <w:sz w:val="20"/>
          <w:szCs w:val="20"/>
        </w:rPr>
        <w:t xml:space="preserve"> </w:t>
      </w:r>
      <w:r>
        <w:rPr>
          <w:color w:val="57585A"/>
          <w:spacing w:val="-11"/>
          <w:sz w:val="20"/>
          <w:szCs w:val="20"/>
        </w:rPr>
        <w:t>we see booming natural gas production to support net</w:t>
      </w:r>
      <w:r>
        <w:rPr>
          <w:color w:val="57585A"/>
          <w:spacing w:val="-12"/>
          <w:sz w:val="20"/>
          <w:szCs w:val="20"/>
        </w:rPr>
        <w:t xml:space="preserve"> export growth. For now, exports</w:t>
      </w:r>
      <w:r>
        <w:rPr>
          <w:color w:val="57585A"/>
          <w:sz w:val="20"/>
          <w:szCs w:val="20"/>
        </w:rPr>
        <w:t xml:space="preserve">  </w:t>
      </w:r>
      <w:r>
        <w:rPr>
          <w:color w:val="57585A"/>
          <w:spacing w:val="-10"/>
          <w:sz w:val="20"/>
          <w:szCs w:val="20"/>
        </w:rPr>
        <w:t>continue to be constrained by insufficient capacity, in particular non-existen</w:t>
      </w:r>
      <w:r>
        <w:rPr>
          <w:color w:val="57585A"/>
          <w:spacing w:val="-11"/>
          <w:sz w:val="20"/>
          <w:szCs w:val="20"/>
        </w:rPr>
        <w:t>t LNG export terminal, limiting expansion to pipeline</w:t>
      </w:r>
      <w:r>
        <w:rPr>
          <w:color w:val="57585A"/>
          <w:sz w:val="20"/>
          <w:szCs w:val="20"/>
        </w:rPr>
        <w:t xml:space="preserve">  </w:t>
      </w:r>
      <w:r>
        <w:rPr>
          <w:color w:val="57585A"/>
          <w:spacing w:val="-12"/>
          <w:sz w:val="20"/>
          <w:szCs w:val="20"/>
        </w:rPr>
        <w:t>exports and trade partners demand. We expect the government of</w:t>
      </w:r>
      <w:r>
        <w:rPr>
          <w:color w:val="57585A"/>
          <w:spacing w:val="-30"/>
          <w:sz w:val="20"/>
          <w:szCs w:val="20"/>
        </w:rPr>
        <w:t xml:space="preserve"> </w:t>
      </w:r>
      <w:r>
        <w:rPr>
          <w:color w:val="57585A"/>
          <w:spacing w:val="-12"/>
          <w:sz w:val="20"/>
          <w:szCs w:val="20"/>
        </w:rPr>
        <w:t>Javier Milei to support the expansion of LNG export capabilities;</w:t>
      </w:r>
      <w:r>
        <w:rPr>
          <w:color w:val="57585A"/>
          <w:sz w:val="20"/>
          <w:szCs w:val="20"/>
        </w:rPr>
        <w:t xml:space="preserve"> </w:t>
      </w:r>
      <w:r>
        <w:rPr>
          <w:color w:val="57585A"/>
          <w:spacing w:val="-12"/>
          <w:sz w:val="20"/>
          <w:szCs w:val="20"/>
        </w:rPr>
        <w:t>however,</w:t>
      </w:r>
      <w:r>
        <w:rPr>
          <w:color w:val="57585A"/>
          <w:spacing w:val="1"/>
          <w:sz w:val="20"/>
          <w:szCs w:val="20"/>
        </w:rPr>
        <w:t xml:space="preserve"> </w:t>
      </w:r>
      <w:r>
        <w:rPr>
          <w:color w:val="57585A"/>
          <w:spacing w:val="-12"/>
          <w:sz w:val="20"/>
          <w:szCs w:val="20"/>
        </w:rPr>
        <w:t>we note that all projects remain in pre-FID stage.</w:t>
      </w:r>
    </w:p>
    <w:p w14:paraId="0FF23A4E">
      <w:pPr>
        <w:pStyle w:val="4"/>
        <w:spacing w:line="265" w:lineRule="auto"/>
      </w:pPr>
    </w:p>
    <w:p w14:paraId="5F18FE1C">
      <w:pPr>
        <w:pStyle w:val="4"/>
        <w:spacing w:before="58" w:line="231" w:lineRule="auto"/>
        <w:ind w:left="360"/>
        <w:rPr>
          <w:sz w:val="20"/>
          <w:szCs w:val="20"/>
        </w:rPr>
      </w:pPr>
      <w:r>
        <w:rPr>
          <w:color w:val="57585A"/>
          <w:spacing w:val="-10"/>
          <w:sz w:val="20"/>
          <w:szCs w:val="20"/>
        </w:rPr>
        <w:t>The completion of</w:t>
      </w:r>
      <w:r>
        <w:rPr>
          <w:color w:val="57585A"/>
          <w:spacing w:val="-22"/>
          <w:sz w:val="20"/>
          <w:szCs w:val="20"/>
        </w:rPr>
        <w:t xml:space="preserve"> </w:t>
      </w:r>
      <w:r>
        <w:rPr>
          <w:color w:val="57585A"/>
          <w:spacing w:val="-10"/>
          <w:sz w:val="20"/>
          <w:szCs w:val="20"/>
        </w:rPr>
        <w:t>the Northern Reversal project, slated for H225,</w:t>
      </w:r>
      <w:r>
        <w:rPr>
          <w:color w:val="57585A"/>
          <w:spacing w:val="-15"/>
          <w:sz w:val="20"/>
          <w:szCs w:val="20"/>
        </w:rPr>
        <w:t xml:space="preserve"> </w:t>
      </w:r>
      <w:r>
        <w:rPr>
          <w:color w:val="57585A"/>
          <w:spacing w:val="-10"/>
          <w:sz w:val="20"/>
          <w:szCs w:val="20"/>
        </w:rPr>
        <w:t>will limit impor</w:t>
      </w:r>
      <w:r>
        <w:rPr>
          <w:color w:val="57585A"/>
          <w:spacing w:val="-11"/>
          <w:sz w:val="20"/>
          <w:szCs w:val="20"/>
        </w:rPr>
        <w:t>ts and support our net exports forecast. In</w:t>
      </w:r>
    </w:p>
    <w:p w14:paraId="5C8A0D72">
      <w:pPr>
        <w:pStyle w:val="4"/>
        <w:spacing w:before="59" w:line="231" w:lineRule="auto"/>
        <w:ind w:left="376"/>
        <w:rPr>
          <w:sz w:val="20"/>
          <w:szCs w:val="20"/>
        </w:rPr>
      </w:pPr>
      <w:r>
        <w:rPr>
          <w:color w:val="57585A"/>
          <w:spacing w:val="-11"/>
          <w:sz w:val="20"/>
          <w:szCs w:val="20"/>
        </w:rPr>
        <w:t>November 2024, the</w:t>
      </w:r>
      <w:r>
        <w:rPr>
          <w:color w:val="57585A"/>
          <w:spacing w:val="-16"/>
          <w:sz w:val="20"/>
          <w:szCs w:val="20"/>
        </w:rPr>
        <w:t xml:space="preserve"> </w:t>
      </w:r>
      <w:r>
        <w:rPr>
          <w:color w:val="57585A"/>
          <w:spacing w:val="-11"/>
          <w:sz w:val="20"/>
          <w:szCs w:val="20"/>
        </w:rPr>
        <w:t>Argentine government inaugurated the Tío Pujio-La Carlota Fede</w:t>
      </w:r>
      <w:r>
        <w:rPr>
          <w:color w:val="57585A"/>
          <w:spacing w:val="-12"/>
          <w:sz w:val="20"/>
          <w:szCs w:val="20"/>
        </w:rPr>
        <w:t>ral Integration Pipeline,</w:t>
      </w:r>
      <w:r>
        <w:rPr>
          <w:color w:val="57585A"/>
          <w:spacing w:val="-15"/>
          <w:sz w:val="20"/>
          <w:szCs w:val="20"/>
        </w:rPr>
        <w:t xml:space="preserve"> </w:t>
      </w:r>
      <w:r>
        <w:rPr>
          <w:color w:val="57585A"/>
          <w:spacing w:val="-12"/>
          <w:sz w:val="20"/>
          <w:szCs w:val="20"/>
        </w:rPr>
        <w:t>which links the</w:t>
      </w:r>
    </w:p>
    <w:p w14:paraId="205985D2">
      <w:pPr>
        <w:pStyle w:val="4"/>
        <w:spacing w:before="58" w:line="273" w:lineRule="auto"/>
        <w:ind w:left="367" w:right="581" w:firstLine="2"/>
        <w:rPr>
          <w:sz w:val="20"/>
          <w:szCs w:val="20"/>
        </w:rPr>
      </w:pPr>
      <w:r>
        <w:rPr>
          <w:color w:val="57585A"/>
          <w:spacing w:val="-11"/>
          <w:sz w:val="20"/>
          <w:szCs w:val="20"/>
        </w:rPr>
        <w:t>Central and Northern Pipeline, and</w:t>
      </w:r>
      <w:r>
        <w:rPr>
          <w:color w:val="57585A"/>
          <w:spacing w:val="-12"/>
          <w:sz w:val="20"/>
          <w:szCs w:val="20"/>
        </w:rPr>
        <w:t xml:space="preserve"> constitutes a key part of</w:t>
      </w:r>
      <w:r>
        <w:rPr>
          <w:color w:val="57585A"/>
          <w:spacing w:val="-21"/>
          <w:sz w:val="20"/>
          <w:szCs w:val="20"/>
        </w:rPr>
        <w:t xml:space="preserve"> </w:t>
      </w:r>
      <w:r>
        <w:rPr>
          <w:color w:val="57585A"/>
          <w:spacing w:val="-12"/>
          <w:sz w:val="20"/>
          <w:szCs w:val="20"/>
        </w:rPr>
        <w:t>the broader Northern</w:t>
      </w:r>
      <w:r>
        <w:rPr>
          <w:color w:val="57585A"/>
          <w:spacing w:val="1"/>
          <w:sz w:val="20"/>
          <w:szCs w:val="20"/>
        </w:rPr>
        <w:t xml:space="preserve"> </w:t>
      </w:r>
      <w:r>
        <w:rPr>
          <w:color w:val="57585A"/>
          <w:spacing w:val="-12"/>
          <w:sz w:val="20"/>
          <w:szCs w:val="20"/>
        </w:rPr>
        <w:t>Pipeline</w:t>
      </w:r>
      <w:r>
        <w:rPr>
          <w:color w:val="57585A"/>
          <w:sz w:val="20"/>
          <w:szCs w:val="20"/>
        </w:rPr>
        <w:t xml:space="preserve"> </w:t>
      </w:r>
      <w:r>
        <w:rPr>
          <w:color w:val="57585A"/>
          <w:spacing w:val="-12"/>
          <w:sz w:val="20"/>
          <w:szCs w:val="20"/>
        </w:rPr>
        <w:t>Reversal</w:t>
      </w:r>
      <w:r>
        <w:rPr>
          <w:color w:val="57585A"/>
          <w:spacing w:val="1"/>
          <w:sz w:val="20"/>
          <w:szCs w:val="20"/>
        </w:rPr>
        <w:t xml:space="preserve"> </w:t>
      </w:r>
      <w:r>
        <w:rPr>
          <w:color w:val="57585A"/>
          <w:spacing w:val="-12"/>
          <w:sz w:val="20"/>
          <w:szCs w:val="20"/>
        </w:rPr>
        <w:t>Project. This development</w:t>
      </w:r>
      <w:r>
        <w:rPr>
          <w:color w:val="57585A"/>
          <w:spacing w:val="-16"/>
          <w:sz w:val="20"/>
          <w:szCs w:val="20"/>
        </w:rPr>
        <w:t xml:space="preserve"> </w:t>
      </w:r>
      <w:r>
        <w:rPr>
          <w:color w:val="57585A"/>
          <w:spacing w:val="-12"/>
          <w:sz w:val="20"/>
          <w:szCs w:val="20"/>
        </w:rPr>
        <w:t>will</w:t>
      </w:r>
      <w:r>
        <w:rPr>
          <w:color w:val="57585A"/>
          <w:sz w:val="20"/>
          <w:szCs w:val="20"/>
        </w:rPr>
        <w:t xml:space="preserve"> </w:t>
      </w:r>
      <w:r>
        <w:rPr>
          <w:color w:val="57585A"/>
          <w:spacing w:val="-10"/>
          <w:sz w:val="20"/>
          <w:szCs w:val="20"/>
        </w:rPr>
        <w:t>allow</w:t>
      </w:r>
      <w:r>
        <w:rPr>
          <w:color w:val="57585A"/>
          <w:spacing w:val="-16"/>
          <w:sz w:val="20"/>
          <w:szCs w:val="20"/>
        </w:rPr>
        <w:t xml:space="preserve"> </w:t>
      </w:r>
      <w:r>
        <w:rPr>
          <w:color w:val="57585A"/>
          <w:spacing w:val="-10"/>
          <w:sz w:val="20"/>
          <w:szCs w:val="20"/>
        </w:rPr>
        <w:t>Argentina to supply domestically-</w:t>
      </w:r>
      <w:r>
        <w:rPr>
          <w:color w:val="57585A"/>
          <w:spacing w:val="-11"/>
          <w:sz w:val="20"/>
          <w:szCs w:val="20"/>
        </w:rPr>
        <w:t>sourced natural gas to its northern-most provinces, replacing imported gas from Bolivia.</w:t>
      </w:r>
    </w:p>
    <w:p w14:paraId="4534933C">
      <w:pPr>
        <w:pStyle w:val="4"/>
        <w:spacing w:before="35" w:line="285" w:lineRule="auto"/>
        <w:ind w:left="360" w:right="427" w:hanging="1"/>
        <w:rPr>
          <w:sz w:val="20"/>
          <w:szCs w:val="20"/>
        </w:rPr>
      </w:pPr>
      <w:r>
        <w:rPr>
          <w:color w:val="57585A"/>
          <w:spacing w:val="-10"/>
          <w:sz w:val="20"/>
          <w:szCs w:val="20"/>
        </w:rPr>
        <w:t>According to media reports, the final step in the project is the completion of</w:t>
      </w:r>
      <w:r>
        <w:rPr>
          <w:color w:val="57585A"/>
          <w:spacing w:val="-8"/>
          <w:sz w:val="20"/>
          <w:szCs w:val="20"/>
        </w:rPr>
        <w:t xml:space="preserve"> </w:t>
      </w:r>
      <w:r>
        <w:rPr>
          <w:color w:val="57585A"/>
          <w:spacing w:val="-10"/>
          <w:sz w:val="20"/>
          <w:szCs w:val="20"/>
        </w:rPr>
        <w:t>automation of</w:t>
      </w:r>
      <w:r>
        <w:rPr>
          <w:color w:val="57585A"/>
          <w:spacing w:val="-21"/>
          <w:sz w:val="20"/>
          <w:szCs w:val="20"/>
        </w:rPr>
        <w:t xml:space="preserve"> </w:t>
      </w:r>
      <w:r>
        <w:rPr>
          <w:color w:val="57585A"/>
          <w:spacing w:val="-10"/>
          <w:sz w:val="20"/>
          <w:szCs w:val="20"/>
        </w:rPr>
        <w:t>four existing compressor stations. In the</w:t>
      </w:r>
      <w:r>
        <w:rPr>
          <w:color w:val="57585A"/>
          <w:sz w:val="20"/>
          <w:szCs w:val="20"/>
        </w:rPr>
        <w:t xml:space="preserve"> </w:t>
      </w:r>
      <w:r>
        <w:rPr>
          <w:color w:val="57585A"/>
          <w:spacing w:val="-10"/>
          <w:sz w:val="20"/>
          <w:szCs w:val="20"/>
        </w:rPr>
        <w:t>first phase, the project</w:t>
      </w:r>
      <w:r>
        <w:rPr>
          <w:color w:val="57585A"/>
          <w:spacing w:val="-13"/>
          <w:sz w:val="20"/>
          <w:szCs w:val="20"/>
        </w:rPr>
        <w:t xml:space="preserve"> </w:t>
      </w:r>
      <w:r>
        <w:rPr>
          <w:color w:val="57585A"/>
          <w:spacing w:val="-10"/>
          <w:sz w:val="20"/>
          <w:szCs w:val="20"/>
        </w:rPr>
        <w:t>will allow the transport of 5mcm/d to</w:t>
      </w:r>
      <w:r>
        <w:rPr>
          <w:color w:val="57585A"/>
          <w:spacing w:val="-9"/>
          <w:sz w:val="20"/>
          <w:szCs w:val="20"/>
        </w:rPr>
        <w:t xml:space="preserve"> </w:t>
      </w:r>
      <w:r>
        <w:rPr>
          <w:color w:val="57585A"/>
          <w:spacing w:val="-10"/>
          <w:sz w:val="20"/>
          <w:szCs w:val="20"/>
        </w:rPr>
        <w:t>seven provinces,</w:t>
      </w:r>
      <w:r>
        <w:rPr>
          <w:color w:val="57585A"/>
          <w:spacing w:val="-15"/>
          <w:sz w:val="20"/>
          <w:szCs w:val="20"/>
        </w:rPr>
        <w:t xml:space="preserve"> </w:t>
      </w:r>
      <w:r>
        <w:rPr>
          <w:color w:val="57585A"/>
          <w:spacing w:val="-10"/>
          <w:sz w:val="20"/>
          <w:szCs w:val="20"/>
        </w:rPr>
        <w:t>with a possibility to increase the capacity</w:t>
      </w:r>
      <w:r>
        <w:rPr>
          <w:color w:val="57585A"/>
          <w:spacing w:val="-12"/>
          <w:sz w:val="20"/>
          <w:szCs w:val="20"/>
        </w:rPr>
        <w:t xml:space="preserve"> </w:t>
      </w:r>
      <w:r>
        <w:rPr>
          <w:color w:val="57585A"/>
          <w:spacing w:val="-10"/>
          <w:sz w:val="20"/>
          <w:szCs w:val="20"/>
        </w:rPr>
        <w:t>to 9mcm/d.</w:t>
      </w:r>
      <w:r>
        <w:rPr>
          <w:color w:val="57585A"/>
          <w:sz w:val="20"/>
          <w:szCs w:val="20"/>
        </w:rPr>
        <w:t xml:space="preserve"> </w:t>
      </w:r>
      <w:r>
        <w:rPr>
          <w:color w:val="57585A"/>
          <w:spacing w:val="-10"/>
          <w:sz w:val="20"/>
          <w:szCs w:val="20"/>
        </w:rPr>
        <w:t>We also note the possibi</w:t>
      </w:r>
      <w:r>
        <w:rPr>
          <w:color w:val="57585A"/>
          <w:spacing w:val="-11"/>
          <w:sz w:val="20"/>
          <w:szCs w:val="20"/>
        </w:rPr>
        <w:t>lity of</w:t>
      </w:r>
      <w:r>
        <w:rPr>
          <w:color w:val="57585A"/>
          <w:spacing w:val="-21"/>
          <w:sz w:val="20"/>
          <w:szCs w:val="20"/>
        </w:rPr>
        <w:t xml:space="preserve"> </w:t>
      </w:r>
      <w:r>
        <w:rPr>
          <w:color w:val="57585A"/>
          <w:spacing w:val="-11"/>
          <w:sz w:val="20"/>
          <w:szCs w:val="20"/>
        </w:rPr>
        <w:t>this project supporting future exports to Bolivia or Brazil, raising upside risks for our long-term net gas</w:t>
      </w:r>
      <w:r>
        <w:rPr>
          <w:color w:val="57585A"/>
          <w:sz w:val="20"/>
          <w:szCs w:val="20"/>
        </w:rPr>
        <w:t xml:space="preserve"> </w:t>
      </w:r>
      <w:r>
        <w:rPr>
          <w:color w:val="57585A"/>
          <w:spacing w:val="-11"/>
          <w:sz w:val="20"/>
          <w:szCs w:val="20"/>
        </w:rPr>
        <w:t>export forecast. In our current forecast,</w:t>
      </w:r>
      <w:r>
        <w:rPr>
          <w:color w:val="57585A"/>
          <w:spacing w:val="-16"/>
          <w:sz w:val="20"/>
          <w:szCs w:val="20"/>
        </w:rPr>
        <w:t xml:space="preserve"> </w:t>
      </w:r>
      <w:r>
        <w:rPr>
          <w:color w:val="57585A"/>
          <w:spacing w:val="-11"/>
          <w:sz w:val="20"/>
          <w:szCs w:val="20"/>
        </w:rPr>
        <w:t>we see</w:t>
      </w:r>
      <w:r>
        <w:rPr>
          <w:color w:val="57585A"/>
          <w:spacing w:val="-15"/>
          <w:sz w:val="20"/>
          <w:szCs w:val="20"/>
        </w:rPr>
        <w:t xml:space="preserve"> </w:t>
      </w:r>
      <w:r>
        <w:rPr>
          <w:color w:val="57585A"/>
          <w:spacing w:val="-11"/>
          <w:sz w:val="20"/>
          <w:szCs w:val="20"/>
        </w:rPr>
        <w:t>Argentina becoming a net exporter of natural gas in 2025, reaching 1.3bcm i</w:t>
      </w:r>
      <w:r>
        <w:rPr>
          <w:color w:val="57585A"/>
          <w:spacing w:val="-12"/>
          <w:sz w:val="20"/>
          <w:szCs w:val="20"/>
        </w:rPr>
        <w:t>n net</w:t>
      </w:r>
      <w:r>
        <w:rPr>
          <w:color w:val="57585A"/>
          <w:sz w:val="20"/>
          <w:szCs w:val="20"/>
        </w:rPr>
        <w:t xml:space="preserve">  </w:t>
      </w:r>
      <w:r>
        <w:rPr>
          <w:color w:val="57585A"/>
          <w:spacing w:val="-11"/>
          <w:sz w:val="20"/>
          <w:szCs w:val="20"/>
        </w:rPr>
        <w:t>gas exports,</w:t>
      </w:r>
      <w:r>
        <w:rPr>
          <w:color w:val="57585A"/>
          <w:spacing w:val="-16"/>
          <w:sz w:val="20"/>
          <w:szCs w:val="20"/>
        </w:rPr>
        <w:t xml:space="preserve"> </w:t>
      </w:r>
      <w:r>
        <w:rPr>
          <w:color w:val="57585A"/>
          <w:spacing w:val="-11"/>
          <w:sz w:val="20"/>
          <w:szCs w:val="20"/>
        </w:rPr>
        <w:t>with long term net exports rising to 6.7bcm by 2034. For context,</w:t>
      </w:r>
      <w:r>
        <w:rPr>
          <w:color w:val="57585A"/>
          <w:spacing w:val="-15"/>
          <w:sz w:val="20"/>
          <w:szCs w:val="20"/>
        </w:rPr>
        <w:t xml:space="preserve"> </w:t>
      </w:r>
      <w:r>
        <w:rPr>
          <w:color w:val="57585A"/>
          <w:spacing w:val="-11"/>
          <w:sz w:val="20"/>
          <w:szCs w:val="20"/>
        </w:rPr>
        <w:t>Ar</w:t>
      </w:r>
      <w:r>
        <w:rPr>
          <w:color w:val="57585A"/>
          <w:spacing w:val="-12"/>
          <w:sz w:val="20"/>
          <w:szCs w:val="20"/>
        </w:rPr>
        <w:t>gentina is already exporting natural gas to Chile.</w:t>
      </w:r>
    </w:p>
    <w:p w14:paraId="378962B0">
      <w:pPr>
        <w:pStyle w:val="4"/>
        <w:spacing w:line="295" w:lineRule="auto"/>
      </w:pPr>
    </w:p>
    <w:p w14:paraId="4BCF82AB">
      <w:pPr>
        <w:pStyle w:val="4"/>
        <w:spacing w:line="295" w:lineRule="auto"/>
      </w:pPr>
    </w:p>
    <w:p w14:paraId="388DA55A">
      <w:pPr>
        <w:pStyle w:val="4"/>
        <w:spacing w:before="69" w:line="234" w:lineRule="auto"/>
        <w:ind w:left="3072"/>
        <w:outlineLvl w:val="1"/>
        <w:rPr>
          <w:sz w:val="24"/>
          <w:szCs w:val="24"/>
        </w:rPr>
      </w:pPr>
      <w:r>
        <w:rPr>
          <w:color w:val="174174"/>
          <w:spacing w:val="-12"/>
          <w:sz w:val="24"/>
          <w:szCs w:val="24"/>
        </w:rPr>
        <w:t>Argentina To Become A Net Gas Exporter In 2025</w:t>
      </w:r>
    </w:p>
    <w:p w14:paraId="558D256B">
      <w:pPr>
        <w:pStyle w:val="4"/>
        <w:spacing w:before="33" w:line="231" w:lineRule="auto"/>
        <w:ind w:left="3532"/>
        <w:outlineLvl w:val="1"/>
        <w:rPr>
          <w:sz w:val="20"/>
          <w:szCs w:val="20"/>
        </w:rPr>
      </w:pPr>
      <w:r>
        <w:rPr>
          <w:color w:val="333333"/>
          <w:spacing w:val="-13"/>
          <w:sz w:val="20"/>
          <w:szCs w:val="20"/>
        </w:rPr>
        <w:t>Argentina - Gas Net Exports Forecast (2023-2034)</w:t>
      </w:r>
    </w:p>
    <w:p w14:paraId="40CD432D">
      <w:pPr>
        <w:spacing w:before="96" w:line="4500" w:lineRule="exact"/>
        <w:ind w:firstLine="1862"/>
      </w:pPr>
      <w:r>
        <w:rPr>
          <w:position w:val="-90"/>
        </w:rPr>
        <w:drawing>
          <wp:inline distT="0" distB="0" distL="0" distR="0">
            <wp:extent cx="4572000" cy="285750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130"/>
                    <a:stretch>
                      <a:fillRect/>
                    </a:stretch>
                  </pic:blipFill>
                  <pic:spPr>
                    <a:xfrm>
                      <a:off x="0" y="0"/>
                      <a:ext cx="4572000" cy="2857500"/>
                    </a:xfrm>
                    <a:prstGeom prst="rect">
                      <a:avLst/>
                    </a:prstGeom>
                  </pic:spPr>
                </pic:pic>
              </a:graphicData>
            </a:graphic>
          </wp:inline>
        </w:drawing>
      </w:r>
    </w:p>
    <w:p w14:paraId="784CA7C4">
      <w:pPr>
        <w:pStyle w:val="4"/>
        <w:spacing w:before="149" w:line="177" w:lineRule="exact"/>
        <w:ind w:left="1876"/>
        <w:rPr>
          <w:sz w:val="15"/>
          <w:szCs w:val="15"/>
        </w:rPr>
      </w:pPr>
      <w:r>
        <w:drawing>
          <wp:anchor distT="0" distB="0" distL="0" distR="0" simplePos="0" relativeHeight="251833344"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0AE90211">
      <w:pPr>
        <w:spacing w:line="177" w:lineRule="exact"/>
        <w:rPr>
          <w:sz w:val="15"/>
          <w:szCs w:val="15"/>
        </w:rPr>
        <w:sectPr>
          <w:footerReference r:id="rId45" w:type="default"/>
          <w:pgSz w:w="11906" w:h="16838"/>
          <w:pgMar w:top="400" w:right="490" w:bottom="883" w:left="490" w:header="0" w:footer="0" w:gutter="0"/>
          <w:cols w:space="720" w:num="1"/>
        </w:sectPr>
      </w:pPr>
    </w:p>
    <w:p w14:paraId="77779BF6">
      <w:pPr>
        <w:pStyle w:val="4"/>
        <w:spacing w:before="73" w:line="241" w:lineRule="auto"/>
        <w:ind w:left="7372"/>
        <w:rPr>
          <w:sz w:val="20"/>
          <w:szCs w:val="20"/>
        </w:rPr>
      </w:pPr>
      <w:r>
        <w:drawing>
          <wp:anchor distT="0" distB="0" distL="0" distR="0" simplePos="0" relativeHeight="25183846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39488" behindDoc="0" locked="0" layoutInCell="0" allowOverlap="1">
            <wp:simplePos x="0" y="0"/>
            <wp:positionH relativeFrom="page">
              <wp:posOffset>311150</wp:posOffset>
            </wp:positionH>
            <wp:positionV relativeFrom="page">
              <wp:posOffset>0</wp:posOffset>
            </wp:positionV>
            <wp:extent cx="19050" cy="814070"/>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5668CC8">
      <w:pPr>
        <w:pStyle w:val="4"/>
        <w:spacing w:line="278" w:lineRule="auto"/>
      </w:pPr>
    </w:p>
    <w:p w14:paraId="0E820BA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B191B53">
      <w:pPr>
        <w:pStyle w:val="4"/>
        <w:spacing w:line="252" w:lineRule="auto"/>
      </w:pPr>
    </w:p>
    <w:p w14:paraId="4331354A">
      <w:pPr>
        <w:pStyle w:val="4"/>
        <w:spacing w:line="252" w:lineRule="auto"/>
      </w:pPr>
    </w:p>
    <w:p w14:paraId="421C43F3">
      <w:pPr>
        <w:pStyle w:val="4"/>
        <w:spacing w:line="253" w:lineRule="auto"/>
      </w:pPr>
    </w:p>
    <w:p w14:paraId="04844724">
      <w:pPr>
        <w:pStyle w:val="4"/>
        <w:spacing w:before="58" w:line="279" w:lineRule="auto"/>
        <w:ind w:left="359" w:right="541" w:firstLine="1"/>
        <w:rPr>
          <w:sz w:val="20"/>
          <w:szCs w:val="20"/>
        </w:rPr>
      </w:pPr>
      <w:r>
        <w:rPr>
          <w:color w:val="57585A"/>
          <w:spacing w:val="-11"/>
          <w:sz w:val="20"/>
          <w:szCs w:val="20"/>
        </w:rPr>
        <w:t>We also recognise upside risks to our long-term gas production and net exports forec</w:t>
      </w:r>
      <w:r>
        <w:rPr>
          <w:color w:val="57585A"/>
          <w:spacing w:val="-12"/>
          <w:sz w:val="20"/>
          <w:szCs w:val="20"/>
        </w:rPr>
        <w:t>asts stemming from advancing talks about a</w:t>
      </w:r>
      <w:r>
        <w:rPr>
          <w:color w:val="57585A"/>
          <w:sz w:val="20"/>
          <w:szCs w:val="20"/>
        </w:rPr>
        <w:t xml:space="preserve"> </w:t>
      </w:r>
      <w:r>
        <w:rPr>
          <w:color w:val="57585A"/>
          <w:spacing w:val="-12"/>
          <w:sz w:val="20"/>
          <w:szCs w:val="20"/>
        </w:rPr>
        <w:t>large-scale LNG facility. In our current forecast, we have only incorporated small-scale LNG</w:t>
      </w:r>
      <w:r>
        <w:rPr>
          <w:color w:val="57585A"/>
          <w:spacing w:val="-13"/>
          <w:sz w:val="20"/>
          <w:szCs w:val="20"/>
        </w:rPr>
        <w:t xml:space="preserve"> export facilities. One project, led by</w:t>
      </w:r>
      <w:r>
        <w:rPr>
          <w:color w:val="57585A"/>
          <w:sz w:val="20"/>
          <w:szCs w:val="20"/>
        </w:rPr>
        <w:t xml:space="preserve"> </w:t>
      </w:r>
      <w:r>
        <w:rPr>
          <w:color w:val="57585A"/>
          <w:spacing w:val="-13"/>
          <w:sz w:val="20"/>
          <w:szCs w:val="20"/>
        </w:rPr>
        <w:t>Pan</w:t>
      </w:r>
      <w:r>
        <w:rPr>
          <w:color w:val="57585A"/>
          <w:sz w:val="20"/>
          <w:szCs w:val="20"/>
        </w:rPr>
        <w:t xml:space="preserve"> </w:t>
      </w:r>
      <w:r>
        <w:rPr>
          <w:color w:val="57585A"/>
          <w:spacing w:val="-12"/>
          <w:sz w:val="20"/>
          <w:szCs w:val="20"/>
        </w:rPr>
        <w:t>American Energy, in cooperation</w:t>
      </w:r>
      <w:r>
        <w:rPr>
          <w:color w:val="57585A"/>
          <w:spacing w:val="-15"/>
          <w:sz w:val="20"/>
          <w:szCs w:val="20"/>
        </w:rPr>
        <w:t xml:space="preserve"> </w:t>
      </w:r>
      <w:r>
        <w:rPr>
          <w:color w:val="57585A"/>
          <w:spacing w:val="-12"/>
          <w:sz w:val="20"/>
          <w:szCs w:val="20"/>
        </w:rPr>
        <w:t>with</w:t>
      </w:r>
      <w:r>
        <w:rPr>
          <w:color w:val="57585A"/>
          <w:spacing w:val="-16"/>
          <w:sz w:val="20"/>
          <w:szCs w:val="20"/>
        </w:rPr>
        <w:t xml:space="preserve"> </w:t>
      </w:r>
      <w:r>
        <w:rPr>
          <w:color w:val="57585A"/>
          <w:spacing w:val="-12"/>
          <w:sz w:val="20"/>
          <w:szCs w:val="20"/>
        </w:rPr>
        <w:t>YPF and Pampa Energy among others, is set to commence operat</w:t>
      </w:r>
      <w:r>
        <w:rPr>
          <w:color w:val="57585A"/>
          <w:spacing w:val="-13"/>
          <w:sz w:val="20"/>
          <w:szCs w:val="20"/>
        </w:rPr>
        <w:t>ions in 2027 adding</w:t>
      </w:r>
    </w:p>
    <w:p w14:paraId="7304CB91">
      <w:pPr>
        <w:pStyle w:val="4"/>
        <w:spacing w:before="36" w:line="231" w:lineRule="auto"/>
        <w:ind w:left="367"/>
        <w:rPr>
          <w:sz w:val="20"/>
          <w:szCs w:val="20"/>
        </w:rPr>
      </w:pPr>
      <w:r>
        <w:rPr>
          <w:color w:val="57585A"/>
          <w:spacing w:val="-10"/>
          <w:sz w:val="20"/>
          <w:szCs w:val="20"/>
        </w:rPr>
        <w:t>approximately 4.1bcm of</w:t>
      </w:r>
      <w:r>
        <w:rPr>
          <w:color w:val="57585A"/>
          <w:spacing w:val="-15"/>
          <w:sz w:val="20"/>
          <w:szCs w:val="20"/>
        </w:rPr>
        <w:t xml:space="preserve"> </w:t>
      </w:r>
      <w:r>
        <w:rPr>
          <w:color w:val="57585A"/>
          <w:spacing w:val="-10"/>
          <w:sz w:val="20"/>
          <w:szCs w:val="20"/>
        </w:rPr>
        <w:t>export capacity, however</w:t>
      </w:r>
      <w:r>
        <w:rPr>
          <w:color w:val="57585A"/>
          <w:spacing w:val="-16"/>
          <w:sz w:val="20"/>
          <w:szCs w:val="20"/>
        </w:rPr>
        <w:t xml:space="preserve"> </w:t>
      </w:r>
      <w:r>
        <w:rPr>
          <w:color w:val="57585A"/>
          <w:spacing w:val="-10"/>
          <w:sz w:val="20"/>
          <w:szCs w:val="20"/>
        </w:rPr>
        <w:t>we</w:t>
      </w:r>
      <w:r>
        <w:rPr>
          <w:color w:val="57585A"/>
          <w:spacing w:val="-11"/>
          <w:sz w:val="20"/>
          <w:szCs w:val="20"/>
        </w:rPr>
        <w:t xml:space="preserve"> do not expect it to use its full capacity immediately after commencing</w:t>
      </w:r>
    </w:p>
    <w:p w14:paraId="65E967FA">
      <w:pPr>
        <w:pStyle w:val="4"/>
        <w:spacing w:before="58" w:line="273" w:lineRule="auto"/>
        <w:ind w:left="363" w:right="544" w:firstLine="6"/>
        <w:rPr>
          <w:sz w:val="20"/>
          <w:szCs w:val="20"/>
        </w:rPr>
      </w:pPr>
      <w:r>
        <w:rPr>
          <w:color w:val="57585A"/>
          <w:spacing w:val="-11"/>
          <w:sz w:val="20"/>
          <w:szCs w:val="20"/>
        </w:rPr>
        <w:t>operations.</w:t>
      </w:r>
      <w:r>
        <w:rPr>
          <w:color w:val="57585A"/>
          <w:spacing w:val="-16"/>
          <w:sz w:val="20"/>
          <w:szCs w:val="20"/>
        </w:rPr>
        <w:t xml:space="preserve"> </w:t>
      </w:r>
      <w:r>
        <w:rPr>
          <w:color w:val="57585A"/>
          <w:spacing w:val="-11"/>
          <w:sz w:val="20"/>
          <w:szCs w:val="20"/>
        </w:rPr>
        <w:t>Another small-scale project is c</w:t>
      </w:r>
      <w:r>
        <w:rPr>
          <w:color w:val="57585A"/>
          <w:spacing w:val="-12"/>
          <w:sz w:val="20"/>
          <w:szCs w:val="20"/>
        </w:rPr>
        <w:t>onsidered by Tecpetrol, however there have been limited updates on this one. We note</w:t>
      </w:r>
      <w:r>
        <w:rPr>
          <w:color w:val="57585A"/>
          <w:sz w:val="20"/>
          <w:szCs w:val="20"/>
        </w:rPr>
        <w:t xml:space="preserve"> </w:t>
      </w:r>
      <w:r>
        <w:rPr>
          <w:color w:val="57585A"/>
          <w:spacing w:val="-11"/>
          <w:sz w:val="20"/>
          <w:szCs w:val="20"/>
        </w:rPr>
        <w:t>that both projects are in the pre-FID stage</w:t>
      </w:r>
      <w:r>
        <w:rPr>
          <w:color w:val="57585A"/>
          <w:spacing w:val="-16"/>
          <w:sz w:val="20"/>
          <w:szCs w:val="20"/>
        </w:rPr>
        <w:t xml:space="preserve"> </w:t>
      </w:r>
      <w:r>
        <w:rPr>
          <w:color w:val="57585A"/>
          <w:spacing w:val="-11"/>
          <w:sz w:val="20"/>
          <w:szCs w:val="20"/>
        </w:rPr>
        <w:t xml:space="preserve">which raises some downside risks </w:t>
      </w:r>
      <w:r>
        <w:rPr>
          <w:color w:val="57585A"/>
          <w:spacing w:val="-12"/>
          <w:sz w:val="20"/>
          <w:szCs w:val="20"/>
        </w:rPr>
        <w:t>to our long-term LNG export forecast.</w:t>
      </w:r>
    </w:p>
    <w:p w14:paraId="6C6F96C9">
      <w:pPr>
        <w:pStyle w:val="4"/>
        <w:spacing w:line="265" w:lineRule="auto"/>
      </w:pPr>
    </w:p>
    <w:p w14:paraId="641E7FF9">
      <w:pPr>
        <w:pStyle w:val="4"/>
        <w:spacing w:before="59" w:line="273" w:lineRule="auto"/>
        <w:ind w:left="370" w:right="525" w:hanging="11"/>
        <w:rPr>
          <w:sz w:val="20"/>
          <w:szCs w:val="20"/>
        </w:rPr>
      </w:pPr>
      <w:r>
        <w:rPr>
          <w:color w:val="57585A"/>
          <w:spacing w:val="-10"/>
          <w:sz w:val="20"/>
          <w:szCs w:val="20"/>
        </w:rPr>
        <w:t>At the same time,</w:t>
      </w:r>
      <w:r>
        <w:rPr>
          <w:color w:val="57585A"/>
          <w:spacing w:val="-16"/>
          <w:sz w:val="20"/>
          <w:szCs w:val="20"/>
        </w:rPr>
        <w:t xml:space="preserve"> </w:t>
      </w:r>
      <w:r>
        <w:rPr>
          <w:color w:val="57585A"/>
          <w:spacing w:val="-10"/>
          <w:sz w:val="20"/>
          <w:szCs w:val="20"/>
        </w:rPr>
        <w:t>we highlight upside risks to our</w:t>
      </w:r>
      <w:r>
        <w:rPr>
          <w:color w:val="57585A"/>
          <w:spacing w:val="-11"/>
          <w:sz w:val="20"/>
          <w:szCs w:val="20"/>
        </w:rPr>
        <w:t xml:space="preserve"> long-term outlook for</w:t>
      </w:r>
      <w:r>
        <w:rPr>
          <w:color w:val="57585A"/>
          <w:spacing w:val="-16"/>
          <w:sz w:val="20"/>
          <w:szCs w:val="20"/>
        </w:rPr>
        <w:t xml:space="preserve"> </w:t>
      </w:r>
      <w:r>
        <w:rPr>
          <w:color w:val="57585A"/>
          <w:spacing w:val="-11"/>
          <w:sz w:val="20"/>
          <w:szCs w:val="20"/>
        </w:rPr>
        <w:t>Argentina’s gas production and net exports. Media reports</w:t>
      </w:r>
      <w:r>
        <w:rPr>
          <w:color w:val="57585A"/>
          <w:sz w:val="20"/>
          <w:szCs w:val="20"/>
        </w:rPr>
        <w:t xml:space="preserve"> </w:t>
      </w:r>
      <w:r>
        <w:rPr>
          <w:color w:val="57585A"/>
          <w:spacing w:val="-12"/>
          <w:sz w:val="20"/>
          <w:szCs w:val="20"/>
        </w:rPr>
        <w:t>indicated some progress in talks about a large-scale LNG export facility</w:t>
      </w:r>
      <w:r>
        <w:rPr>
          <w:color w:val="57585A"/>
          <w:spacing w:val="-13"/>
          <w:sz w:val="20"/>
          <w:szCs w:val="20"/>
        </w:rPr>
        <w:t xml:space="preserve"> between YPF and Shell, after the Malaysian state-led</w:t>
      </w:r>
    </w:p>
    <w:p w14:paraId="19EA66C9">
      <w:pPr>
        <w:pStyle w:val="4"/>
        <w:spacing w:before="36" w:line="273" w:lineRule="auto"/>
        <w:ind w:left="369" w:right="594" w:firstLine="6"/>
        <w:rPr>
          <w:sz w:val="20"/>
          <w:szCs w:val="20"/>
        </w:rPr>
      </w:pPr>
      <w:r>
        <w:rPr>
          <w:color w:val="57585A"/>
          <w:spacing w:val="-11"/>
          <w:sz w:val="20"/>
          <w:szCs w:val="20"/>
        </w:rPr>
        <w:t>Petronas decided to step away from</w:t>
      </w:r>
      <w:r>
        <w:rPr>
          <w:color w:val="57585A"/>
          <w:spacing w:val="-3"/>
          <w:sz w:val="20"/>
          <w:szCs w:val="20"/>
        </w:rPr>
        <w:t xml:space="preserve"> </w:t>
      </w:r>
      <w:r>
        <w:rPr>
          <w:color w:val="57585A"/>
          <w:spacing w:val="-11"/>
          <w:sz w:val="20"/>
          <w:szCs w:val="20"/>
        </w:rPr>
        <w:t>this initiative.</w:t>
      </w:r>
      <w:r>
        <w:rPr>
          <w:color w:val="57585A"/>
          <w:spacing w:val="-16"/>
          <w:sz w:val="20"/>
          <w:szCs w:val="20"/>
        </w:rPr>
        <w:t xml:space="preserve"> </w:t>
      </w:r>
      <w:r>
        <w:rPr>
          <w:color w:val="57585A"/>
          <w:spacing w:val="-11"/>
          <w:sz w:val="20"/>
          <w:szCs w:val="20"/>
        </w:rPr>
        <w:t>Argentina’s NOC and Shell</w:t>
      </w:r>
      <w:r>
        <w:rPr>
          <w:color w:val="57585A"/>
          <w:spacing w:val="-15"/>
          <w:sz w:val="20"/>
          <w:szCs w:val="20"/>
        </w:rPr>
        <w:t xml:space="preserve"> </w:t>
      </w:r>
      <w:r>
        <w:rPr>
          <w:color w:val="57585A"/>
          <w:spacing w:val="-11"/>
          <w:sz w:val="20"/>
          <w:szCs w:val="20"/>
        </w:rPr>
        <w:t>will now collaborate to push the project to the front-</w:t>
      </w:r>
      <w:r>
        <w:rPr>
          <w:color w:val="57585A"/>
          <w:sz w:val="20"/>
          <w:szCs w:val="20"/>
        </w:rPr>
        <w:t xml:space="preserve"> </w:t>
      </w:r>
      <w:r>
        <w:rPr>
          <w:color w:val="57585A"/>
          <w:spacing w:val="-10"/>
          <w:sz w:val="20"/>
          <w:szCs w:val="20"/>
        </w:rPr>
        <w:t>end engineering design stage. In the initial pha</w:t>
      </w:r>
      <w:r>
        <w:rPr>
          <w:color w:val="57585A"/>
          <w:spacing w:val="-11"/>
          <w:sz w:val="20"/>
          <w:szCs w:val="20"/>
        </w:rPr>
        <w:t>se, this project</w:t>
      </w:r>
      <w:r>
        <w:rPr>
          <w:color w:val="57585A"/>
          <w:spacing w:val="-15"/>
          <w:sz w:val="20"/>
          <w:szCs w:val="20"/>
        </w:rPr>
        <w:t xml:space="preserve"> </w:t>
      </w:r>
      <w:r>
        <w:rPr>
          <w:color w:val="57585A"/>
          <w:spacing w:val="-11"/>
          <w:sz w:val="20"/>
          <w:szCs w:val="20"/>
        </w:rPr>
        <w:t>would allow the export of up to 10bcm of LNG,</w:t>
      </w:r>
      <w:r>
        <w:rPr>
          <w:color w:val="57585A"/>
          <w:spacing w:val="-16"/>
          <w:sz w:val="20"/>
          <w:szCs w:val="20"/>
        </w:rPr>
        <w:t xml:space="preserve"> </w:t>
      </w:r>
      <w:r>
        <w:rPr>
          <w:color w:val="57585A"/>
          <w:spacing w:val="-11"/>
          <w:sz w:val="20"/>
          <w:szCs w:val="20"/>
        </w:rPr>
        <w:t>which constitutes</w:t>
      </w:r>
    </w:p>
    <w:p w14:paraId="572049C1">
      <w:pPr>
        <w:pStyle w:val="4"/>
        <w:spacing w:before="37" w:line="294" w:lineRule="auto"/>
        <w:ind w:left="373" w:right="568"/>
        <w:rPr>
          <w:sz w:val="20"/>
          <w:szCs w:val="20"/>
        </w:rPr>
      </w:pPr>
      <w:r>
        <w:rPr>
          <w:color w:val="57585A"/>
          <w:spacing w:val="-10"/>
          <w:sz w:val="20"/>
          <w:szCs w:val="20"/>
        </w:rPr>
        <w:t>material upside risk to our long-term LNG net export and gas producti</w:t>
      </w:r>
      <w:r>
        <w:rPr>
          <w:color w:val="57585A"/>
          <w:spacing w:val="-11"/>
          <w:sz w:val="20"/>
          <w:szCs w:val="20"/>
        </w:rPr>
        <w:t>on forecast for</w:t>
      </w:r>
      <w:r>
        <w:rPr>
          <w:color w:val="57585A"/>
          <w:spacing w:val="-15"/>
          <w:sz w:val="20"/>
          <w:szCs w:val="20"/>
        </w:rPr>
        <w:t xml:space="preserve"> </w:t>
      </w:r>
      <w:r>
        <w:rPr>
          <w:color w:val="57585A"/>
          <w:spacing w:val="-11"/>
          <w:sz w:val="20"/>
          <w:szCs w:val="20"/>
        </w:rPr>
        <w:t>Argentina, should it be completed</w:t>
      </w:r>
      <w:r>
        <w:rPr>
          <w:color w:val="57585A"/>
          <w:spacing w:val="-16"/>
          <w:sz w:val="20"/>
          <w:szCs w:val="20"/>
        </w:rPr>
        <w:t xml:space="preserve"> </w:t>
      </w:r>
      <w:r>
        <w:rPr>
          <w:color w:val="57585A"/>
          <w:spacing w:val="-11"/>
          <w:sz w:val="20"/>
          <w:szCs w:val="20"/>
        </w:rPr>
        <w:t>within the</w:t>
      </w:r>
      <w:r>
        <w:rPr>
          <w:color w:val="57585A"/>
          <w:sz w:val="20"/>
          <w:szCs w:val="20"/>
        </w:rPr>
        <w:t xml:space="preserve"> </w:t>
      </w:r>
      <w:r>
        <w:rPr>
          <w:color w:val="57585A"/>
          <w:spacing w:val="-13"/>
          <w:sz w:val="20"/>
          <w:szCs w:val="20"/>
        </w:rPr>
        <w:t>next decade.</w:t>
      </w:r>
    </w:p>
    <w:p w14:paraId="3E205E35">
      <w:pPr>
        <w:pStyle w:val="4"/>
        <w:spacing w:before="285" w:line="231" w:lineRule="auto"/>
        <w:ind w:left="361"/>
        <w:rPr>
          <w:sz w:val="20"/>
          <w:szCs w:val="20"/>
        </w:rPr>
      </w:pPr>
      <w:r>
        <w:rPr>
          <w:color w:val="57585A"/>
          <w:spacing w:val="-11"/>
          <w:sz w:val="20"/>
          <w:szCs w:val="20"/>
        </w:rPr>
        <w:t>We note that the supportive stance towards</w:t>
      </w:r>
      <w:r>
        <w:rPr>
          <w:color w:val="57585A"/>
          <w:spacing w:val="-12"/>
          <w:sz w:val="20"/>
          <w:szCs w:val="20"/>
        </w:rPr>
        <w:t xml:space="preserve"> </w:t>
      </w:r>
      <w:r>
        <w:rPr>
          <w:color w:val="57585A"/>
          <w:spacing w:val="-11"/>
          <w:sz w:val="20"/>
          <w:szCs w:val="20"/>
        </w:rPr>
        <w:t>the oil and gas industry expressed by the current government of</w:t>
      </w:r>
      <w:r>
        <w:rPr>
          <w:color w:val="57585A"/>
          <w:spacing w:val="-32"/>
          <w:sz w:val="20"/>
          <w:szCs w:val="20"/>
        </w:rPr>
        <w:t xml:space="preserve"> </w:t>
      </w:r>
      <w:r>
        <w:rPr>
          <w:color w:val="57585A"/>
          <w:spacing w:val="-11"/>
          <w:sz w:val="20"/>
          <w:szCs w:val="20"/>
        </w:rPr>
        <w:t>Javier</w:t>
      </w:r>
      <w:r>
        <w:rPr>
          <w:color w:val="57585A"/>
          <w:spacing w:val="-12"/>
          <w:sz w:val="20"/>
          <w:szCs w:val="20"/>
        </w:rPr>
        <w:t xml:space="preserve"> Milei in</w:t>
      </w:r>
    </w:p>
    <w:p w14:paraId="143182D4">
      <w:pPr>
        <w:pStyle w:val="4"/>
        <w:spacing w:before="58" w:line="273" w:lineRule="auto"/>
        <w:ind w:left="368" w:right="511" w:hanging="9"/>
        <w:rPr>
          <w:sz w:val="20"/>
          <w:szCs w:val="20"/>
        </w:rPr>
      </w:pPr>
      <w:r>
        <w:rPr>
          <w:color w:val="57585A"/>
          <w:spacing w:val="-11"/>
          <w:sz w:val="20"/>
          <w:szCs w:val="20"/>
        </w:rPr>
        <w:t>Argentina limits downside risks to the forecasts, however,</w:t>
      </w:r>
      <w:r>
        <w:rPr>
          <w:color w:val="57585A"/>
          <w:spacing w:val="-15"/>
          <w:sz w:val="20"/>
          <w:szCs w:val="20"/>
        </w:rPr>
        <w:t xml:space="preserve"> </w:t>
      </w:r>
      <w:r>
        <w:rPr>
          <w:color w:val="57585A"/>
          <w:spacing w:val="-11"/>
          <w:sz w:val="20"/>
          <w:szCs w:val="20"/>
        </w:rPr>
        <w:t>we recognise some risks stemming from the lower oil price envi</w:t>
      </w:r>
      <w:r>
        <w:rPr>
          <w:color w:val="57585A"/>
          <w:spacing w:val="-12"/>
          <w:sz w:val="20"/>
          <w:szCs w:val="20"/>
        </w:rPr>
        <w:t>ronment</w:t>
      </w:r>
      <w:r>
        <w:rPr>
          <w:color w:val="57585A"/>
          <w:sz w:val="20"/>
          <w:szCs w:val="20"/>
        </w:rPr>
        <w:t xml:space="preserve"> </w:t>
      </w:r>
      <w:r>
        <w:rPr>
          <w:color w:val="57585A"/>
          <w:spacing w:val="-10"/>
          <w:sz w:val="20"/>
          <w:szCs w:val="20"/>
        </w:rPr>
        <w:t>expected for the next</w:t>
      </w:r>
      <w:r>
        <w:rPr>
          <w:color w:val="57585A"/>
          <w:spacing w:val="-16"/>
          <w:sz w:val="20"/>
          <w:szCs w:val="20"/>
        </w:rPr>
        <w:t xml:space="preserve"> </w:t>
      </w:r>
      <w:r>
        <w:rPr>
          <w:color w:val="57585A"/>
          <w:spacing w:val="-10"/>
          <w:sz w:val="20"/>
          <w:szCs w:val="20"/>
        </w:rPr>
        <w:t>yea</w:t>
      </w:r>
      <w:r>
        <w:rPr>
          <w:color w:val="57585A"/>
          <w:spacing w:val="-11"/>
          <w:sz w:val="20"/>
          <w:szCs w:val="20"/>
        </w:rPr>
        <w:t>rs</w:t>
      </w:r>
      <w:r>
        <w:rPr>
          <w:color w:val="57585A"/>
          <w:spacing w:val="-15"/>
          <w:sz w:val="20"/>
          <w:szCs w:val="20"/>
        </w:rPr>
        <w:t xml:space="preserve"> </w:t>
      </w:r>
      <w:r>
        <w:rPr>
          <w:color w:val="57585A"/>
          <w:spacing w:val="-11"/>
          <w:sz w:val="20"/>
          <w:szCs w:val="20"/>
        </w:rPr>
        <w:t>which could</w:t>
      </w:r>
      <w:r>
        <w:rPr>
          <w:color w:val="57585A"/>
          <w:spacing w:val="-16"/>
          <w:sz w:val="20"/>
          <w:szCs w:val="20"/>
        </w:rPr>
        <w:t xml:space="preserve"> </w:t>
      </w:r>
      <w:r>
        <w:rPr>
          <w:color w:val="57585A"/>
          <w:spacing w:val="-11"/>
          <w:sz w:val="20"/>
          <w:szCs w:val="20"/>
        </w:rPr>
        <w:t>weaken the upstream and midstream investor sentiment globally.</w:t>
      </w:r>
    </w:p>
    <w:p w14:paraId="472F44E7">
      <w:pPr>
        <w:pStyle w:val="4"/>
        <w:spacing w:line="316" w:lineRule="auto"/>
      </w:pPr>
    </w:p>
    <w:p w14:paraId="59BC100C">
      <w:pPr>
        <w:pStyle w:val="4"/>
        <w:spacing w:line="317" w:lineRule="auto"/>
      </w:pPr>
    </w:p>
    <w:p w14:paraId="0C627D35">
      <w:pPr>
        <w:pStyle w:val="4"/>
        <w:spacing w:before="70" w:line="234" w:lineRule="auto"/>
        <w:ind w:left="419"/>
        <w:outlineLvl w:val="1"/>
        <w:rPr>
          <w:sz w:val="24"/>
          <w:szCs w:val="24"/>
        </w:rPr>
      </w:pPr>
      <w:r>
        <w:rPr>
          <w:color w:val="174174"/>
          <w:spacing w:val="-11"/>
          <w:sz w:val="24"/>
          <w:szCs w:val="24"/>
        </w:rPr>
        <w:t>Gas Net Exports (Argentina 2023-2028)</w:t>
      </w:r>
    </w:p>
    <w:p w14:paraId="55691B80">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442"/>
        <w:gridCol w:w="993"/>
        <w:gridCol w:w="987"/>
        <w:gridCol w:w="982"/>
        <w:gridCol w:w="933"/>
        <w:gridCol w:w="933"/>
        <w:gridCol w:w="934"/>
      </w:tblGrid>
      <w:tr w14:paraId="4AD5315E">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4442" w:type="dxa"/>
            <w:tcBorders>
              <w:left w:val="nil"/>
              <w:right w:val="single" w:color="D7DADB" w:sz="6" w:space="0"/>
            </w:tcBorders>
            <w:vAlign w:val="top"/>
          </w:tcPr>
          <w:p w14:paraId="798F14AA">
            <w:pPr>
              <w:pStyle w:val="8"/>
              <w:spacing w:before="75" w:line="243" w:lineRule="exact"/>
              <w:ind w:left="13"/>
            </w:pPr>
            <w:r>
              <w:rPr>
                <w:b/>
                <w:bCs/>
                <w:color w:val="5F6A72"/>
                <w:spacing w:val="-6"/>
                <w:position w:val="1"/>
              </w:rPr>
              <w:t>Indicator</w:t>
            </w:r>
          </w:p>
        </w:tc>
        <w:tc>
          <w:tcPr>
            <w:tcW w:w="993" w:type="dxa"/>
            <w:tcBorders>
              <w:left w:val="single" w:color="D7DADB" w:sz="6" w:space="0"/>
              <w:right w:val="nil"/>
            </w:tcBorders>
            <w:vAlign w:val="top"/>
          </w:tcPr>
          <w:p w14:paraId="321E4E4C">
            <w:pPr>
              <w:pStyle w:val="8"/>
              <w:spacing w:before="75" w:line="243" w:lineRule="exact"/>
              <w:ind w:left="529"/>
            </w:pPr>
            <w:r>
              <w:rPr>
                <w:b/>
                <w:bCs/>
                <w:color w:val="5F6A72"/>
                <w:spacing w:val="-4"/>
                <w:position w:val="1"/>
              </w:rPr>
              <w:t>2023</w:t>
            </w:r>
          </w:p>
        </w:tc>
        <w:tc>
          <w:tcPr>
            <w:tcW w:w="987" w:type="dxa"/>
            <w:tcBorders>
              <w:left w:val="nil"/>
              <w:right w:val="nil"/>
            </w:tcBorders>
            <w:vAlign w:val="top"/>
          </w:tcPr>
          <w:p w14:paraId="3B6CF057">
            <w:pPr>
              <w:pStyle w:val="8"/>
              <w:spacing w:before="75" w:line="243" w:lineRule="exact"/>
              <w:ind w:left="437"/>
            </w:pPr>
            <w:r>
              <w:rPr>
                <w:b/>
                <w:bCs/>
                <w:color w:val="5F6A72"/>
                <w:spacing w:val="-4"/>
                <w:position w:val="1"/>
              </w:rPr>
              <w:t>2024e</w:t>
            </w:r>
          </w:p>
        </w:tc>
        <w:tc>
          <w:tcPr>
            <w:tcW w:w="982" w:type="dxa"/>
            <w:tcBorders>
              <w:left w:val="nil"/>
              <w:right w:val="nil"/>
            </w:tcBorders>
            <w:vAlign w:val="top"/>
          </w:tcPr>
          <w:p w14:paraId="5C7D300D">
            <w:pPr>
              <w:pStyle w:val="8"/>
              <w:spacing w:before="75" w:line="243" w:lineRule="exact"/>
              <w:ind w:left="465"/>
            </w:pPr>
            <w:r>
              <w:rPr>
                <w:b/>
                <w:bCs/>
                <w:color w:val="5F6A72"/>
                <w:spacing w:val="-1"/>
                <w:position w:val="1"/>
              </w:rPr>
              <w:t>2025f</w:t>
            </w:r>
          </w:p>
        </w:tc>
        <w:tc>
          <w:tcPr>
            <w:tcW w:w="933" w:type="dxa"/>
            <w:tcBorders>
              <w:left w:val="nil"/>
              <w:right w:val="nil"/>
            </w:tcBorders>
            <w:vAlign w:val="top"/>
          </w:tcPr>
          <w:p w14:paraId="03D2CE73">
            <w:pPr>
              <w:pStyle w:val="8"/>
              <w:spacing w:before="75" w:line="243" w:lineRule="exact"/>
              <w:ind w:left="417"/>
            </w:pPr>
            <w:r>
              <w:rPr>
                <w:b/>
                <w:bCs/>
                <w:color w:val="5F6A72"/>
                <w:spacing w:val="-1"/>
                <w:position w:val="1"/>
              </w:rPr>
              <w:t>2026f</w:t>
            </w:r>
          </w:p>
        </w:tc>
        <w:tc>
          <w:tcPr>
            <w:tcW w:w="933" w:type="dxa"/>
            <w:tcBorders>
              <w:left w:val="nil"/>
              <w:right w:val="nil"/>
            </w:tcBorders>
            <w:vAlign w:val="top"/>
          </w:tcPr>
          <w:p w14:paraId="4C38CA46">
            <w:pPr>
              <w:pStyle w:val="8"/>
              <w:spacing w:before="75" w:line="243" w:lineRule="exact"/>
              <w:ind w:left="417"/>
            </w:pPr>
            <w:r>
              <w:rPr>
                <w:b/>
                <w:bCs/>
                <w:color w:val="5F6A72"/>
                <w:spacing w:val="-1"/>
                <w:position w:val="1"/>
              </w:rPr>
              <w:t>2027f</w:t>
            </w:r>
          </w:p>
        </w:tc>
        <w:tc>
          <w:tcPr>
            <w:tcW w:w="934" w:type="dxa"/>
            <w:tcBorders>
              <w:left w:val="nil"/>
              <w:right w:val="nil"/>
            </w:tcBorders>
            <w:vAlign w:val="top"/>
          </w:tcPr>
          <w:p w14:paraId="5A233B3A">
            <w:pPr>
              <w:pStyle w:val="8"/>
              <w:spacing w:before="75" w:line="243" w:lineRule="exact"/>
              <w:ind w:left="418"/>
            </w:pPr>
            <w:r>
              <w:rPr>
                <w:b/>
                <w:bCs/>
                <w:color w:val="5F6A72"/>
                <w:spacing w:val="-1"/>
                <w:position w:val="1"/>
              </w:rPr>
              <w:t>2028f</w:t>
            </w:r>
          </w:p>
        </w:tc>
      </w:tr>
      <w:tr w14:paraId="1BC1BDDD">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vAlign w:val="top"/>
          </w:tcPr>
          <w:p w14:paraId="6035E893">
            <w:pPr>
              <w:pStyle w:val="8"/>
              <w:spacing w:before="70" w:line="234" w:lineRule="auto"/>
              <w:ind w:left="18"/>
            </w:pPr>
            <w:r>
              <w:rPr>
                <w:color w:val="2A8ABF"/>
                <w:spacing w:val="-8"/>
              </w:rPr>
              <w:t>Dry natural gas net</w:t>
            </w:r>
            <w:r>
              <w:rPr>
                <w:color w:val="2A8ABF"/>
                <w:spacing w:val="-7"/>
              </w:rPr>
              <w:t xml:space="preserve"> </w:t>
            </w:r>
            <w:r>
              <w:rPr>
                <w:color w:val="2A8ABF"/>
                <w:spacing w:val="-8"/>
              </w:rPr>
              <w:t>exports, bcm</w:t>
            </w:r>
          </w:p>
        </w:tc>
        <w:tc>
          <w:tcPr>
            <w:tcW w:w="993" w:type="dxa"/>
            <w:tcBorders>
              <w:left w:val="single" w:color="D7DADB" w:sz="6" w:space="0"/>
              <w:right w:val="nil"/>
            </w:tcBorders>
            <w:vAlign w:val="top"/>
          </w:tcPr>
          <w:p w14:paraId="4CF85DA8">
            <w:pPr>
              <w:pStyle w:val="8"/>
              <w:spacing w:before="70" w:line="237" w:lineRule="exact"/>
              <w:ind w:left="636"/>
            </w:pPr>
            <w:r>
              <w:rPr>
                <w:color w:val="5F6A72"/>
                <w:spacing w:val="-6"/>
                <w:position w:val="1"/>
              </w:rPr>
              <w:t>-2.3</w:t>
            </w:r>
          </w:p>
        </w:tc>
        <w:tc>
          <w:tcPr>
            <w:tcW w:w="987" w:type="dxa"/>
            <w:tcBorders>
              <w:left w:val="nil"/>
              <w:right w:val="nil"/>
            </w:tcBorders>
            <w:vAlign w:val="top"/>
          </w:tcPr>
          <w:p w14:paraId="1387E6F5">
            <w:pPr>
              <w:pStyle w:val="8"/>
              <w:spacing w:before="70" w:line="237" w:lineRule="exact"/>
              <w:ind w:left="638"/>
            </w:pPr>
            <w:r>
              <w:rPr>
                <w:color w:val="5F6A72"/>
                <w:spacing w:val="-6"/>
                <w:position w:val="1"/>
              </w:rPr>
              <w:t>-1.0</w:t>
            </w:r>
          </w:p>
        </w:tc>
        <w:tc>
          <w:tcPr>
            <w:tcW w:w="982" w:type="dxa"/>
            <w:tcBorders>
              <w:left w:val="nil"/>
              <w:right w:val="nil"/>
            </w:tcBorders>
            <w:vAlign w:val="top"/>
          </w:tcPr>
          <w:p w14:paraId="6A5AB6A8">
            <w:pPr>
              <w:pStyle w:val="8"/>
              <w:spacing w:before="70" w:line="237" w:lineRule="exact"/>
              <w:ind w:left="694"/>
            </w:pPr>
            <w:r>
              <w:rPr>
                <w:color w:val="5F6A72"/>
                <w:spacing w:val="-7"/>
                <w:position w:val="1"/>
              </w:rPr>
              <w:t>1.3</w:t>
            </w:r>
          </w:p>
        </w:tc>
        <w:tc>
          <w:tcPr>
            <w:tcW w:w="933" w:type="dxa"/>
            <w:tcBorders>
              <w:left w:val="nil"/>
              <w:right w:val="nil"/>
            </w:tcBorders>
            <w:vAlign w:val="top"/>
          </w:tcPr>
          <w:p w14:paraId="4674A04E">
            <w:pPr>
              <w:pStyle w:val="8"/>
              <w:spacing w:before="70" w:line="240" w:lineRule="exact"/>
              <w:ind w:left="646"/>
            </w:pPr>
            <w:r>
              <w:rPr>
                <w:color w:val="5F6A72"/>
                <w:spacing w:val="-7"/>
                <w:position w:val="1"/>
              </w:rPr>
              <w:t>1.4</w:t>
            </w:r>
          </w:p>
        </w:tc>
        <w:tc>
          <w:tcPr>
            <w:tcW w:w="933" w:type="dxa"/>
            <w:tcBorders>
              <w:left w:val="nil"/>
              <w:right w:val="nil"/>
            </w:tcBorders>
            <w:vAlign w:val="top"/>
          </w:tcPr>
          <w:p w14:paraId="1E6347BB">
            <w:pPr>
              <w:pStyle w:val="8"/>
              <w:spacing w:before="70" w:line="237" w:lineRule="exact"/>
              <w:ind w:left="641"/>
            </w:pPr>
            <w:r>
              <w:rPr>
                <w:color w:val="5F6A72"/>
                <w:spacing w:val="-6"/>
                <w:position w:val="1"/>
              </w:rPr>
              <w:t>2.9</w:t>
            </w:r>
          </w:p>
        </w:tc>
        <w:tc>
          <w:tcPr>
            <w:tcW w:w="934" w:type="dxa"/>
            <w:tcBorders>
              <w:left w:val="nil"/>
              <w:right w:val="nil"/>
            </w:tcBorders>
            <w:vAlign w:val="top"/>
          </w:tcPr>
          <w:p w14:paraId="7CE67805">
            <w:pPr>
              <w:pStyle w:val="8"/>
              <w:spacing w:before="70" w:line="237" w:lineRule="exact"/>
              <w:ind w:left="639"/>
            </w:pPr>
            <w:r>
              <w:rPr>
                <w:color w:val="5F6A72"/>
                <w:spacing w:val="-6"/>
                <w:position w:val="1"/>
              </w:rPr>
              <w:t>3.3</w:t>
            </w:r>
          </w:p>
        </w:tc>
      </w:tr>
      <w:tr w14:paraId="03BB8F23">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shd w:val="clear" w:color="auto" w:fill="EAF9FF"/>
            <w:vAlign w:val="top"/>
          </w:tcPr>
          <w:p w14:paraId="28E7B407">
            <w:pPr>
              <w:pStyle w:val="8"/>
              <w:spacing w:before="71" w:line="234" w:lineRule="auto"/>
              <w:ind w:left="18"/>
            </w:pPr>
            <w:r>
              <w:rPr>
                <w:color w:val="2A8ABF"/>
                <w:spacing w:val="-8"/>
              </w:rPr>
              <w:t>Dry natural gas net</w:t>
            </w:r>
            <w:r>
              <w:rPr>
                <w:color w:val="2A8ABF"/>
                <w:spacing w:val="-9"/>
              </w:rPr>
              <w:t xml:space="preserve"> </w:t>
            </w:r>
            <w:r>
              <w:rPr>
                <w:color w:val="2A8ABF"/>
                <w:spacing w:val="-8"/>
              </w:rPr>
              <w:t>exports,</w:t>
            </w:r>
            <w:r>
              <w:rPr>
                <w:color w:val="2A8ABF"/>
                <w:spacing w:val="-13"/>
              </w:rPr>
              <w:t xml:space="preserve"> </w:t>
            </w:r>
            <w:r>
              <w:rPr>
                <w:color w:val="2A8ABF"/>
                <w:spacing w:val="-9"/>
              </w:rPr>
              <w:t>%</w:t>
            </w:r>
            <w:r>
              <w:rPr>
                <w:color w:val="2A8ABF"/>
                <w:spacing w:val="-18"/>
              </w:rPr>
              <w:t xml:space="preserve"> </w:t>
            </w:r>
            <w:r>
              <w:rPr>
                <w:color w:val="2A8ABF"/>
                <w:spacing w:val="-9"/>
              </w:rPr>
              <w:t>y-o-y</w:t>
            </w:r>
          </w:p>
        </w:tc>
        <w:tc>
          <w:tcPr>
            <w:tcW w:w="993" w:type="dxa"/>
            <w:tcBorders>
              <w:left w:val="single" w:color="D7DADB" w:sz="6" w:space="0"/>
              <w:right w:val="nil"/>
            </w:tcBorders>
            <w:shd w:val="clear" w:color="auto" w:fill="EAF9FF"/>
            <w:vAlign w:val="top"/>
          </w:tcPr>
          <w:p w14:paraId="5A517D3B">
            <w:pPr>
              <w:pStyle w:val="8"/>
              <w:spacing w:before="71" w:line="238" w:lineRule="exact"/>
              <w:ind w:left="539"/>
            </w:pPr>
            <w:r>
              <w:rPr>
                <w:color w:val="5F6A72"/>
                <w:spacing w:val="-6"/>
                <w:position w:val="1"/>
              </w:rPr>
              <w:t>-20.7</w:t>
            </w:r>
          </w:p>
        </w:tc>
        <w:tc>
          <w:tcPr>
            <w:tcW w:w="987" w:type="dxa"/>
            <w:tcBorders>
              <w:left w:val="nil"/>
              <w:right w:val="nil"/>
            </w:tcBorders>
            <w:shd w:val="clear" w:color="auto" w:fill="EAF9FF"/>
            <w:vAlign w:val="top"/>
          </w:tcPr>
          <w:p w14:paraId="0941228C">
            <w:pPr>
              <w:pStyle w:val="8"/>
              <w:spacing w:before="71" w:line="238" w:lineRule="exact"/>
              <w:ind w:left="541"/>
            </w:pPr>
            <w:r>
              <w:rPr>
                <w:color w:val="5F6A72"/>
                <w:spacing w:val="-6"/>
                <w:position w:val="1"/>
              </w:rPr>
              <w:t>-57.8</w:t>
            </w:r>
          </w:p>
        </w:tc>
        <w:tc>
          <w:tcPr>
            <w:tcW w:w="982" w:type="dxa"/>
            <w:tcBorders>
              <w:left w:val="nil"/>
              <w:right w:val="nil"/>
            </w:tcBorders>
            <w:shd w:val="clear" w:color="auto" w:fill="EAF9FF"/>
            <w:vAlign w:val="top"/>
          </w:tcPr>
          <w:p w14:paraId="6386F812">
            <w:pPr>
              <w:pStyle w:val="8"/>
              <w:spacing w:before="71" w:line="238" w:lineRule="exact"/>
              <w:ind w:left="438"/>
            </w:pPr>
            <w:r>
              <w:rPr>
                <w:color w:val="5F6A72"/>
                <w:spacing w:val="-6"/>
                <w:position w:val="1"/>
              </w:rPr>
              <w:t>-235.1</w:t>
            </w:r>
          </w:p>
        </w:tc>
        <w:tc>
          <w:tcPr>
            <w:tcW w:w="933" w:type="dxa"/>
            <w:tcBorders>
              <w:left w:val="nil"/>
              <w:right w:val="nil"/>
            </w:tcBorders>
            <w:shd w:val="clear" w:color="auto" w:fill="EAF9FF"/>
            <w:vAlign w:val="top"/>
          </w:tcPr>
          <w:p w14:paraId="4EC58FC7">
            <w:pPr>
              <w:pStyle w:val="8"/>
              <w:spacing w:before="71" w:line="238" w:lineRule="exact"/>
              <w:ind w:left="638"/>
            </w:pPr>
            <w:r>
              <w:rPr>
                <w:color w:val="5F6A72"/>
                <w:spacing w:val="-6"/>
                <w:position w:val="1"/>
              </w:rPr>
              <w:t>3.0</w:t>
            </w:r>
          </w:p>
        </w:tc>
        <w:tc>
          <w:tcPr>
            <w:tcW w:w="933" w:type="dxa"/>
            <w:tcBorders>
              <w:left w:val="nil"/>
              <w:right w:val="nil"/>
            </w:tcBorders>
            <w:shd w:val="clear" w:color="auto" w:fill="EAF9FF"/>
            <w:vAlign w:val="top"/>
          </w:tcPr>
          <w:p w14:paraId="17B1A40E">
            <w:pPr>
              <w:pStyle w:val="8"/>
              <w:spacing w:before="71" w:line="238" w:lineRule="exact"/>
              <w:ind w:left="452"/>
            </w:pPr>
            <w:r>
              <w:rPr>
                <w:color w:val="5F6A72"/>
                <w:spacing w:val="-7"/>
                <w:position w:val="1"/>
              </w:rPr>
              <w:t>113.8</w:t>
            </w:r>
          </w:p>
        </w:tc>
        <w:tc>
          <w:tcPr>
            <w:tcW w:w="934" w:type="dxa"/>
            <w:tcBorders>
              <w:left w:val="nil"/>
              <w:right w:val="nil"/>
            </w:tcBorders>
            <w:shd w:val="clear" w:color="auto" w:fill="EAF9FF"/>
            <w:vAlign w:val="top"/>
          </w:tcPr>
          <w:p w14:paraId="1F66BCFA">
            <w:pPr>
              <w:pStyle w:val="8"/>
              <w:spacing w:before="71" w:line="240" w:lineRule="exact"/>
              <w:ind w:left="549"/>
            </w:pPr>
            <w:r>
              <w:rPr>
                <w:color w:val="5F6A72"/>
                <w:spacing w:val="-7"/>
                <w:position w:val="1"/>
              </w:rPr>
              <w:t>11.7</w:t>
            </w:r>
          </w:p>
        </w:tc>
      </w:tr>
      <w:tr w14:paraId="196EB30B">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vAlign w:val="top"/>
          </w:tcPr>
          <w:p w14:paraId="59419F5E">
            <w:pPr>
              <w:pStyle w:val="8"/>
              <w:spacing w:before="72" w:line="234" w:lineRule="auto"/>
              <w:ind w:left="18"/>
            </w:pPr>
            <w:r>
              <w:rPr>
                <w:color w:val="2A8ABF"/>
                <w:spacing w:val="-9"/>
              </w:rPr>
              <w:t>Dry natural gas net exports, US</w:t>
            </w:r>
            <w:r>
              <w:rPr>
                <w:color w:val="2A8ABF"/>
                <w:spacing w:val="-10"/>
              </w:rPr>
              <w:t>Dbn</w:t>
            </w:r>
          </w:p>
        </w:tc>
        <w:tc>
          <w:tcPr>
            <w:tcW w:w="993" w:type="dxa"/>
            <w:tcBorders>
              <w:left w:val="single" w:color="D7DADB" w:sz="6" w:space="0"/>
              <w:right w:val="nil"/>
            </w:tcBorders>
            <w:vAlign w:val="top"/>
          </w:tcPr>
          <w:p w14:paraId="4090A215">
            <w:pPr>
              <w:pStyle w:val="8"/>
              <w:spacing w:before="73" w:line="237" w:lineRule="exact"/>
              <w:ind w:left="636"/>
            </w:pPr>
            <w:r>
              <w:rPr>
                <w:color w:val="5F6A72"/>
                <w:spacing w:val="-6"/>
                <w:position w:val="1"/>
              </w:rPr>
              <w:t>-1.0</w:t>
            </w:r>
          </w:p>
        </w:tc>
        <w:tc>
          <w:tcPr>
            <w:tcW w:w="987" w:type="dxa"/>
            <w:tcBorders>
              <w:left w:val="nil"/>
              <w:right w:val="nil"/>
            </w:tcBorders>
            <w:vAlign w:val="top"/>
          </w:tcPr>
          <w:p w14:paraId="2708BE20">
            <w:pPr>
              <w:pStyle w:val="8"/>
              <w:spacing w:before="73" w:line="237" w:lineRule="exact"/>
              <w:ind w:left="638"/>
            </w:pPr>
            <w:r>
              <w:rPr>
                <w:color w:val="5F6A72"/>
                <w:spacing w:val="-6"/>
                <w:position w:val="1"/>
              </w:rPr>
              <w:t>-0.4</w:t>
            </w:r>
          </w:p>
        </w:tc>
        <w:tc>
          <w:tcPr>
            <w:tcW w:w="982" w:type="dxa"/>
            <w:tcBorders>
              <w:left w:val="nil"/>
              <w:right w:val="nil"/>
            </w:tcBorders>
            <w:vAlign w:val="top"/>
          </w:tcPr>
          <w:p w14:paraId="31416D79">
            <w:pPr>
              <w:pStyle w:val="8"/>
              <w:spacing w:before="73" w:line="237" w:lineRule="exact"/>
              <w:ind w:left="686"/>
            </w:pPr>
            <w:r>
              <w:rPr>
                <w:color w:val="5F6A72"/>
                <w:spacing w:val="-6"/>
                <w:position w:val="1"/>
              </w:rPr>
              <w:t>0.4</w:t>
            </w:r>
          </w:p>
        </w:tc>
        <w:tc>
          <w:tcPr>
            <w:tcW w:w="933" w:type="dxa"/>
            <w:tcBorders>
              <w:left w:val="nil"/>
              <w:right w:val="nil"/>
            </w:tcBorders>
            <w:vAlign w:val="top"/>
          </w:tcPr>
          <w:p w14:paraId="02351A2F">
            <w:pPr>
              <w:pStyle w:val="8"/>
              <w:spacing w:before="73" w:line="237" w:lineRule="exact"/>
              <w:ind w:left="637"/>
            </w:pPr>
            <w:r>
              <w:rPr>
                <w:color w:val="5F6A72"/>
                <w:spacing w:val="-6"/>
                <w:position w:val="1"/>
              </w:rPr>
              <w:t>0.5</w:t>
            </w:r>
          </w:p>
        </w:tc>
        <w:tc>
          <w:tcPr>
            <w:tcW w:w="933" w:type="dxa"/>
            <w:tcBorders>
              <w:left w:val="nil"/>
              <w:right w:val="nil"/>
            </w:tcBorders>
            <w:vAlign w:val="top"/>
          </w:tcPr>
          <w:p w14:paraId="41743520">
            <w:pPr>
              <w:pStyle w:val="8"/>
              <w:spacing w:before="73" w:line="237" w:lineRule="exact"/>
              <w:ind w:left="646"/>
            </w:pPr>
            <w:r>
              <w:rPr>
                <w:color w:val="5F6A72"/>
                <w:spacing w:val="-7"/>
                <w:position w:val="1"/>
              </w:rPr>
              <w:t>1.0</w:t>
            </w:r>
          </w:p>
        </w:tc>
        <w:tc>
          <w:tcPr>
            <w:tcW w:w="934" w:type="dxa"/>
            <w:tcBorders>
              <w:left w:val="nil"/>
              <w:right w:val="nil"/>
            </w:tcBorders>
            <w:vAlign w:val="top"/>
          </w:tcPr>
          <w:p w14:paraId="0B128CFC">
            <w:pPr>
              <w:pStyle w:val="8"/>
              <w:spacing w:before="73" w:line="239" w:lineRule="exact"/>
              <w:ind w:left="646"/>
            </w:pPr>
            <w:r>
              <w:rPr>
                <w:color w:val="5F6A72"/>
                <w:spacing w:val="-7"/>
                <w:position w:val="1"/>
              </w:rPr>
              <w:t>1.1</w:t>
            </w:r>
          </w:p>
        </w:tc>
      </w:tr>
      <w:tr w14:paraId="6DA92A70">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shd w:val="clear" w:color="auto" w:fill="EAF9FF"/>
            <w:vAlign w:val="top"/>
          </w:tcPr>
          <w:p w14:paraId="3D384DF8">
            <w:pPr>
              <w:pStyle w:val="8"/>
              <w:spacing w:before="74" w:line="234" w:lineRule="auto"/>
              <w:ind w:left="18"/>
            </w:pPr>
            <w:r>
              <w:rPr>
                <w:color w:val="2A8ABF"/>
                <w:spacing w:val="-8"/>
              </w:rPr>
              <w:t>Pipeline gas net exports, bcm</w:t>
            </w:r>
          </w:p>
        </w:tc>
        <w:tc>
          <w:tcPr>
            <w:tcW w:w="993" w:type="dxa"/>
            <w:tcBorders>
              <w:left w:val="single" w:color="D7DADB" w:sz="6" w:space="0"/>
              <w:right w:val="nil"/>
            </w:tcBorders>
            <w:shd w:val="clear" w:color="auto" w:fill="EAF9FF"/>
            <w:vAlign w:val="top"/>
          </w:tcPr>
          <w:p w14:paraId="5ABF2497">
            <w:pPr>
              <w:pStyle w:val="8"/>
              <w:spacing w:before="74" w:line="237" w:lineRule="exact"/>
              <w:ind w:left="689"/>
            </w:pPr>
            <w:r>
              <w:rPr>
                <w:color w:val="5F6A72"/>
                <w:spacing w:val="-6"/>
                <w:position w:val="1"/>
              </w:rPr>
              <w:t>0.3</w:t>
            </w:r>
          </w:p>
        </w:tc>
        <w:tc>
          <w:tcPr>
            <w:tcW w:w="987" w:type="dxa"/>
            <w:tcBorders>
              <w:left w:val="nil"/>
              <w:right w:val="nil"/>
            </w:tcBorders>
            <w:shd w:val="clear" w:color="auto" w:fill="EAF9FF"/>
            <w:vAlign w:val="top"/>
          </w:tcPr>
          <w:p w14:paraId="7F747C5B">
            <w:pPr>
              <w:pStyle w:val="8"/>
              <w:spacing w:before="74" w:line="237" w:lineRule="exact"/>
              <w:ind w:left="691"/>
            </w:pPr>
            <w:r>
              <w:rPr>
                <w:color w:val="5F6A72"/>
                <w:spacing w:val="-6"/>
                <w:position w:val="1"/>
              </w:rPr>
              <w:t>0.6</w:t>
            </w:r>
          </w:p>
        </w:tc>
        <w:tc>
          <w:tcPr>
            <w:tcW w:w="982" w:type="dxa"/>
            <w:tcBorders>
              <w:left w:val="nil"/>
              <w:right w:val="nil"/>
            </w:tcBorders>
            <w:shd w:val="clear" w:color="auto" w:fill="EAF9FF"/>
            <w:vAlign w:val="top"/>
          </w:tcPr>
          <w:p w14:paraId="6E92EEDE">
            <w:pPr>
              <w:pStyle w:val="8"/>
              <w:spacing w:before="74" w:line="237" w:lineRule="exact"/>
              <w:ind w:left="694"/>
            </w:pPr>
            <w:r>
              <w:rPr>
                <w:color w:val="5F6A72"/>
                <w:spacing w:val="-7"/>
                <w:position w:val="1"/>
              </w:rPr>
              <w:t>1.3</w:t>
            </w:r>
          </w:p>
        </w:tc>
        <w:tc>
          <w:tcPr>
            <w:tcW w:w="933" w:type="dxa"/>
            <w:tcBorders>
              <w:left w:val="nil"/>
              <w:right w:val="nil"/>
            </w:tcBorders>
            <w:shd w:val="clear" w:color="auto" w:fill="EAF9FF"/>
            <w:vAlign w:val="top"/>
          </w:tcPr>
          <w:p w14:paraId="3C93AEEB">
            <w:pPr>
              <w:pStyle w:val="8"/>
              <w:spacing w:before="74" w:line="239" w:lineRule="exact"/>
              <w:ind w:left="646"/>
            </w:pPr>
            <w:r>
              <w:rPr>
                <w:color w:val="5F6A72"/>
                <w:spacing w:val="-7"/>
                <w:position w:val="1"/>
              </w:rPr>
              <w:t>1.4</w:t>
            </w:r>
          </w:p>
        </w:tc>
        <w:tc>
          <w:tcPr>
            <w:tcW w:w="933" w:type="dxa"/>
            <w:tcBorders>
              <w:left w:val="nil"/>
              <w:right w:val="nil"/>
            </w:tcBorders>
            <w:shd w:val="clear" w:color="auto" w:fill="EAF9FF"/>
            <w:vAlign w:val="top"/>
          </w:tcPr>
          <w:p w14:paraId="386F1A67">
            <w:pPr>
              <w:pStyle w:val="8"/>
              <w:spacing w:before="74" w:line="237" w:lineRule="exact"/>
              <w:ind w:left="638"/>
            </w:pPr>
            <w:r>
              <w:rPr>
                <w:color w:val="5F6A72"/>
                <w:spacing w:val="-6"/>
                <w:position w:val="1"/>
              </w:rPr>
              <w:t>0.3</w:t>
            </w:r>
          </w:p>
        </w:tc>
        <w:tc>
          <w:tcPr>
            <w:tcW w:w="934" w:type="dxa"/>
            <w:tcBorders>
              <w:left w:val="nil"/>
              <w:right w:val="nil"/>
            </w:tcBorders>
            <w:shd w:val="clear" w:color="auto" w:fill="EAF9FF"/>
            <w:vAlign w:val="top"/>
          </w:tcPr>
          <w:p w14:paraId="38A15EF0">
            <w:pPr>
              <w:pStyle w:val="8"/>
              <w:spacing w:before="74" w:line="237" w:lineRule="exact"/>
              <w:ind w:left="638"/>
            </w:pPr>
            <w:r>
              <w:rPr>
                <w:color w:val="5F6A72"/>
                <w:spacing w:val="-6"/>
                <w:position w:val="1"/>
              </w:rPr>
              <w:t>0.1</w:t>
            </w:r>
          </w:p>
        </w:tc>
      </w:tr>
      <w:tr w14:paraId="59F2C012">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vAlign w:val="top"/>
          </w:tcPr>
          <w:p w14:paraId="6A433369">
            <w:pPr>
              <w:pStyle w:val="8"/>
              <w:spacing w:before="75" w:line="234" w:lineRule="auto"/>
              <w:ind w:left="18"/>
            </w:pPr>
            <w:r>
              <w:rPr>
                <w:color w:val="2A8ABF"/>
                <w:spacing w:val="-8"/>
              </w:rPr>
              <w:t>Pipeline gas net</w:t>
            </w:r>
            <w:r>
              <w:rPr>
                <w:color w:val="2A8ABF"/>
                <w:spacing w:val="-9"/>
              </w:rPr>
              <w:t xml:space="preserve"> </w:t>
            </w:r>
            <w:r>
              <w:rPr>
                <w:color w:val="2A8ABF"/>
                <w:spacing w:val="-8"/>
              </w:rPr>
              <w:t>exports</w:t>
            </w:r>
            <w:r>
              <w:rPr>
                <w:color w:val="2A8ABF"/>
                <w:spacing w:val="-9"/>
              </w:rPr>
              <w:t>,</w:t>
            </w:r>
            <w:r>
              <w:rPr>
                <w:color w:val="2A8ABF"/>
                <w:spacing w:val="-13"/>
              </w:rPr>
              <w:t xml:space="preserve"> </w:t>
            </w:r>
            <w:r>
              <w:rPr>
                <w:color w:val="2A8ABF"/>
                <w:spacing w:val="-9"/>
              </w:rPr>
              <w:t>%</w:t>
            </w:r>
            <w:r>
              <w:rPr>
                <w:color w:val="2A8ABF"/>
                <w:spacing w:val="-17"/>
              </w:rPr>
              <w:t xml:space="preserve"> </w:t>
            </w:r>
            <w:r>
              <w:rPr>
                <w:color w:val="2A8ABF"/>
                <w:spacing w:val="-9"/>
              </w:rPr>
              <w:t>y-o-y</w:t>
            </w:r>
          </w:p>
        </w:tc>
        <w:tc>
          <w:tcPr>
            <w:tcW w:w="993" w:type="dxa"/>
            <w:tcBorders>
              <w:left w:val="single" w:color="D7DADB" w:sz="6" w:space="0"/>
              <w:right w:val="nil"/>
            </w:tcBorders>
            <w:vAlign w:val="top"/>
          </w:tcPr>
          <w:p w14:paraId="6A3A7178">
            <w:pPr>
              <w:pStyle w:val="8"/>
              <w:spacing w:before="75" w:line="237" w:lineRule="exact"/>
              <w:ind w:left="442"/>
            </w:pPr>
            <w:r>
              <w:rPr>
                <w:color w:val="5F6A72"/>
                <w:spacing w:val="-6"/>
                <w:position w:val="1"/>
              </w:rPr>
              <w:t>-205.4</w:t>
            </w:r>
          </w:p>
        </w:tc>
        <w:tc>
          <w:tcPr>
            <w:tcW w:w="987" w:type="dxa"/>
            <w:tcBorders>
              <w:left w:val="nil"/>
              <w:right w:val="nil"/>
            </w:tcBorders>
            <w:vAlign w:val="top"/>
          </w:tcPr>
          <w:p w14:paraId="302919B1">
            <w:pPr>
              <w:pStyle w:val="8"/>
              <w:spacing w:before="75" w:line="237" w:lineRule="exact"/>
              <w:ind w:left="505"/>
            </w:pPr>
            <w:r>
              <w:rPr>
                <w:color w:val="5F6A72"/>
                <w:spacing w:val="-7"/>
                <w:position w:val="1"/>
              </w:rPr>
              <w:t>134.0</w:t>
            </w:r>
          </w:p>
        </w:tc>
        <w:tc>
          <w:tcPr>
            <w:tcW w:w="982" w:type="dxa"/>
            <w:tcBorders>
              <w:left w:val="nil"/>
              <w:right w:val="nil"/>
            </w:tcBorders>
            <w:vAlign w:val="top"/>
          </w:tcPr>
          <w:p w14:paraId="5F42EB4A">
            <w:pPr>
              <w:pStyle w:val="8"/>
              <w:spacing w:before="75" w:line="237" w:lineRule="exact"/>
              <w:ind w:left="500"/>
            </w:pPr>
            <w:r>
              <w:rPr>
                <w:color w:val="5F6A72"/>
                <w:spacing w:val="-7"/>
                <w:position w:val="1"/>
              </w:rPr>
              <w:t>117.3</w:t>
            </w:r>
          </w:p>
        </w:tc>
        <w:tc>
          <w:tcPr>
            <w:tcW w:w="933" w:type="dxa"/>
            <w:tcBorders>
              <w:left w:val="nil"/>
              <w:right w:val="nil"/>
            </w:tcBorders>
            <w:vAlign w:val="top"/>
          </w:tcPr>
          <w:p w14:paraId="19684DA9">
            <w:pPr>
              <w:pStyle w:val="8"/>
              <w:spacing w:before="75" w:line="237" w:lineRule="exact"/>
              <w:ind w:left="638"/>
            </w:pPr>
            <w:r>
              <w:rPr>
                <w:color w:val="5F6A72"/>
                <w:spacing w:val="-6"/>
                <w:position w:val="1"/>
              </w:rPr>
              <w:t>3.0</w:t>
            </w:r>
          </w:p>
        </w:tc>
        <w:tc>
          <w:tcPr>
            <w:tcW w:w="933" w:type="dxa"/>
            <w:tcBorders>
              <w:left w:val="nil"/>
              <w:right w:val="nil"/>
            </w:tcBorders>
            <w:vAlign w:val="top"/>
          </w:tcPr>
          <w:p w14:paraId="4C18553A">
            <w:pPr>
              <w:pStyle w:val="8"/>
              <w:spacing w:before="75" w:line="237" w:lineRule="exact"/>
              <w:ind w:left="487"/>
            </w:pPr>
            <w:r>
              <w:rPr>
                <w:color w:val="5F6A72"/>
                <w:spacing w:val="-6"/>
                <w:position w:val="1"/>
              </w:rPr>
              <w:t>-75.6</w:t>
            </w:r>
          </w:p>
        </w:tc>
        <w:tc>
          <w:tcPr>
            <w:tcW w:w="934" w:type="dxa"/>
            <w:tcBorders>
              <w:left w:val="nil"/>
              <w:right w:val="nil"/>
            </w:tcBorders>
            <w:vAlign w:val="top"/>
          </w:tcPr>
          <w:p w14:paraId="60298F9D">
            <w:pPr>
              <w:pStyle w:val="8"/>
              <w:spacing w:before="75" w:line="237" w:lineRule="exact"/>
              <w:ind w:left="488"/>
            </w:pPr>
            <w:r>
              <w:rPr>
                <w:color w:val="5F6A72"/>
                <w:spacing w:val="-6"/>
                <w:position w:val="1"/>
              </w:rPr>
              <w:t>-76.9</w:t>
            </w:r>
          </w:p>
        </w:tc>
      </w:tr>
      <w:tr w14:paraId="6AB6FCCF">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shd w:val="clear" w:color="auto" w:fill="EAF9FF"/>
            <w:vAlign w:val="top"/>
          </w:tcPr>
          <w:p w14:paraId="4341FA77">
            <w:pPr>
              <w:pStyle w:val="8"/>
              <w:spacing w:before="76" w:line="234" w:lineRule="auto"/>
              <w:ind w:left="18"/>
            </w:pPr>
            <w:r>
              <w:rPr>
                <w:color w:val="2A8ABF"/>
                <w:spacing w:val="-7"/>
              </w:rPr>
              <w:t>Pipeline gas net</w:t>
            </w:r>
            <w:r>
              <w:rPr>
                <w:color w:val="2A8ABF"/>
                <w:spacing w:val="-9"/>
              </w:rPr>
              <w:t xml:space="preserve"> </w:t>
            </w:r>
            <w:r>
              <w:rPr>
                <w:color w:val="2A8ABF"/>
                <w:spacing w:val="-7"/>
              </w:rPr>
              <w:t>exports,</w:t>
            </w:r>
            <w:r>
              <w:rPr>
                <w:color w:val="2A8ABF"/>
                <w:spacing w:val="-13"/>
              </w:rPr>
              <w:t xml:space="preserve"> </w:t>
            </w:r>
            <w:r>
              <w:rPr>
                <w:color w:val="2A8ABF"/>
                <w:spacing w:val="-7"/>
              </w:rPr>
              <w:t>%</w:t>
            </w:r>
            <w:r>
              <w:rPr>
                <w:color w:val="2A8ABF"/>
                <w:spacing w:val="-9"/>
              </w:rPr>
              <w:t xml:space="preserve"> </w:t>
            </w:r>
            <w:r>
              <w:rPr>
                <w:color w:val="2A8ABF"/>
                <w:spacing w:val="-7"/>
              </w:rPr>
              <w:t>of</w:t>
            </w:r>
            <w:r>
              <w:rPr>
                <w:color w:val="2A8ABF"/>
                <w:spacing w:val="-20"/>
              </w:rPr>
              <w:t xml:space="preserve"> </w:t>
            </w:r>
            <w:r>
              <w:rPr>
                <w:color w:val="2A8ABF"/>
                <w:spacing w:val="-7"/>
              </w:rPr>
              <w:t>to</w:t>
            </w:r>
            <w:r>
              <w:rPr>
                <w:color w:val="2A8ABF"/>
                <w:spacing w:val="-8"/>
              </w:rPr>
              <w:t>tal</w:t>
            </w:r>
          </w:p>
        </w:tc>
        <w:tc>
          <w:tcPr>
            <w:tcW w:w="993" w:type="dxa"/>
            <w:tcBorders>
              <w:left w:val="single" w:color="D7DADB" w:sz="6" w:space="0"/>
              <w:right w:val="nil"/>
            </w:tcBorders>
            <w:shd w:val="clear" w:color="auto" w:fill="EAF9FF"/>
            <w:vAlign w:val="top"/>
          </w:tcPr>
          <w:p w14:paraId="3730669C">
            <w:pPr>
              <w:pStyle w:val="8"/>
              <w:spacing w:before="76" w:line="240" w:lineRule="exact"/>
              <w:ind w:left="539"/>
            </w:pPr>
            <w:r>
              <w:rPr>
                <w:color w:val="5F6A72"/>
                <w:spacing w:val="-6"/>
                <w:position w:val="1"/>
              </w:rPr>
              <w:t>-11.2</w:t>
            </w:r>
          </w:p>
        </w:tc>
        <w:tc>
          <w:tcPr>
            <w:tcW w:w="987" w:type="dxa"/>
            <w:tcBorders>
              <w:left w:val="nil"/>
              <w:right w:val="nil"/>
            </w:tcBorders>
            <w:shd w:val="clear" w:color="auto" w:fill="EAF9FF"/>
            <w:vAlign w:val="top"/>
          </w:tcPr>
          <w:p w14:paraId="33E60301">
            <w:pPr>
              <w:pStyle w:val="8"/>
              <w:spacing w:before="76" w:line="237" w:lineRule="exact"/>
              <w:ind w:left="541"/>
            </w:pPr>
            <w:r>
              <w:rPr>
                <w:color w:val="5F6A72"/>
                <w:spacing w:val="-6"/>
                <w:position w:val="1"/>
              </w:rPr>
              <w:t>-62.2</w:t>
            </w:r>
          </w:p>
        </w:tc>
        <w:tc>
          <w:tcPr>
            <w:tcW w:w="982" w:type="dxa"/>
            <w:tcBorders>
              <w:left w:val="nil"/>
              <w:right w:val="nil"/>
            </w:tcBorders>
            <w:shd w:val="clear" w:color="auto" w:fill="EAF9FF"/>
            <w:vAlign w:val="top"/>
          </w:tcPr>
          <w:p w14:paraId="0FAD1854">
            <w:pPr>
              <w:pStyle w:val="8"/>
              <w:spacing w:before="76" w:line="237" w:lineRule="exact"/>
              <w:ind w:left="500"/>
            </w:pPr>
            <w:r>
              <w:rPr>
                <w:color w:val="5F6A72"/>
                <w:spacing w:val="-7"/>
                <w:position w:val="1"/>
              </w:rPr>
              <w:t>100.0</w:t>
            </w:r>
          </w:p>
        </w:tc>
        <w:tc>
          <w:tcPr>
            <w:tcW w:w="933" w:type="dxa"/>
            <w:tcBorders>
              <w:left w:val="nil"/>
              <w:right w:val="nil"/>
            </w:tcBorders>
            <w:shd w:val="clear" w:color="auto" w:fill="EAF9FF"/>
            <w:vAlign w:val="top"/>
          </w:tcPr>
          <w:p w14:paraId="1061A5E0">
            <w:pPr>
              <w:pStyle w:val="8"/>
              <w:spacing w:before="76" w:line="237" w:lineRule="exact"/>
              <w:ind w:left="451"/>
            </w:pPr>
            <w:r>
              <w:rPr>
                <w:color w:val="5F6A72"/>
                <w:spacing w:val="-7"/>
                <w:position w:val="1"/>
              </w:rPr>
              <w:t>100.0</w:t>
            </w:r>
          </w:p>
        </w:tc>
        <w:tc>
          <w:tcPr>
            <w:tcW w:w="933" w:type="dxa"/>
            <w:tcBorders>
              <w:left w:val="nil"/>
              <w:right w:val="nil"/>
            </w:tcBorders>
            <w:shd w:val="clear" w:color="auto" w:fill="EAF9FF"/>
            <w:vAlign w:val="top"/>
          </w:tcPr>
          <w:p w14:paraId="4970C4AD">
            <w:pPr>
              <w:pStyle w:val="8"/>
              <w:spacing w:before="76" w:line="240" w:lineRule="exact"/>
              <w:ind w:left="549"/>
            </w:pPr>
            <w:r>
              <w:rPr>
                <w:color w:val="5F6A72"/>
                <w:spacing w:val="-7"/>
                <w:position w:val="1"/>
              </w:rPr>
              <w:t>11.4</w:t>
            </w:r>
          </w:p>
        </w:tc>
        <w:tc>
          <w:tcPr>
            <w:tcW w:w="934" w:type="dxa"/>
            <w:tcBorders>
              <w:left w:val="nil"/>
              <w:right w:val="nil"/>
            </w:tcBorders>
            <w:shd w:val="clear" w:color="auto" w:fill="EAF9FF"/>
            <w:vAlign w:val="top"/>
          </w:tcPr>
          <w:p w14:paraId="1476C054">
            <w:pPr>
              <w:pStyle w:val="8"/>
              <w:spacing w:before="76" w:line="240" w:lineRule="exact"/>
              <w:ind w:left="642"/>
            </w:pPr>
            <w:r>
              <w:rPr>
                <w:color w:val="5F6A72"/>
                <w:spacing w:val="-6"/>
                <w:position w:val="1"/>
              </w:rPr>
              <w:t>2.4</w:t>
            </w:r>
          </w:p>
        </w:tc>
      </w:tr>
      <w:tr w14:paraId="71A556B0">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vAlign w:val="top"/>
          </w:tcPr>
          <w:p w14:paraId="718D3B1B">
            <w:pPr>
              <w:pStyle w:val="8"/>
              <w:spacing w:before="77" w:line="236" w:lineRule="auto"/>
              <w:ind w:left="18"/>
            </w:pPr>
            <w:r>
              <w:rPr>
                <w:color w:val="2A8ABF"/>
                <w:spacing w:val="-10"/>
              </w:rPr>
              <w:t>LNG net exports, bcm</w:t>
            </w:r>
          </w:p>
        </w:tc>
        <w:tc>
          <w:tcPr>
            <w:tcW w:w="993" w:type="dxa"/>
            <w:tcBorders>
              <w:left w:val="single" w:color="D7DADB" w:sz="6" w:space="0"/>
              <w:right w:val="nil"/>
            </w:tcBorders>
            <w:vAlign w:val="top"/>
          </w:tcPr>
          <w:p w14:paraId="66EA20EF">
            <w:pPr>
              <w:pStyle w:val="8"/>
              <w:spacing w:before="77" w:line="238" w:lineRule="exact"/>
              <w:ind w:left="636"/>
            </w:pPr>
            <w:r>
              <w:rPr>
                <w:color w:val="5F6A72"/>
                <w:spacing w:val="-6"/>
                <w:position w:val="1"/>
              </w:rPr>
              <w:t>-2.6</w:t>
            </w:r>
          </w:p>
        </w:tc>
        <w:tc>
          <w:tcPr>
            <w:tcW w:w="987" w:type="dxa"/>
            <w:tcBorders>
              <w:left w:val="nil"/>
              <w:right w:val="nil"/>
            </w:tcBorders>
            <w:vAlign w:val="top"/>
          </w:tcPr>
          <w:p w14:paraId="15DD440A">
            <w:pPr>
              <w:pStyle w:val="8"/>
              <w:spacing w:before="77" w:line="238" w:lineRule="exact"/>
              <w:ind w:left="638"/>
            </w:pPr>
            <w:r>
              <w:rPr>
                <w:color w:val="5F6A72"/>
                <w:spacing w:val="-6"/>
                <w:position w:val="1"/>
              </w:rPr>
              <w:t>-1.6</w:t>
            </w:r>
          </w:p>
        </w:tc>
        <w:tc>
          <w:tcPr>
            <w:tcW w:w="982" w:type="dxa"/>
            <w:tcBorders>
              <w:left w:val="nil"/>
              <w:right w:val="nil"/>
            </w:tcBorders>
            <w:vAlign w:val="top"/>
          </w:tcPr>
          <w:p w14:paraId="207795D9">
            <w:pPr>
              <w:pStyle w:val="8"/>
              <w:spacing w:before="77" w:line="238" w:lineRule="exact"/>
              <w:ind w:left="686"/>
            </w:pPr>
            <w:r>
              <w:rPr>
                <w:color w:val="5F6A72"/>
                <w:spacing w:val="-6"/>
                <w:position w:val="1"/>
              </w:rPr>
              <w:t>0.0</w:t>
            </w:r>
          </w:p>
        </w:tc>
        <w:tc>
          <w:tcPr>
            <w:tcW w:w="933" w:type="dxa"/>
            <w:tcBorders>
              <w:left w:val="nil"/>
              <w:right w:val="nil"/>
            </w:tcBorders>
            <w:vAlign w:val="top"/>
          </w:tcPr>
          <w:p w14:paraId="05A9B517">
            <w:pPr>
              <w:pStyle w:val="8"/>
              <w:spacing w:before="77" w:line="238" w:lineRule="exact"/>
              <w:ind w:left="637"/>
            </w:pPr>
            <w:r>
              <w:rPr>
                <w:color w:val="5F6A72"/>
                <w:spacing w:val="-6"/>
                <w:position w:val="1"/>
              </w:rPr>
              <w:t>0.0</w:t>
            </w:r>
          </w:p>
        </w:tc>
        <w:tc>
          <w:tcPr>
            <w:tcW w:w="933" w:type="dxa"/>
            <w:tcBorders>
              <w:left w:val="nil"/>
              <w:right w:val="nil"/>
            </w:tcBorders>
            <w:vAlign w:val="top"/>
          </w:tcPr>
          <w:p w14:paraId="3C51316E">
            <w:pPr>
              <w:pStyle w:val="8"/>
              <w:spacing w:before="77" w:line="238" w:lineRule="exact"/>
              <w:ind w:left="641"/>
            </w:pPr>
            <w:r>
              <w:rPr>
                <w:color w:val="5F6A72"/>
                <w:spacing w:val="-6"/>
                <w:position w:val="1"/>
              </w:rPr>
              <w:t>2.6</w:t>
            </w:r>
          </w:p>
        </w:tc>
        <w:tc>
          <w:tcPr>
            <w:tcW w:w="934" w:type="dxa"/>
            <w:tcBorders>
              <w:left w:val="nil"/>
              <w:right w:val="nil"/>
            </w:tcBorders>
            <w:vAlign w:val="top"/>
          </w:tcPr>
          <w:p w14:paraId="0650B95C">
            <w:pPr>
              <w:pStyle w:val="8"/>
              <w:spacing w:before="77" w:line="237" w:lineRule="exact"/>
              <w:ind w:left="639"/>
            </w:pPr>
            <w:r>
              <w:rPr>
                <w:color w:val="5F6A72"/>
                <w:spacing w:val="-6"/>
                <w:position w:val="1"/>
              </w:rPr>
              <w:t>3.2</w:t>
            </w:r>
          </w:p>
        </w:tc>
      </w:tr>
      <w:tr w14:paraId="2B9D978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42" w:type="dxa"/>
            <w:tcBorders>
              <w:left w:val="nil"/>
              <w:right w:val="single" w:color="D7DADB" w:sz="6" w:space="0"/>
            </w:tcBorders>
            <w:shd w:val="clear" w:color="auto" w:fill="EAF9FF"/>
            <w:vAlign w:val="top"/>
          </w:tcPr>
          <w:p w14:paraId="60409F39">
            <w:pPr>
              <w:pStyle w:val="8"/>
              <w:spacing w:before="78" w:line="234" w:lineRule="auto"/>
              <w:ind w:left="18"/>
            </w:pPr>
            <w:r>
              <w:rPr>
                <w:color w:val="2A8ABF"/>
                <w:spacing w:val="-10"/>
              </w:rPr>
              <w:t>LNG net exports,</w:t>
            </w:r>
            <w:r>
              <w:rPr>
                <w:color w:val="2A8ABF"/>
                <w:spacing w:val="-2"/>
              </w:rPr>
              <w:t xml:space="preserve"> </w:t>
            </w:r>
            <w:r>
              <w:rPr>
                <w:color w:val="2A8ABF"/>
                <w:spacing w:val="-10"/>
              </w:rPr>
              <w:t>%</w:t>
            </w:r>
            <w:r>
              <w:rPr>
                <w:color w:val="2A8ABF"/>
                <w:spacing w:val="-17"/>
              </w:rPr>
              <w:t xml:space="preserve"> </w:t>
            </w:r>
            <w:r>
              <w:rPr>
                <w:color w:val="2A8ABF"/>
                <w:spacing w:val="-10"/>
              </w:rPr>
              <w:t>y-o-y</w:t>
            </w:r>
          </w:p>
        </w:tc>
        <w:tc>
          <w:tcPr>
            <w:tcW w:w="993" w:type="dxa"/>
            <w:tcBorders>
              <w:left w:val="single" w:color="D7DADB" w:sz="6" w:space="0"/>
              <w:right w:val="nil"/>
            </w:tcBorders>
            <w:shd w:val="clear" w:color="auto" w:fill="EAF9FF"/>
            <w:vAlign w:val="top"/>
          </w:tcPr>
          <w:p w14:paraId="67CCF029">
            <w:pPr>
              <w:pStyle w:val="8"/>
              <w:spacing w:before="78" w:line="238" w:lineRule="exact"/>
              <w:ind w:left="636"/>
            </w:pPr>
            <w:r>
              <w:rPr>
                <w:color w:val="5F6A72"/>
                <w:spacing w:val="-6"/>
                <w:position w:val="1"/>
              </w:rPr>
              <w:t>-3.7</w:t>
            </w:r>
          </w:p>
        </w:tc>
        <w:tc>
          <w:tcPr>
            <w:tcW w:w="987" w:type="dxa"/>
            <w:tcBorders>
              <w:left w:val="nil"/>
              <w:right w:val="nil"/>
            </w:tcBorders>
            <w:shd w:val="clear" w:color="auto" w:fill="EAF9FF"/>
            <w:vAlign w:val="top"/>
          </w:tcPr>
          <w:p w14:paraId="7F641B33">
            <w:pPr>
              <w:pStyle w:val="8"/>
              <w:spacing w:before="78" w:line="238" w:lineRule="exact"/>
              <w:ind w:left="541"/>
            </w:pPr>
            <w:r>
              <w:rPr>
                <w:color w:val="5F6A72"/>
                <w:spacing w:val="-6"/>
                <w:position w:val="1"/>
              </w:rPr>
              <w:t>-38.5</w:t>
            </w:r>
          </w:p>
        </w:tc>
        <w:tc>
          <w:tcPr>
            <w:tcW w:w="982" w:type="dxa"/>
            <w:tcBorders>
              <w:left w:val="nil"/>
              <w:right w:val="nil"/>
            </w:tcBorders>
            <w:shd w:val="clear" w:color="auto" w:fill="EAF9FF"/>
            <w:vAlign w:val="top"/>
          </w:tcPr>
          <w:p w14:paraId="7473FE5C">
            <w:pPr>
              <w:pStyle w:val="8"/>
              <w:spacing w:before="78" w:line="238" w:lineRule="exact"/>
              <w:ind w:left="438"/>
            </w:pPr>
            <w:r>
              <w:rPr>
                <w:color w:val="5F6A72"/>
                <w:spacing w:val="-6"/>
                <w:position w:val="1"/>
              </w:rPr>
              <w:t>-100.0</w:t>
            </w:r>
          </w:p>
        </w:tc>
        <w:tc>
          <w:tcPr>
            <w:tcW w:w="933" w:type="dxa"/>
            <w:tcBorders>
              <w:left w:val="nil"/>
              <w:right w:val="nil"/>
            </w:tcBorders>
            <w:shd w:val="clear" w:color="auto" w:fill="EAF9FF"/>
            <w:vAlign w:val="top"/>
          </w:tcPr>
          <w:p w14:paraId="4A127AD8">
            <w:pPr>
              <w:pStyle w:val="8"/>
              <w:rPr>
                <w:sz w:val="21"/>
              </w:rPr>
            </w:pPr>
          </w:p>
        </w:tc>
        <w:tc>
          <w:tcPr>
            <w:tcW w:w="933" w:type="dxa"/>
            <w:tcBorders>
              <w:left w:val="nil"/>
              <w:right w:val="nil"/>
            </w:tcBorders>
            <w:shd w:val="clear" w:color="auto" w:fill="EAF9FF"/>
            <w:vAlign w:val="top"/>
          </w:tcPr>
          <w:p w14:paraId="4AACFEE1">
            <w:pPr>
              <w:pStyle w:val="8"/>
              <w:rPr>
                <w:sz w:val="21"/>
              </w:rPr>
            </w:pPr>
          </w:p>
        </w:tc>
        <w:tc>
          <w:tcPr>
            <w:tcW w:w="934" w:type="dxa"/>
            <w:tcBorders>
              <w:left w:val="nil"/>
              <w:right w:val="nil"/>
            </w:tcBorders>
            <w:shd w:val="clear" w:color="auto" w:fill="EAF9FF"/>
            <w:vAlign w:val="top"/>
          </w:tcPr>
          <w:p w14:paraId="1A365D34">
            <w:pPr>
              <w:pStyle w:val="8"/>
              <w:spacing w:before="78" w:line="238" w:lineRule="exact"/>
              <w:ind w:left="545"/>
            </w:pPr>
            <w:r>
              <w:rPr>
                <w:color w:val="5F6A72"/>
                <w:spacing w:val="-6"/>
                <w:position w:val="1"/>
              </w:rPr>
              <w:t>23.1</w:t>
            </w:r>
          </w:p>
        </w:tc>
      </w:tr>
      <w:tr w14:paraId="6C67D02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4442" w:type="dxa"/>
            <w:tcBorders>
              <w:left w:val="nil"/>
              <w:bottom w:val="single" w:color="333333" w:sz="4" w:space="0"/>
              <w:right w:val="single" w:color="D7DADB" w:sz="6" w:space="0"/>
            </w:tcBorders>
            <w:vAlign w:val="top"/>
          </w:tcPr>
          <w:p w14:paraId="337BF386">
            <w:pPr>
              <w:pStyle w:val="8"/>
              <w:spacing w:before="79" w:line="234" w:lineRule="auto"/>
              <w:ind w:left="18"/>
            </w:pPr>
            <w:r>
              <w:rPr>
                <w:color w:val="2A8ABF"/>
                <w:spacing w:val="-8"/>
              </w:rPr>
              <w:t>LNG net exports,</w:t>
            </w:r>
            <w:r>
              <w:rPr>
                <w:color w:val="2A8ABF"/>
                <w:spacing w:val="-7"/>
              </w:rPr>
              <w:t xml:space="preserve"> </w:t>
            </w:r>
            <w:r>
              <w:rPr>
                <w:color w:val="2A8ABF"/>
                <w:spacing w:val="-8"/>
              </w:rPr>
              <w:t>% of</w:t>
            </w:r>
            <w:r>
              <w:rPr>
                <w:color w:val="2A8ABF"/>
                <w:spacing w:val="-20"/>
              </w:rPr>
              <w:t xml:space="preserve"> </w:t>
            </w:r>
            <w:r>
              <w:rPr>
                <w:color w:val="2A8ABF"/>
                <w:spacing w:val="-8"/>
              </w:rPr>
              <w:t>total</w:t>
            </w:r>
            <w:r>
              <w:rPr>
                <w:color w:val="2A8ABF"/>
                <w:spacing w:val="-10"/>
              </w:rPr>
              <w:t xml:space="preserve"> </w:t>
            </w:r>
            <w:r>
              <w:rPr>
                <w:color w:val="2A8ABF"/>
                <w:spacing w:val="-8"/>
              </w:rPr>
              <w:t>gas</w:t>
            </w:r>
            <w:r>
              <w:rPr>
                <w:color w:val="2A8ABF"/>
                <w:spacing w:val="-10"/>
              </w:rPr>
              <w:t xml:space="preserve"> </w:t>
            </w:r>
            <w:r>
              <w:rPr>
                <w:color w:val="2A8ABF"/>
                <w:spacing w:val="-8"/>
              </w:rPr>
              <w:t>exports</w:t>
            </w:r>
          </w:p>
        </w:tc>
        <w:tc>
          <w:tcPr>
            <w:tcW w:w="993" w:type="dxa"/>
            <w:tcBorders>
              <w:left w:val="single" w:color="D7DADB" w:sz="6" w:space="0"/>
              <w:bottom w:val="single" w:color="333333" w:sz="4" w:space="0"/>
              <w:right w:val="nil"/>
            </w:tcBorders>
            <w:vAlign w:val="top"/>
          </w:tcPr>
          <w:p w14:paraId="66E21D77">
            <w:pPr>
              <w:pStyle w:val="8"/>
              <w:spacing w:before="80" w:line="239" w:lineRule="exact"/>
              <w:ind w:left="503"/>
            </w:pPr>
            <w:r>
              <w:rPr>
                <w:color w:val="5F6A72"/>
                <w:spacing w:val="-7"/>
                <w:position w:val="1"/>
              </w:rPr>
              <w:t>111.2</w:t>
            </w:r>
          </w:p>
        </w:tc>
        <w:tc>
          <w:tcPr>
            <w:tcW w:w="987" w:type="dxa"/>
            <w:tcBorders>
              <w:left w:val="nil"/>
              <w:bottom w:val="single" w:color="333333" w:sz="4" w:space="0"/>
              <w:right w:val="nil"/>
            </w:tcBorders>
            <w:vAlign w:val="top"/>
          </w:tcPr>
          <w:p w14:paraId="262C42A7">
            <w:pPr>
              <w:pStyle w:val="8"/>
              <w:spacing w:before="80" w:line="237" w:lineRule="exact"/>
              <w:ind w:left="505"/>
            </w:pPr>
            <w:r>
              <w:rPr>
                <w:color w:val="5F6A72"/>
                <w:spacing w:val="-7"/>
                <w:position w:val="1"/>
              </w:rPr>
              <w:t>162.2</w:t>
            </w:r>
          </w:p>
        </w:tc>
        <w:tc>
          <w:tcPr>
            <w:tcW w:w="982" w:type="dxa"/>
            <w:tcBorders>
              <w:left w:val="nil"/>
              <w:bottom w:val="single" w:color="333333" w:sz="4" w:space="0"/>
              <w:right w:val="nil"/>
            </w:tcBorders>
            <w:vAlign w:val="top"/>
          </w:tcPr>
          <w:p w14:paraId="0AFD02F3">
            <w:pPr>
              <w:pStyle w:val="8"/>
              <w:spacing w:before="80" w:line="237" w:lineRule="exact"/>
              <w:ind w:left="686"/>
            </w:pPr>
            <w:r>
              <w:rPr>
                <w:color w:val="5F6A72"/>
                <w:spacing w:val="-6"/>
                <w:position w:val="1"/>
              </w:rPr>
              <w:t>0.0</w:t>
            </w:r>
          </w:p>
        </w:tc>
        <w:tc>
          <w:tcPr>
            <w:tcW w:w="933" w:type="dxa"/>
            <w:tcBorders>
              <w:left w:val="nil"/>
              <w:bottom w:val="single" w:color="333333" w:sz="4" w:space="0"/>
              <w:right w:val="nil"/>
            </w:tcBorders>
            <w:vAlign w:val="top"/>
          </w:tcPr>
          <w:p w14:paraId="4B8E2C61">
            <w:pPr>
              <w:pStyle w:val="8"/>
              <w:spacing w:before="80" w:line="237" w:lineRule="exact"/>
              <w:ind w:left="637"/>
            </w:pPr>
            <w:r>
              <w:rPr>
                <w:color w:val="5F6A72"/>
                <w:spacing w:val="-6"/>
                <w:position w:val="1"/>
              </w:rPr>
              <w:t>0.0</w:t>
            </w:r>
          </w:p>
        </w:tc>
        <w:tc>
          <w:tcPr>
            <w:tcW w:w="933" w:type="dxa"/>
            <w:tcBorders>
              <w:left w:val="nil"/>
              <w:bottom w:val="single" w:color="333333" w:sz="4" w:space="0"/>
              <w:right w:val="nil"/>
            </w:tcBorders>
            <w:vAlign w:val="top"/>
          </w:tcPr>
          <w:p w14:paraId="15CA9E6F">
            <w:pPr>
              <w:pStyle w:val="8"/>
              <w:spacing w:before="80" w:line="237" w:lineRule="exact"/>
              <w:ind w:left="545"/>
            </w:pPr>
            <w:r>
              <w:rPr>
                <w:color w:val="5F6A72"/>
                <w:spacing w:val="-7"/>
                <w:position w:val="1"/>
              </w:rPr>
              <w:t>88.6</w:t>
            </w:r>
          </w:p>
        </w:tc>
        <w:tc>
          <w:tcPr>
            <w:tcW w:w="934" w:type="dxa"/>
            <w:tcBorders>
              <w:left w:val="nil"/>
              <w:bottom w:val="single" w:color="333333" w:sz="4" w:space="0"/>
              <w:right w:val="nil"/>
            </w:tcBorders>
            <w:vAlign w:val="top"/>
          </w:tcPr>
          <w:p w14:paraId="27E7A1B6">
            <w:pPr>
              <w:pStyle w:val="8"/>
              <w:spacing w:before="80" w:line="237" w:lineRule="exact"/>
              <w:ind w:left="546"/>
            </w:pPr>
            <w:r>
              <w:rPr>
                <w:color w:val="5F6A72"/>
                <w:spacing w:val="-7"/>
                <w:position w:val="1"/>
              </w:rPr>
              <w:t>97.6</w:t>
            </w:r>
          </w:p>
        </w:tc>
      </w:tr>
    </w:tbl>
    <w:p w14:paraId="068D5BFE">
      <w:pPr>
        <w:pStyle w:val="4"/>
        <w:spacing w:line="175" w:lineRule="exact"/>
        <w:ind w:left="373"/>
        <w:rPr>
          <w:sz w:val="15"/>
          <w:szCs w:val="15"/>
        </w:rPr>
      </w:pPr>
      <w:r>
        <w:rPr>
          <w:i/>
          <w:iCs/>
          <w:color w:val="333333"/>
          <w:spacing w:val="-3"/>
          <w:w w:val="92"/>
          <w:position w:val="1"/>
          <w:sz w:val="15"/>
          <w:szCs w:val="15"/>
        </w:rPr>
        <w:t>e/f</w:t>
      </w:r>
      <w:r>
        <w:rPr>
          <w:i/>
          <w:iCs/>
          <w:color w:val="333333"/>
          <w:spacing w:val="-24"/>
          <w:position w:val="1"/>
          <w:sz w:val="15"/>
          <w:szCs w:val="15"/>
        </w:rPr>
        <w:t xml:space="preserve"> </w:t>
      </w:r>
      <w:r>
        <w:rPr>
          <w:i/>
          <w:iCs/>
          <w:color w:val="333333"/>
          <w:spacing w:val="-3"/>
          <w:w w:val="92"/>
          <w:position w:val="1"/>
          <w:sz w:val="15"/>
          <w:szCs w:val="15"/>
        </w:rPr>
        <w:t>= BMI estimate/forecast. S</w:t>
      </w:r>
      <w:r>
        <w:rPr>
          <w:i/>
          <w:iCs/>
          <w:color w:val="333333"/>
          <w:spacing w:val="-4"/>
          <w:w w:val="92"/>
          <w:position w:val="1"/>
          <w:sz w:val="15"/>
          <w:szCs w:val="15"/>
        </w:rPr>
        <w:t>ource: EIA, national</w:t>
      </w:r>
      <w:r>
        <w:rPr>
          <w:i/>
          <w:iCs/>
          <w:color w:val="333333"/>
          <w:spacing w:val="-15"/>
          <w:position w:val="1"/>
          <w:sz w:val="15"/>
          <w:szCs w:val="15"/>
        </w:rPr>
        <w:t xml:space="preserve"> </w:t>
      </w:r>
      <w:r>
        <w:rPr>
          <w:i/>
          <w:iCs/>
          <w:color w:val="333333"/>
          <w:spacing w:val="-4"/>
          <w:w w:val="92"/>
          <w:position w:val="1"/>
          <w:sz w:val="15"/>
          <w:szCs w:val="15"/>
        </w:rPr>
        <w:t>sources, BMI</w:t>
      </w:r>
    </w:p>
    <w:p w14:paraId="6029F788">
      <w:pPr>
        <w:spacing w:line="175" w:lineRule="exact"/>
        <w:rPr>
          <w:sz w:val="15"/>
          <w:szCs w:val="15"/>
        </w:rPr>
        <w:sectPr>
          <w:footerReference r:id="rId46" w:type="default"/>
          <w:pgSz w:w="11906" w:h="16838"/>
          <w:pgMar w:top="400" w:right="490" w:bottom="883" w:left="490" w:header="0" w:footer="0" w:gutter="0"/>
          <w:cols w:space="720" w:num="1"/>
        </w:sectPr>
      </w:pPr>
    </w:p>
    <w:p w14:paraId="212FE68B">
      <w:pPr>
        <w:pStyle w:val="4"/>
        <w:spacing w:before="73" w:line="241" w:lineRule="auto"/>
        <w:ind w:left="7372"/>
        <w:rPr>
          <w:sz w:val="20"/>
          <w:szCs w:val="20"/>
        </w:rPr>
      </w:pPr>
      <w:r>
        <w:drawing>
          <wp:anchor distT="0" distB="0" distL="0" distR="0" simplePos="0" relativeHeight="25184256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43584" behindDoc="0" locked="0" layoutInCell="0" allowOverlap="1">
            <wp:simplePos x="0" y="0"/>
            <wp:positionH relativeFrom="page">
              <wp:posOffset>311150</wp:posOffset>
            </wp:positionH>
            <wp:positionV relativeFrom="page">
              <wp:posOffset>0</wp:posOffset>
            </wp:positionV>
            <wp:extent cx="19050" cy="814070"/>
            <wp:effectExtent l="0" t="0" r="0" b="0"/>
            <wp:wrapNone/>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533E5E0">
      <w:pPr>
        <w:pStyle w:val="4"/>
        <w:spacing w:line="278" w:lineRule="auto"/>
      </w:pPr>
    </w:p>
    <w:p w14:paraId="71EF1DFA">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357A5F0">
      <w:pPr>
        <w:pStyle w:val="4"/>
      </w:pPr>
    </w:p>
    <w:p w14:paraId="7A689D9F">
      <w:pPr>
        <w:pStyle w:val="4"/>
      </w:pPr>
    </w:p>
    <w:p w14:paraId="1174A887">
      <w:pPr>
        <w:pStyle w:val="4"/>
        <w:spacing w:before="69" w:line="234" w:lineRule="auto"/>
        <w:ind w:left="419"/>
        <w:outlineLvl w:val="1"/>
        <w:rPr>
          <w:sz w:val="24"/>
          <w:szCs w:val="24"/>
        </w:rPr>
      </w:pPr>
      <w:r>
        <w:rPr>
          <w:color w:val="174174"/>
          <w:spacing w:val="-11"/>
          <w:sz w:val="24"/>
          <w:szCs w:val="24"/>
        </w:rPr>
        <w:t>Gas Net Exports (Argentina 2029-2034)</w:t>
      </w:r>
    </w:p>
    <w:p w14:paraId="64D7ECC0">
      <w:pPr>
        <w:spacing w:line="41" w:lineRule="exact"/>
      </w:pPr>
    </w:p>
    <w:tbl>
      <w:tblPr>
        <w:tblStyle w:val="7"/>
        <w:tblW w:w="10204" w:type="dxa"/>
        <w:tblInd w:w="359" w:type="dxa"/>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Layout w:type="fixed"/>
        <w:tblCellMar>
          <w:top w:w="0" w:type="dxa"/>
          <w:left w:w="0" w:type="dxa"/>
          <w:bottom w:w="0" w:type="dxa"/>
          <w:right w:w="0" w:type="dxa"/>
        </w:tblCellMar>
      </w:tblPr>
      <w:tblGrid>
        <w:gridCol w:w="4466"/>
        <w:gridCol w:w="950"/>
        <w:gridCol w:w="938"/>
        <w:gridCol w:w="938"/>
        <w:gridCol w:w="987"/>
        <w:gridCol w:w="987"/>
        <w:gridCol w:w="938"/>
      </w:tblGrid>
      <w:tr w14:paraId="15146C8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PrEx>
        <w:trPr>
          <w:trHeight w:val="348" w:hRule="atLeast"/>
        </w:trPr>
        <w:tc>
          <w:tcPr>
            <w:tcW w:w="4466" w:type="dxa"/>
            <w:tcBorders>
              <w:left w:val="nil"/>
              <w:right w:val="single" w:color="D7DADB" w:sz="6" w:space="0"/>
            </w:tcBorders>
            <w:vAlign w:val="top"/>
          </w:tcPr>
          <w:p w14:paraId="42E3E507">
            <w:pPr>
              <w:pStyle w:val="8"/>
              <w:spacing w:before="75" w:line="243" w:lineRule="exact"/>
              <w:ind w:left="13"/>
            </w:pPr>
            <w:r>
              <w:rPr>
                <w:b/>
                <w:bCs/>
                <w:color w:val="5F6A72"/>
                <w:spacing w:val="-6"/>
                <w:position w:val="1"/>
              </w:rPr>
              <w:t>Indicator</w:t>
            </w:r>
          </w:p>
        </w:tc>
        <w:tc>
          <w:tcPr>
            <w:tcW w:w="950" w:type="dxa"/>
            <w:tcBorders>
              <w:left w:val="single" w:color="D7DADB" w:sz="6" w:space="0"/>
              <w:right w:val="nil"/>
            </w:tcBorders>
            <w:vAlign w:val="top"/>
          </w:tcPr>
          <w:p w14:paraId="44829125">
            <w:pPr>
              <w:pStyle w:val="8"/>
              <w:spacing w:before="75" w:line="243" w:lineRule="exact"/>
              <w:ind w:left="425"/>
            </w:pPr>
            <w:r>
              <w:rPr>
                <w:b/>
                <w:bCs/>
                <w:color w:val="5F6A72"/>
                <w:spacing w:val="-1"/>
                <w:position w:val="1"/>
              </w:rPr>
              <w:t>2029f</w:t>
            </w:r>
          </w:p>
        </w:tc>
        <w:tc>
          <w:tcPr>
            <w:tcW w:w="938" w:type="dxa"/>
            <w:tcBorders>
              <w:left w:val="nil"/>
              <w:right w:val="nil"/>
            </w:tcBorders>
            <w:vAlign w:val="top"/>
          </w:tcPr>
          <w:p w14:paraId="6978E00D">
            <w:pPr>
              <w:pStyle w:val="8"/>
              <w:spacing w:before="75" w:line="243" w:lineRule="exact"/>
              <w:ind w:left="421"/>
            </w:pPr>
            <w:r>
              <w:rPr>
                <w:b/>
                <w:bCs/>
                <w:color w:val="5F6A72"/>
                <w:spacing w:val="-1"/>
                <w:position w:val="1"/>
              </w:rPr>
              <w:t>2030f</w:t>
            </w:r>
          </w:p>
        </w:tc>
        <w:tc>
          <w:tcPr>
            <w:tcW w:w="938" w:type="dxa"/>
            <w:tcBorders>
              <w:left w:val="nil"/>
              <w:right w:val="nil"/>
            </w:tcBorders>
            <w:vAlign w:val="top"/>
          </w:tcPr>
          <w:p w14:paraId="2273AFD8">
            <w:pPr>
              <w:pStyle w:val="8"/>
              <w:spacing w:before="75" w:line="243" w:lineRule="exact"/>
              <w:ind w:left="422"/>
            </w:pPr>
            <w:r>
              <w:rPr>
                <w:b/>
                <w:bCs/>
                <w:color w:val="5F6A72"/>
                <w:spacing w:val="-1"/>
                <w:position w:val="1"/>
              </w:rPr>
              <w:t>2031f</w:t>
            </w:r>
          </w:p>
        </w:tc>
        <w:tc>
          <w:tcPr>
            <w:tcW w:w="987" w:type="dxa"/>
            <w:tcBorders>
              <w:left w:val="nil"/>
              <w:right w:val="nil"/>
            </w:tcBorders>
            <w:vAlign w:val="top"/>
          </w:tcPr>
          <w:p w14:paraId="1FCB0A03">
            <w:pPr>
              <w:pStyle w:val="8"/>
              <w:spacing w:before="75" w:line="243" w:lineRule="exact"/>
              <w:ind w:left="470"/>
            </w:pPr>
            <w:r>
              <w:rPr>
                <w:b/>
                <w:bCs/>
                <w:color w:val="5F6A72"/>
                <w:spacing w:val="-1"/>
                <w:position w:val="1"/>
              </w:rPr>
              <w:t>2032f</w:t>
            </w:r>
          </w:p>
        </w:tc>
        <w:tc>
          <w:tcPr>
            <w:tcW w:w="987" w:type="dxa"/>
            <w:tcBorders>
              <w:left w:val="nil"/>
              <w:right w:val="nil"/>
            </w:tcBorders>
            <w:vAlign w:val="top"/>
          </w:tcPr>
          <w:p w14:paraId="4EA1C17E">
            <w:pPr>
              <w:pStyle w:val="8"/>
              <w:spacing w:before="75" w:line="243" w:lineRule="exact"/>
              <w:ind w:left="470"/>
            </w:pPr>
            <w:r>
              <w:rPr>
                <w:b/>
                <w:bCs/>
                <w:color w:val="5F6A72"/>
                <w:spacing w:val="-1"/>
                <w:position w:val="1"/>
              </w:rPr>
              <w:t>2033f</w:t>
            </w:r>
          </w:p>
        </w:tc>
        <w:tc>
          <w:tcPr>
            <w:tcW w:w="938" w:type="dxa"/>
            <w:tcBorders>
              <w:left w:val="nil"/>
              <w:right w:val="nil"/>
            </w:tcBorders>
            <w:vAlign w:val="top"/>
          </w:tcPr>
          <w:p w14:paraId="2798F167">
            <w:pPr>
              <w:pStyle w:val="8"/>
              <w:spacing w:before="75" w:line="243" w:lineRule="exact"/>
              <w:ind w:left="422"/>
            </w:pPr>
            <w:r>
              <w:rPr>
                <w:b/>
                <w:bCs/>
                <w:color w:val="5F6A72"/>
                <w:spacing w:val="-1"/>
                <w:position w:val="1"/>
              </w:rPr>
              <w:t>2034f</w:t>
            </w:r>
          </w:p>
        </w:tc>
      </w:tr>
      <w:tr w14:paraId="7C2F422A">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vAlign w:val="top"/>
          </w:tcPr>
          <w:p w14:paraId="0A0CCF1C">
            <w:pPr>
              <w:pStyle w:val="8"/>
              <w:spacing w:before="70" w:line="234" w:lineRule="auto"/>
              <w:ind w:left="18"/>
            </w:pPr>
            <w:r>
              <w:rPr>
                <w:color w:val="2A8ABF"/>
                <w:spacing w:val="-8"/>
              </w:rPr>
              <w:t>Dry natural gas net</w:t>
            </w:r>
            <w:r>
              <w:rPr>
                <w:color w:val="2A8ABF"/>
                <w:spacing w:val="-7"/>
              </w:rPr>
              <w:t xml:space="preserve"> </w:t>
            </w:r>
            <w:r>
              <w:rPr>
                <w:color w:val="2A8ABF"/>
                <w:spacing w:val="-8"/>
              </w:rPr>
              <w:t>exports, bcm</w:t>
            </w:r>
          </w:p>
        </w:tc>
        <w:tc>
          <w:tcPr>
            <w:tcW w:w="950" w:type="dxa"/>
            <w:tcBorders>
              <w:left w:val="single" w:color="D7DADB" w:sz="6" w:space="0"/>
              <w:right w:val="nil"/>
            </w:tcBorders>
            <w:vAlign w:val="top"/>
          </w:tcPr>
          <w:p w14:paraId="607876D8">
            <w:pPr>
              <w:pStyle w:val="8"/>
              <w:spacing w:before="70" w:line="237" w:lineRule="exact"/>
              <w:ind w:left="647"/>
            </w:pPr>
            <w:r>
              <w:rPr>
                <w:color w:val="5F6A72"/>
                <w:spacing w:val="-6"/>
                <w:position w:val="1"/>
              </w:rPr>
              <w:t>3.9</w:t>
            </w:r>
          </w:p>
        </w:tc>
        <w:tc>
          <w:tcPr>
            <w:tcW w:w="938" w:type="dxa"/>
            <w:tcBorders>
              <w:left w:val="nil"/>
              <w:right w:val="nil"/>
            </w:tcBorders>
            <w:vAlign w:val="top"/>
          </w:tcPr>
          <w:p w14:paraId="249E4EF3">
            <w:pPr>
              <w:pStyle w:val="8"/>
              <w:spacing w:before="70" w:line="240" w:lineRule="exact"/>
              <w:ind w:left="643"/>
            </w:pPr>
            <w:r>
              <w:rPr>
                <w:color w:val="5F6A72"/>
                <w:spacing w:val="-6"/>
                <w:position w:val="1"/>
              </w:rPr>
              <w:t>4.4</w:t>
            </w:r>
          </w:p>
        </w:tc>
        <w:tc>
          <w:tcPr>
            <w:tcW w:w="938" w:type="dxa"/>
            <w:tcBorders>
              <w:left w:val="nil"/>
              <w:right w:val="nil"/>
            </w:tcBorders>
            <w:vAlign w:val="top"/>
          </w:tcPr>
          <w:p w14:paraId="0F813418">
            <w:pPr>
              <w:pStyle w:val="8"/>
              <w:spacing w:before="70" w:line="237" w:lineRule="exact"/>
              <w:ind w:left="643"/>
            </w:pPr>
            <w:r>
              <w:rPr>
                <w:color w:val="5F6A72"/>
                <w:spacing w:val="-6"/>
                <w:position w:val="1"/>
              </w:rPr>
              <w:t>4.9</w:t>
            </w:r>
          </w:p>
        </w:tc>
        <w:tc>
          <w:tcPr>
            <w:tcW w:w="987" w:type="dxa"/>
            <w:tcBorders>
              <w:left w:val="nil"/>
              <w:right w:val="nil"/>
            </w:tcBorders>
            <w:vAlign w:val="top"/>
          </w:tcPr>
          <w:p w14:paraId="289D0CB4">
            <w:pPr>
              <w:pStyle w:val="8"/>
              <w:spacing w:before="70" w:line="237" w:lineRule="exact"/>
              <w:ind w:left="697"/>
            </w:pPr>
            <w:r>
              <w:rPr>
                <w:color w:val="5F6A72"/>
                <w:spacing w:val="-7"/>
                <w:position w:val="1"/>
              </w:rPr>
              <w:t>5.5</w:t>
            </w:r>
          </w:p>
        </w:tc>
        <w:tc>
          <w:tcPr>
            <w:tcW w:w="987" w:type="dxa"/>
            <w:tcBorders>
              <w:left w:val="nil"/>
              <w:right w:val="nil"/>
            </w:tcBorders>
            <w:vAlign w:val="top"/>
          </w:tcPr>
          <w:p w14:paraId="3E893FEA">
            <w:pPr>
              <w:pStyle w:val="8"/>
              <w:spacing w:before="70" w:line="237" w:lineRule="exact"/>
              <w:ind w:left="697"/>
            </w:pPr>
            <w:r>
              <w:rPr>
                <w:color w:val="5F6A72"/>
                <w:spacing w:val="-7"/>
                <w:position w:val="1"/>
              </w:rPr>
              <w:t>6.1</w:t>
            </w:r>
          </w:p>
        </w:tc>
        <w:tc>
          <w:tcPr>
            <w:tcW w:w="938" w:type="dxa"/>
            <w:tcBorders>
              <w:left w:val="nil"/>
              <w:right w:val="nil"/>
            </w:tcBorders>
            <w:vAlign w:val="top"/>
          </w:tcPr>
          <w:p w14:paraId="236E3055">
            <w:pPr>
              <w:pStyle w:val="8"/>
              <w:spacing w:before="70" w:line="237" w:lineRule="exact"/>
              <w:ind w:left="648"/>
            </w:pPr>
            <w:r>
              <w:rPr>
                <w:color w:val="5F6A72"/>
                <w:spacing w:val="-7"/>
                <w:position w:val="1"/>
              </w:rPr>
              <w:t>6.7</w:t>
            </w:r>
          </w:p>
        </w:tc>
      </w:tr>
      <w:tr w14:paraId="68C26338">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shd w:val="clear" w:color="auto" w:fill="EAF9FF"/>
            <w:vAlign w:val="top"/>
          </w:tcPr>
          <w:p w14:paraId="58208E09">
            <w:pPr>
              <w:pStyle w:val="8"/>
              <w:spacing w:before="71" w:line="234" w:lineRule="auto"/>
              <w:ind w:left="18"/>
            </w:pPr>
            <w:r>
              <w:rPr>
                <w:color w:val="2A8ABF"/>
                <w:spacing w:val="-8"/>
              </w:rPr>
              <w:t>Dry natural gas net</w:t>
            </w:r>
            <w:r>
              <w:rPr>
                <w:color w:val="2A8ABF"/>
                <w:spacing w:val="-9"/>
              </w:rPr>
              <w:t xml:space="preserve"> </w:t>
            </w:r>
            <w:r>
              <w:rPr>
                <w:color w:val="2A8ABF"/>
                <w:spacing w:val="-8"/>
              </w:rPr>
              <w:t>exports,</w:t>
            </w:r>
            <w:r>
              <w:rPr>
                <w:color w:val="2A8ABF"/>
                <w:spacing w:val="-13"/>
              </w:rPr>
              <w:t xml:space="preserve"> </w:t>
            </w:r>
            <w:r>
              <w:rPr>
                <w:color w:val="2A8ABF"/>
                <w:spacing w:val="-9"/>
              </w:rPr>
              <w:t>%</w:t>
            </w:r>
            <w:r>
              <w:rPr>
                <w:color w:val="2A8ABF"/>
                <w:spacing w:val="-18"/>
              </w:rPr>
              <w:t xml:space="preserve"> </w:t>
            </w:r>
            <w:r>
              <w:rPr>
                <w:color w:val="2A8ABF"/>
                <w:spacing w:val="-9"/>
              </w:rPr>
              <w:t>y-o-y</w:t>
            </w:r>
          </w:p>
        </w:tc>
        <w:tc>
          <w:tcPr>
            <w:tcW w:w="950" w:type="dxa"/>
            <w:tcBorders>
              <w:left w:val="single" w:color="D7DADB" w:sz="6" w:space="0"/>
              <w:right w:val="nil"/>
            </w:tcBorders>
            <w:shd w:val="clear" w:color="auto" w:fill="EAF9FF"/>
            <w:vAlign w:val="top"/>
          </w:tcPr>
          <w:p w14:paraId="2AB23392">
            <w:pPr>
              <w:pStyle w:val="8"/>
              <w:spacing w:before="71" w:line="238" w:lineRule="exact"/>
              <w:ind w:left="557"/>
            </w:pPr>
            <w:r>
              <w:rPr>
                <w:color w:val="5F6A72"/>
                <w:spacing w:val="-7"/>
                <w:position w:val="1"/>
              </w:rPr>
              <w:t>19.4</w:t>
            </w:r>
          </w:p>
        </w:tc>
        <w:tc>
          <w:tcPr>
            <w:tcW w:w="938" w:type="dxa"/>
            <w:tcBorders>
              <w:left w:val="nil"/>
              <w:right w:val="nil"/>
            </w:tcBorders>
            <w:shd w:val="clear" w:color="auto" w:fill="EAF9FF"/>
            <w:vAlign w:val="top"/>
          </w:tcPr>
          <w:p w14:paraId="056074FE">
            <w:pPr>
              <w:pStyle w:val="8"/>
              <w:spacing w:before="71" w:line="240" w:lineRule="exact"/>
              <w:ind w:left="553"/>
            </w:pPr>
            <w:r>
              <w:rPr>
                <w:color w:val="5F6A72"/>
                <w:spacing w:val="-7"/>
                <w:position w:val="1"/>
              </w:rPr>
              <w:t>12.7</w:t>
            </w:r>
          </w:p>
        </w:tc>
        <w:tc>
          <w:tcPr>
            <w:tcW w:w="938" w:type="dxa"/>
            <w:tcBorders>
              <w:left w:val="nil"/>
              <w:right w:val="nil"/>
            </w:tcBorders>
            <w:shd w:val="clear" w:color="auto" w:fill="EAF9FF"/>
            <w:vAlign w:val="top"/>
          </w:tcPr>
          <w:p w14:paraId="5F92D524">
            <w:pPr>
              <w:pStyle w:val="8"/>
              <w:spacing w:before="71" w:line="238" w:lineRule="exact"/>
              <w:ind w:left="553"/>
            </w:pPr>
            <w:r>
              <w:rPr>
                <w:color w:val="5F6A72"/>
                <w:spacing w:val="-7"/>
                <w:position w:val="1"/>
              </w:rPr>
              <w:t>11.9</w:t>
            </w:r>
          </w:p>
        </w:tc>
        <w:tc>
          <w:tcPr>
            <w:tcW w:w="987" w:type="dxa"/>
            <w:tcBorders>
              <w:left w:val="nil"/>
              <w:right w:val="nil"/>
            </w:tcBorders>
            <w:shd w:val="clear" w:color="auto" w:fill="EAF9FF"/>
            <w:vAlign w:val="top"/>
          </w:tcPr>
          <w:p w14:paraId="337C0F03">
            <w:pPr>
              <w:pStyle w:val="8"/>
              <w:spacing w:before="71" w:line="240" w:lineRule="exact"/>
              <w:ind w:left="602"/>
            </w:pPr>
            <w:r>
              <w:rPr>
                <w:color w:val="5F6A72"/>
                <w:spacing w:val="-7"/>
                <w:position w:val="1"/>
              </w:rPr>
              <w:t>11.2</w:t>
            </w:r>
          </w:p>
        </w:tc>
        <w:tc>
          <w:tcPr>
            <w:tcW w:w="987" w:type="dxa"/>
            <w:tcBorders>
              <w:left w:val="nil"/>
              <w:right w:val="nil"/>
            </w:tcBorders>
            <w:shd w:val="clear" w:color="auto" w:fill="EAF9FF"/>
            <w:vAlign w:val="top"/>
          </w:tcPr>
          <w:p w14:paraId="036A574F">
            <w:pPr>
              <w:pStyle w:val="8"/>
              <w:spacing w:before="71" w:line="238" w:lineRule="exact"/>
              <w:ind w:left="602"/>
            </w:pPr>
            <w:r>
              <w:rPr>
                <w:color w:val="5F6A72"/>
                <w:spacing w:val="-7"/>
                <w:position w:val="1"/>
              </w:rPr>
              <w:t>10.5</w:t>
            </w:r>
          </w:p>
        </w:tc>
        <w:tc>
          <w:tcPr>
            <w:tcW w:w="938" w:type="dxa"/>
            <w:tcBorders>
              <w:left w:val="nil"/>
              <w:right w:val="nil"/>
            </w:tcBorders>
            <w:shd w:val="clear" w:color="auto" w:fill="EAF9FF"/>
            <w:vAlign w:val="top"/>
          </w:tcPr>
          <w:p w14:paraId="028D6934">
            <w:pPr>
              <w:pStyle w:val="8"/>
              <w:spacing w:before="71" w:line="238" w:lineRule="exact"/>
              <w:ind w:left="553"/>
            </w:pPr>
            <w:r>
              <w:rPr>
                <w:color w:val="5F6A72"/>
                <w:spacing w:val="-7"/>
                <w:position w:val="1"/>
              </w:rPr>
              <w:t>10.0</w:t>
            </w:r>
          </w:p>
        </w:tc>
      </w:tr>
      <w:tr w14:paraId="5F5E2227">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vAlign w:val="top"/>
          </w:tcPr>
          <w:p w14:paraId="1D980768">
            <w:pPr>
              <w:pStyle w:val="8"/>
              <w:spacing w:before="72" w:line="234" w:lineRule="auto"/>
              <w:ind w:left="18"/>
            </w:pPr>
            <w:r>
              <w:rPr>
                <w:color w:val="2A8ABF"/>
                <w:spacing w:val="-9"/>
              </w:rPr>
              <w:t>Dry natural gas net exports, US</w:t>
            </w:r>
            <w:r>
              <w:rPr>
                <w:color w:val="2A8ABF"/>
                <w:spacing w:val="-10"/>
              </w:rPr>
              <w:t>Dbn</w:t>
            </w:r>
          </w:p>
        </w:tc>
        <w:tc>
          <w:tcPr>
            <w:tcW w:w="950" w:type="dxa"/>
            <w:tcBorders>
              <w:left w:val="single" w:color="D7DADB" w:sz="6" w:space="0"/>
              <w:right w:val="nil"/>
            </w:tcBorders>
            <w:vAlign w:val="top"/>
          </w:tcPr>
          <w:p w14:paraId="657B65DD">
            <w:pPr>
              <w:pStyle w:val="8"/>
              <w:spacing w:before="73" w:line="237" w:lineRule="exact"/>
              <w:ind w:left="654"/>
            </w:pPr>
            <w:r>
              <w:rPr>
                <w:color w:val="5F6A72"/>
                <w:spacing w:val="-7"/>
                <w:position w:val="1"/>
              </w:rPr>
              <w:t>1.3</w:t>
            </w:r>
          </w:p>
        </w:tc>
        <w:tc>
          <w:tcPr>
            <w:tcW w:w="938" w:type="dxa"/>
            <w:tcBorders>
              <w:left w:val="nil"/>
              <w:right w:val="nil"/>
            </w:tcBorders>
            <w:vAlign w:val="top"/>
          </w:tcPr>
          <w:p w14:paraId="2D66B5DB">
            <w:pPr>
              <w:pStyle w:val="8"/>
              <w:spacing w:before="73" w:line="237" w:lineRule="exact"/>
              <w:ind w:left="650"/>
            </w:pPr>
            <w:r>
              <w:rPr>
                <w:color w:val="5F6A72"/>
                <w:spacing w:val="-7"/>
                <w:position w:val="1"/>
              </w:rPr>
              <w:t>1.5</w:t>
            </w:r>
          </w:p>
        </w:tc>
        <w:tc>
          <w:tcPr>
            <w:tcW w:w="938" w:type="dxa"/>
            <w:tcBorders>
              <w:left w:val="nil"/>
              <w:right w:val="nil"/>
            </w:tcBorders>
            <w:vAlign w:val="top"/>
          </w:tcPr>
          <w:p w14:paraId="0C36EC61">
            <w:pPr>
              <w:pStyle w:val="8"/>
              <w:spacing w:before="73" w:line="239" w:lineRule="exact"/>
              <w:ind w:left="650"/>
            </w:pPr>
            <w:r>
              <w:rPr>
                <w:color w:val="5F6A72"/>
                <w:spacing w:val="-7"/>
                <w:position w:val="1"/>
              </w:rPr>
              <w:t>1.7</w:t>
            </w:r>
          </w:p>
        </w:tc>
        <w:tc>
          <w:tcPr>
            <w:tcW w:w="987" w:type="dxa"/>
            <w:tcBorders>
              <w:left w:val="nil"/>
              <w:right w:val="nil"/>
            </w:tcBorders>
            <w:vAlign w:val="top"/>
          </w:tcPr>
          <w:p w14:paraId="3CEF977A">
            <w:pPr>
              <w:pStyle w:val="8"/>
              <w:spacing w:before="73" w:line="237" w:lineRule="exact"/>
              <w:ind w:left="699"/>
            </w:pPr>
            <w:r>
              <w:rPr>
                <w:color w:val="5F6A72"/>
                <w:spacing w:val="-7"/>
                <w:position w:val="1"/>
              </w:rPr>
              <w:t>1.9</w:t>
            </w:r>
          </w:p>
        </w:tc>
        <w:tc>
          <w:tcPr>
            <w:tcW w:w="987" w:type="dxa"/>
            <w:tcBorders>
              <w:left w:val="nil"/>
              <w:right w:val="nil"/>
            </w:tcBorders>
            <w:vAlign w:val="top"/>
          </w:tcPr>
          <w:p w14:paraId="311DBA25">
            <w:pPr>
              <w:pStyle w:val="8"/>
              <w:spacing w:before="73" w:line="239" w:lineRule="exact"/>
              <w:ind w:left="695"/>
            </w:pPr>
            <w:r>
              <w:rPr>
                <w:color w:val="5F6A72"/>
                <w:spacing w:val="-6"/>
                <w:position w:val="1"/>
              </w:rPr>
              <w:t>2.1</w:t>
            </w:r>
          </w:p>
        </w:tc>
        <w:tc>
          <w:tcPr>
            <w:tcW w:w="938" w:type="dxa"/>
            <w:tcBorders>
              <w:left w:val="nil"/>
              <w:right w:val="nil"/>
            </w:tcBorders>
            <w:vAlign w:val="top"/>
          </w:tcPr>
          <w:p w14:paraId="45D937C2">
            <w:pPr>
              <w:pStyle w:val="8"/>
              <w:spacing w:before="73" w:line="237" w:lineRule="exact"/>
              <w:ind w:left="646"/>
            </w:pPr>
            <w:r>
              <w:rPr>
                <w:color w:val="5F6A72"/>
                <w:spacing w:val="-6"/>
                <w:position w:val="1"/>
              </w:rPr>
              <w:t>2.3</w:t>
            </w:r>
          </w:p>
        </w:tc>
      </w:tr>
      <w:tr w14:paraId="69D604D6">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shd w:val="clear" w:color="auto" w:fill="EAF9FF"/>
            <w:vAlign w:val="top"/>
          </w:tcPr>
          <w:p w14:paraId="47ED7AF3">
            <w:pPr>
              <w:pStyle w:val="8"/>
              <w:spacing w:before="74" w:line="234" w:lineRule="auto"/>
              <w:ind w:left="18"/>
            </w:pPr>
            <w:r>
              <w:rPr>
                <w:color w:val="2A8ABF"/>
                <w:spacing w:val="-8"/>
              </w:rPr>
              <w:t>Pipeline gas net exports, bcm</w:t>
            </w:r>
          </w:p>
        </w:tc>
        <w:tc>
          <w:tcPr>
            <w:tcW w:w="950" w:type="dxa"/>
            <w:tcBorders>
              <w:left w:val="single" w:color="D7DADB" w:sz="6" w:space="0"/>
              <w:right w:val="nil"/>
            </w:tcBorders>
            <w:shd w:val="clear" w:color="auto" w:fill="EAF9FF"/>
            <w:vAlign w:val="top"/>
          </w:tcPr>
          <w:p w14:paraId="420EFAF7">
            <w:pPr>
              <w:pStyle w:val="8"/>
              <w:spacing w:before="74" w:line="237" w:lineRule="exact"/>
              <w:ind w:left="646"/>
            </w:pPr>
            <w:r>
              <w:rPr>
                <w:color w:val="5F6A72"/>
                <w:spacing w:val="-6"/>
                <w:position w:val="1"/>
              </w:rPr>
              <w:t>0.4</w:t>
            </w:r>
          </w:p>
        </w:tc>
        <w:tc>
          <w:tcPr>
            <w:tcW w:w="938" w:type="dxa"/>
            <w:tcBorders>
              <w:left w:val="nil"/>
              <w:right w:val="nil"/>
            </w:tcBorders>
            <w:shd w:val="clear" w:color="auto" w:fill="EAF9FF"/>
            <w:vAlign w:val="top"/>
          </w:tcPr>
          <w:p w14:paraId="212AA27E">
            <w:pPr>
              <w:pStyle w:val="8"/>
              <w:spacing w:before="74" w:line="237" w:lineRule="exact"/>
              <w:ind w:left="642"/>
            </w:pPr>
            <w:r>
              <w:rPr>
                <w:color w:val="5F6A72"/>
                <w:spacing w:val="-6"/>
                <w:position w:val="1"/>
              </w:rPr>
              <w:t>0.4</w:t>
            </w:r>
          </w:p>
        </w:tc>
        <w:tc>
          <w:tcPr>
            <w:tcW w:w="938" w:type="dxa"/>
            <w:tcBorders>
              <w:left w:val="nil"/>
              <w:right w:val="nil"/>
            </w:tcBorders>
            <w:shd w:val="clear" w:color="auto" w:fill="EAF9FF"/>
            <w:vAlign w:val="top"/>
          </w:tcPr>
          <w:p w14:paraId="1491CB64">
            <w:pPr>
              <w:pStyle w:val="8"/>
              <w:spacing w:before="74" w:line="237" w:lineRule="exact"/>
              <w:ind w:left="642"/>
            </w:pPr>
            <w:r>
              <w:rPr>
                <w:color w:val="5F6A72"/>
                <w:spacing w:val="-6"/>
                <w:position w:val="1"/>
              </w:rPr>
              <w:t>0.9</w:t>
            </w:r>
          </w:p>
        </w:tc>
        <w:tc>
          <w:tcPr>
            <w:tcW w:w="987" w:type="dxa"/>
            <w:tcBorders>
              <w:left w:val="nil"/>
              <w:right w:val="nil"/>
            </w:tcBorders>
            <w:shd w:val="clear" w:color="auto" w:fill="EAF9FF"/>
            <w:vAlign w:val="top"/>
          </w:tcPr>
          <w:p w14:paraId="2EC06E7B">
            <w:pPr>
              <w:pStyle w:val="8"/>
              <w:spacing w:before="74" w:line="237" w:lineRule="exact"/>
              <w:ind w:left="638"/>
            </w:pPr>
            <w:r>
              <w:rPr>
                <w:color w:val="5F6A72"/>
                <w:spacing w:val="-6"/>
                <w:position w:val="1"/>
              </w:rPr>
              <w:t>-0.5</w:t>
            </w:r>
          </w:p>
        </w:tc>
        <w:tc>
          <w:tcPr>
            <w:tcW w:w="987" w:type="dxa"/>
            <w:tcBorders>
              <w:left w:val="nil"/>
              <w:right w:val="nil"/>
            </w:tcBorders>
            <w:shd w:val="clear" w:color="auto" w:fill="EAF9FF"/>
            <w:vAlign w:val="top"/>
          </w:tcPr>
          <w:p w14:paraId="6C951FD1">
            <w:pPr>
              <w:pStyle w:val="8"/>
              <w:spacing w:before="74" w:line="237" w:lineRule="exact"/>
              <w:ind w:left="691"/>
            </w:pPr>
            <w:r>
              <w:rPr>
                <w:color w:val="5F6A72"/>
                <w:spacing w:val="-6"/>
                <w:position w:val="1"/>
              </w:rPr>
              <w:t>0.1</w:t>
            </w:r>
          </w:p>
        </w:tc>
        <w:tc>
          <w:tcPr>
            <w:tcW w:w="938" w:type="dxa"/>
            <w:tcBorders>
              <w:left w:val="nil"/>
              <w:right w:val="nil"/>
            </w:tcBorders>
            <w:shd w:val="clear" w:color="auto" w:fill="EAF9FF"/>
            <w:vAlign w:val="top"/>
          </w:tcPr>
          <w:p w14:paraId="063CB4FE">
            <w:pPr>
              <w:pStyle w:val="8"/>
              <w:spacing w:before="74" w:line="237" w:lineRule="exact"/>
              <w:ind w:left="642"/>
            </w:pPr>
            <w:r>
              <w:rPr>
                <w:color w:val="5F6A72"/>
                <w:spacing w:val="-6"/>
                <w:position w:val="1"/>
              </w:rPr>
              <w:t>0.7</w:t>
            </w:r>
          </w:p>
        </w:tc>
      </w:tr>
      <w:tr w14:paraId="32B11C17">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vAlign w:val="top"/>
          </w:tcPr>
          <w:p w14:paraId="66396B2E">
            <w:pPr>
              <w:pStyle w:val="8"/>
              <w:spacing w:before="75" w:line="234" w:lineRule="auto"/>
              <w:ind w:left="18"/>
            </w:pPr>
            <w:r>
              <w:rPr>
                <w:color w:val="2A8ABF"/>
                <w:spacing w:val="-8"/>
              </w:rPr>
              <w:t>Pipeline gas net</w:t>
            </w:r>
            <w:r>
              <w:rPr>
                <w:color w:val="2A8ABF"/>
                <w:spacing w:val="-9"/>
              </w:rPr>
              <w:t xml:space="preserve"> </w:t>
            </w:r>
            <w:r>
              <w:rPr>
                <w:color w:val="2A8ABF"/>
                <w:spacing w:val="-8"/>
              </w:rPr>
              <w:t>exports</w:t>
            </w:r>
            <w:r>
              <w:rPr>
                <w:color w:val="2A8ABF"/>
                <w:spacing w:val="-9"/>
              </w:rPr>
              <w:t>,</w:t>
            </w:r>
            <w:r>
              <w:rPr>
                <w:color w:val="2A8ABF"/>
                <w:spacing w:val="-13"/>
              </w:rPr>
              <w:t xml:space="preserve"> </w:t>
            </w:r>
            <w:r>
              <w:rPr>
                <w:color w:val="2A8ABF"/>
                <w:spacing w:val="-9"/>
              </w:rPr>
              <w:t>%</w:t>
            </w:r>
            <w:r>
              <w:rPr>
                <w:color w:val="2A8ABF"/>
                <w:spacing w:val="-17"/>
              </w:rPr>
              <w:t xml:space="preserve"> </w:t>
            </w:r>
            <w:r>
              <w:rPr>
                <w:color w:val="2A8ABF"/>
                <w:spacing w:val="-9"/>
              </w:rPr>
              <w:t>y-o-y</w:t>
            </w:r>
          </w:p>
        </w:tc>
        <w:tc>
          <w:tcPr>
            <w:tcW w:w="950" w:type="dxa"/>
            <w:tcBorders>
              <w:left w:val="single" w:color="D7DADB" w:sz="6" w:space="0"/>
              <w:right w:val="nil"/>
            </w:tcBorders>
            <w:vAlign w:val="top"/>
          </w:tcPr>
          <w:p w14:paraId="7F22576B">
            <w:pPr>
              <w:pStyle w:val="8"/>
              <w:spacing w:before="75" w:line="237" w:lineRule="exact"/>
              <w:ind w:left="453"/>
            </w:pPr>
            <w:r>
              <w:rPr>
                <w:color w:val="5F6A72"/>
                <w:spacing w:val="-6"/>
                <w:position w:val="1"/>
              </w:rPr>
              <w:t>433.1</w:t>
            </w:r>
          </w:p>
        </w:tc>
        <w:tc>
          <w:tcPr>
            <w:tcW w:w="938" w:type="dxa"/>
            <w:tcBorders>
              <w:left w:val="nil"/>
              <w:right w:val="nil"/>
            </w:tcBorders>
            <w:vAlign w:val="top"/>
          </w:tcPr>
          <w:p w14:paraId="14CBA706">
            <w:pPr>
              <w:pStyle w:val="8"/>
              <w:spacing w:before="75" w:line="237" w:lineRule="exact"/>
              <w:ind w:left="589"/>
            </w:pPr>
            <w:r>
              <w:rPr>
                <w:color w:val="5F6A72"/>
                <w:spacing w:val="-6"/>
                <w:position w:val="1"/>
              </w:rPr>
              <w:t>-0.3</w:t>
            </w:r>
          </w:p>
        </w:tc>
        <w:tc>
          <w:tcPr>
            <w:tcW w:w="938" w:type="dxa"/>
            <w:tcBorders>
              <w:left w:val="nil"/>
              <w:right w:val="nil"/>
            </w:tcBorders>
            <w:vAlign w:val="top"/>
          </w:tcPr>
          <w:p w14:paraId="061107F9">
            <w:pPr>
              <w:pStyle w:val="8"/>
              <w:spacing w:before="75" w:line="237" w:lineRule="exact"/>
              <w:ind w:left="456"/>
            </w:pPr>
            <w:r>
              <w:rPr>
                <w:color w:val="5F6A72"/>
                <w:spacing w:val="-7"/>
                <w:position w:val="1"/>
              </w:rPr>
              <w:t>127.3</w:t>
            </w:r>
          </w:p>
        </w:tc>
        <w:tc>
          <w:tcPr>
            <w:tcW w:w="987" w:type="dxa"/>
            <w:tcBorders>
              <w:left w:val="nil"/>
              <w:right w:val="nil"/>
            </w:tcBorders>
            <w:vAlign w:val="top"/>
          </w:tcPr>
          <w:p w14:paraId="4EFD7B7C">
            <w:pPr>
              <w:pStyle w:val="8"/>
              <w:spacing w:before="75" w:line="237" w:lineRule="exact"/>
              <w:ind w:left="443"/>
            </w:pPr>
            <w:r>
              <w:rPr>
                <w:color w:val="5F6A72"/>
                <w:spacing w:val="-6"/>
                <w:position w:val="1"/>
              </w:rPr>
              <w:t>-154.9</w:t>
            </w:r>
          </w:p>
        </w:tc>
        <w:tc>
          <w:tcPr>
            <w:tcW w:w="987" w:type="dxa"/>
            <w:tcBorders>
              <w:left w:val="nil"/>
              <w:right w:val="nil"/>
            </w:tcBorders>
            <w:vAlign w:val="top"/>
          </w:tcPr>
          <w:p w14:paraId="24A59768">
            <w:pPr>
              <w:pStyle w:val="8"/>
              <w:spacing w:before="75" w:line="237" w:lineRule="exact"/>
              <w:ind w:left="443"/>
            </w:pPr>
            <w:r>
              <w:rPr>
                <w:color w:val="5F6A72"/>
                <w:spacing w:val="-6"/>
                <w:position w:val="1"/>
              </w:rPr>
              <w:t>-112.5</w:t>
            </w:r>
          </w:p>
        </w:tc>
        <w:tc>
          <w:tcPr>
            <w:tcW w:w="938" w:type="dxa"/>
            <w:tcBorders>
              <w:left w:val="nil"/>
              <w:right w:val="nil"/>
            </w:tcBorders>
            <w:vAlign w:val="top"/>
          </w:tcPr>
          <w:p w14:paraId="466B088A">
            <w:pPr>
              <w:pStyle w:val="8"/>
              <w:spacing w:before="75" w:line="237" w:lineRule="exact"/>
              <w:ind w:left="453"/>
            </w:pPr>
            <w:r>
              <w:rPr>
                <w:color w:val="5F6A72"/>
                <w:spacing w:val="-6"/>
                <w:position w:val="1"/>
              </w:rPr>
              <w:t>942.7</w:t>
            </w:r>
          </w:p>
        </w:tc>
      </w:tr>
      <w:tr w14:paraId="7C31464C">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shd w:val="clear" w:color="auto" w:fill="EAF9FF"/>
            <w:vAlign w:val="top"/>
          </w:tcPr>
          <w:p w14:paraId="6A95FE19">
            <w:pPr>
              <w:pStyle w:val="8"/>
              <w:spacing w:before="76" w:line="234" w:lineRule="auto"/>
              <w:ind w:left="18"/>
            </w:pPr>
            <w:r>
              <w:rPr>
                <w:color w:val="2A8ABF"/>
                <w:spacing w:val="-7"/>
              </w:rPr>
              <w:t>Pipeline gas net</w:t>
            </w:r>
            <w:r>
              <w:rPr>
                <w:color w:val="2A8ABF"/>
                <w:spacing w:val="-9"/>
              </w:rPr>
              <w:t xml:space="preserve"> </w:t>
            </w:r>
            <w:r>
              <w:rPr>
                <w:color w:val="2A8ABF"/>
                <w:spacing w:val="-7"/>
              </w:rPr>
              <w:t>exports,</w:t>
            </w:r>
            <w:r>
              <w:rPr>
                <w:color w:val="2A8ABF"/>
                <w:spacing w:val="-13"/>
              </w:rPr>
              <w:t xml:space="preserve"> </w:t>
            </w:r>
            <w:r>
              <w:rPr>
                <w:color w:val="2A8ABF"/>
                <w:spacing w:val="-7"/>
              </w:rPr>
              <w:t>%</w:t>
            </w:r>
            <w:r>
              <w:rPr>
                <w:color w:val="2A8ABF"/>
                <w:spacing w:val="-9"/>
              </w:rPr>
              <w:t xml:space="preserve"> </w:t>
            </w:r>
            <w:r>
              <w:rPr>
                <w:color w:val="2A8ABF"/>
                <w:spacing w:val="-7"/>
              </w:rPr>
              <w:t>of</w:t>
            </w:r>
            <w:r>
              <w:rPr>
                <w:color w:val="2A8ABF"/>
                <w:spacing w:val="-20"/>
              </w:rPr>
              <w:t xml:space="preserve"> </w:t>
            </w:r>
            <w:r>
              <w:rPr>
                <w:color w:val="2A8ABF"/>
                <w:spacing w:val="-7"/>
              </w:rPr>
              <w:t>to</w:t>
            </w:r>
            <w:r>
              <w:rPr>
                <w:color w:val="2A8ABF"/>
                <w:spacing w:val="-8"/>
              </w:rPr>
              <w:t>tal</w:t>
            </w:r>
          </w:p>
        </w:tc>
        <w:tc>
          <w:tcPr>
            <w:tcW w:w="950" w:type="dxa"/>
            <w:tcBorders>
              <w:left w:val="single" w:color="D7DADB" w:sz="6" w:space="0"/>
              <w:right w:val="nil"/>
            </w:tcBorders>
            <w:shd w:val="clear" w:color="auto" w:fill="EAF9FF"/>
            <w:vAlign w:val="top"/>
          </w:tcPr>
          <w:p w14:paraId="64B51250">
            <w:pPr>
              <w:pStyle w:val="8"/>
              <w:spacing w:before="76" w:line="237" w:lineRule="exact"/>
              <w:ind w:left="557"/>
            </w:pPr>
            <w:r>
              <w:rPr>
                <w:color w:val="5F6A72"/>
                <w:spacing w:val="-7"/>
                <w:position w:val="1"/>
              </w:rPr>
              <w:t>10.6</w:t>
            </w:r>
          </w:p>
        </w:tc>
        <w:tc>
          <w:tcPr>
            <w:tcW w:w="938" w:type="dxa"/>
            <w:tcBorders>
              <w:left w:val="nil"/>
              <w:right w:val="nil"/>
            </w:tcBorders>
            <w:shd w:val="clear" w:color="auto" w:fill="EAF9FF"/>
            <w:vAlign w:val="top"/>
          </w:tcPr>
          <w:p w14:paraId="4E240CA6">
            <w:pPr>
              <w:pStyle w:val="8"/>
              <w:spacing w:before="76" w:line="237" w:lineRule="exact"/>
              <w:ind w:left="647"/>
            </w:pPr>
            <w:r>
              <w:rPr>
                <w:color w:val="5F6A72"/>
                <w:spacing w:val="-7"/>
                <w:position w:val="1"/>
              </w:rPr>
              <w:t>9.3</w:t>
            </w:r>
          </w:p>
        </w:tc>
        <w:tc>
          <w:tcPr>
            <w:tcW w:w="938" w:type="dxa"/>
            <w:tcBorders>
              <w:left w:val="nil"/>
              <w:right w:val="nil"/>
            </w:tcBorders>
            <w:shd w:val="clear" w:color="auto" w:fill="EAF9FF"/>
            <w:vAlign w:val="top"/>
          </w:tcPr>
          <w:p w14:paraId="75848F9E">
            <w:pPr>
              <w:pStyle w:val="8"/>
              <w:spacing w:before="76" w:line="237" w:lineRule="exact"/>
              <w:ind w:left="553"/>
            </w:pPr>
            <w:r>
              <w:rPr>
                <w:color w:val="5F6A72"/>
                <w:spacing w:val="-7"/>
                <w:position w:val="1"/>
              </w:rPr>
              <w:t>19.0</w:t>
            </w:r>
          </w:p>
        </w:tc>
        <w:tc>
          <w:tcPr>
            <w:tcW w:w="987" w:type="dxa"/>
            <w:tcBorders>
              <w:left w:val="nil"/>
              <w:right w:val="nil"/>
            </w:tcBorders>
            <w:shd w:val="clear" w:color="auto" w:fill="EAF9FF"/>
            <w:vAlign w:val="top"/>
          </w:tcPr>
          <w:p w14:paraId="60825FC7">
            <w:pPr>
              <w:pStyle w:val="8"/>
              <w:spacing w:before="76" w:line="237" w:lineRule="exact"/>
              <w:ind w:left="638"/>
            </w:pPr>
            <w:r>
              <w:rPr>
                <w:color w:val="5F6A72"/>
                <w:spacing w:val="-6"/>
                <w:position w:val="1"/>
              </w:rPr>
              <w:t>-9.4</w:t>
            </w:r>
          </w:p>
        </w:tc>
        <w:tc>
          <w:tcPr>
            <w:tcW w:w="987" w:type="dxa"/>
            <w:tcBorders>
              <w:left w:val="nil"/>
              <w:right w:val="nil"/>
            </w:tcBorders>
            <w:shd w:val="clear" w:color="auto" w:fill="EAF9FF"/>
            <w:vAlign w:val="top"/>
          </w:tcPr>
          <w:p w14:paraId="63EEB3A8">
            <w:pPr>
              <w:pStyle w:val="8"/>
              <w:spacing w:before="76" w:line="240" w:lineRule="exact"/>
              <w:ind w:left="699"/>
            </w:pPr>
            <w:r>
              <w:rPr>
                <w:color w:val="5F6A72"/>
                <w:spacing w:val="-7"/>
                <w:position w:val="1"/>
              </w:rPr>
              <w:t>1.1</w:t>
            </w:r>
          </w:p>
        </w:tc>
        <w:tc>
          <w:tcPr>
            <w:tcW w:w="938" w:type="dxa"/>
            <w:tcBorders>
              <w:left w:val="nil"/>
              <w:right w:val="nil"/>
            </w:tcBorders>
            <w:shd w:val="clear" w:color="auto" w:fill="EAF9FF"/>
            <w:vAlign w:val="top"/>
          </w:tcPr>
          <w:p w14:paraId="12ED2E23">
            <w:pPr>
              <w:pStyle w:val="8"/>
              <w:spacing w:before="76" w:line="237" w:lineRule="exact"/>
              <w:ind w:left="553"/>
            </w:pPr>
            <w:r>
              <w:rPr>
                <w:color w:val="5F6A72"/>
                <w:spacing w:val="-7"/>
                <w:position w:val="1"/>
              </w:rPr>
              <w:t>10.1</w:t>
            </w:r>
          </w:p>
        </w:tc>
      </w:tr>
      <w:tr w14:paraId="51D5582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vAlign w:val="top"/>
          </w:tcPr>
          <w:p w14:paraId="13E6EA03">
            <w:pPr>
              <w:pStyle w:val="8"/>
              <w:spacing w:before="77" w:line="236" w:lineRule="auto"/>
              <w:ind w:left="18"/>
            </w:pPr>
            <w:r>
              <w:rPr>
                <w:color w:val="2A8ABF"/>
                <w:spacing w:val="-10"/>
              </w:rPr>
              <w:t>LNG net exports, bcm</w:t>
            </w:r>
          </w:p>
        </w:tc>
        <w:tc>
          <w:tcPr>
            <w:tcW w:w="950" w:type="dxa"/>
            <w:tcBorders>
              <w:left w:val="single" w:color="D7DADB" w:sz="6" w:space="0"/>
              <w:right w:val="nil"/>
            </w:tcBorders>
            <w:vAlign w:val="top"/>
          </w:tcPr>
          <w:p w14:paraId="6D1F2263">
            <w:pPr>
              <w:pStyle w:val="8"/>
              <w:spacing w:before="77" w:line="237" w:lineRule="exact"/>
              <w:ind w:left="647"/>
            </w:pPr>
            <w:r>
              <w:rPr>
                <w:color w:val="5F6A72"/>
                <w:spacing w:val="-6"/>
                <w:position w:val="1"/>
              </w:rPr>
              <w:t>3.5</w:t>
            </w:r>
          </w:p>
        </w:tc>
        <w:tc>
          <w:tcPr>
            <w:tcW w:w="938" w:type="dxa"/>
            <w:tcBorders>
              <w:left w:val="nil"/>
              <w:right w:val="nil"/>
            </w:tcBorders>
            <w:vAlign w:val="top"/>
          </w:tcPr>
          <w:p w14:paraId="62DB43B4">
            <w:pPr>
              <w:pStyle w:val="8"/>
              <w:spacing w:before="77" w:line="238" w:lineRule="exact"/>
              <w:ind w:left="643"/>
            </w:pPr>
            <w:r>
              <w:rPr>
                <w:color w:val="5F6A72"/>
                <w:spacing w:val="-6"/>
                <w:position w:val="1"/>
              </w:rPr>
              <w:t>4.0</w:t>
            </w:r>
          </w:p>
        </w:tc>
        <w:tc>
          <w:tcPr>
            <w:tcW w:w="938" w:type="dxa"/>
            <w:tcBorders>
              <w:left w:val="nil"/>
              <w:right w:val="nil"/>
            </w:tcBorders>
            <w:vAlign w:val="top"/>
          </w:tcPr>
          <w:p w14:paraId="6745DB63">
            <w:pPr>
              <w:pStyle w:val="8"/>
              <w:spacing w:before="77" w:line="238" w:lineRule="exact"/>
              <w:ind w:left="643"/>
            </w:pPr>
            <w:r>
              <w:rPr>
                <w:color w:val="5F6A72"/>
                <w:spacing w:val="-6"/>
                <w:position w:val="1"/>
              </w:rPr>
              <w:t>4.0</w:t>
            </w:r>
          </w:p>
        </w:tc>
        <w:tc>
          <w:tcPr>
            <w:tcW w:w="987" w:type="dxa"/>
            <w:tcBorders>
              <w:left w:val="nil"/>
              <w:right w:val="nil"/>
            </w:tcBorders>
            <w:vAlign w:val="top"/>
          </w:tcPr>
          <w:p w14:paraId="6C4D1C49">
            <w:pPr>
              <w:pStyle w:val="8"/>
              <w:spacing w:before="77" w:line="238" w:lineRule="exact"/>
              <w:ind w:left="697"/>
            </w:pPr>
            <w:r>
              <w:rPr>
                <w:color w:val="5F6A72"/>
                <w:spacing w:val="-7"/>
                <w:position w:val="1"/>
              </w:rPr>
              <w:t>6.0</w:t>
            </w:r>
          </w:p>
        </w:tc>
        <w:tc>
          <w:tcPr>
            <w:tcW w:w="987" w:type="dxa"/>
            <w:tcBorders>
              <w:left w:val="nil"/>
              <w:right w:val="nil"/>
            </w:tcBorders>
            <w:vAlign w:val="top"/>
          </w:tcPr>
          <w:p w14:paraId="057D62EA">
            <w:pPr>
              <w:pStyle w:val="8"/>
              <w:spacing w:before="77" w:line="238" w:lineRule="exact"/>
              <w:ind w:left="697"/>
            </w:pPr>
            <w:r>
              <w:rPr>
                <w:color w:val="5F6A72"/>
                <w:spacing w:val="-7"/>
                <w:position w:val="1"/>
              </w:rPr>
              <w:t>6.0</w:t>
            </w:r>
          </w:p>
        </w:tc>
        <w:tc>
          <w:tcPr>
            <w:tcW w:w="938" w:type="dxa"/>
            <w:tcBorders>
              <w:left w:val="nil"/>
              <w:right w:val="nil"/>
            </w:tcBorders>
            <w:vAlign w:val="top"/>
          </w:tcPr>
          <w:p w14:paraId="2D420D7C">
            <w:pPr>
              <w:pStyle w:val="8"/>
              <w:spacing w:before="77" w:line="238" w:lineRule="exact"/>
              <w:ind w:left="648"/>
            </w:pPr>
            <w:r>
              <w:rPr>
                <w:color w:val="5F6A72"/>
                <w:spacing w:val="-7"/>
                <w:position w:val="1"/>
              </w:rPr>
              <w:t>6.0</w:t>
            </w:r>
          </w:p>
        </w:tc>
      </w:tr>
      <w:tr w14:paraId="5DD2CADA">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0" w:hRule="atLeast"/>
        </w:trPr>
        <w:tc>
          <w:tcPr>
            <w:tcW w:w="4466" w:type="dxa"/>
            <w:tcBorders>
              <w:left w:val="nil"/>
              <w:right w:val="single" w:color="D7DADB" w:sz="6" w:space="0"/>
            </w:tcBorders>
            <w:shd w:val="clear" w:color="auto" w:fill="EAF9FF"/>
            <w:vAlign w:val="top"/>
          </w:tcPr>
          <w:p w14:paraId="1CFC30B2">
            <w:pPr>
              <w:pStyle w:val="8"/>
              <w:spacing w:before="78" w:line="234" w:lineRule="auto"/>
              <w:ind w:left="18"/>
            </w:pPr>
            <w:r>
              <w:rPr>
                <w:color w:val="2A8ABF"/>
                <w:spacing w:val="-10"/>
              </w:rPr>
              <w:t>LNG net exports,</w:t>
            </w:r>
            <w:r>
              <w:rPr>
                <w:color w:val="2A8ABF"/>
                <w:spacing w:val="-2"/>
              </w:rPr>
              <w:t xml:space="preserve"> </w:t>
            </w:r>
            <w:r>
              <w:rPr>
                <w:color w:val="2A8ABF"/>
                <w:spacing w:val="-10"/>
              </w:rPr>
              <w:t>%</w:t>
            </w:r>
            <w:r>
              <w:rPr>
                <w:color w:val="2A8ABF"/>
                <w:spacing w:val="-17"/>
              </w:rPr>
              <w:t xml:space="preserve"> </w:t>
            </w:r>
            <w:r>
              <w:rPr>
                <w:color w:val="2A8ABF"/>
                <w:spacing w:val="-10"/>
              </w:rPr>
              <w:t>y-o-y</w:t>
            </w:r>
          </w:p>
        </w:tc>
        <w:tc>
          <w:tcPr>
            <w:tcW w:w="950" w:type="dxa"/>
            <w:tcBorders>
              <w:left w:val="single" w:color="D7DADB" w:sz="6" w:space="0"/>
              <w:right w:val="nil"/>
            </w:tcBorders>
            <w:shd w:val="clear" w:color="auto" w:fill="EAF9FF"/>
            <w:vAlign w:val="top"/>
          </w:tcPr>
          <w:p w14:paraId="686F1A28">
            <w:pPr>
              <w:pStyle w:val="8"/>
              <w:spacing w:before="78" w:line="238" w:lineRule="exact"/>
              <w:ind w:left="651"/>
            </w:pPr>
            <w:r>
              <w:rPr>
                <w:color w:val="5F6A72"/>
                <w:spacing w:val="-7"/>
                <w:position w:val="1"/>
              </w:rPr>
              <w:t>9.4</w:t>
            </w:r>
          </w:p>
        </w:tc>
        <w:tc>
          <w:tcPr>
            <w:tcW w:w="938" w:type="dxa"/>
            <w:tcBorders>
              <w:left w:val="nil"/>
              <w:right w:val="nil"/>
            </w:tcBorders>
            <w:shd w:val="clear" w:color="auto" w:fill="EAF9FF"/>
            <w:vAlign w:val="top"/>
          </w:tcPr>
          <w:p w14:paraId="698AE7E8">
            <w:pPr>
              <w:pStyle w:val="8"/>
              <w:spacing w:before="78" w:line="238" w:lineRule="exact"/>
              <w:ind w:left="553"/>
            </w:pPr>
            <w:r>
              <w:rPr>
                <w:color w:val="5F6A72"/>
                <w:spacing w:val="-7"/>
                <w:position w:val="1"/>
              </w:rPr>
              <w:t>14.3</w:t>
            </w:r>
          </w:p>
        </w:tc>
        <w:tc>
          <w:tcPr>
            <w:tcW w:w="938" w:type="dxa"/>
            <w:tcBorders>
              <w:left w:val="nil"/>
              <w:right w:val="nil"/>
            </w:tcBorders>
            <w:shd w:val="clear" w:color="auto" w:fill="EAF9FF"/>
            <w:vAlign w:val="top"/>
          </w:tcPr>
          <w:p w14:paraId="29B2F76F">
            <w:pPr>
              <w:pStyle w:val="8"/>
              <w:spacing w:before="78" w:line="238" w:lineRule="exact"/>
              <w:ind w:left="642"/>
            </w:pPr>
            <w:r>
              <w:rPr>
                <w:color w:val="5F6A72"/>
                <w:spacing w:val="-6"/>
                <w:position w:val="1"/>
              </w:rPr>
              <w:t>0.0</w:t>
            </w:r>
          </w:p>
        </w:tc>
        <w:tc>
          <w:tcPr>
            <w:tcW w:w="987" w:type="dxa"/>
            <w:tcBorders>
              <w:left w:val="nil"/>
              <w:right w:val="nil"/>
            </w:tcBorders>
            <w:shd w:val="clear" w:color="auto" w:fill="EAF9FF"/>
            <w:vAlign w:val="top"/>
          </w:tcPr>
          <w:p w14:paraId="7F7F9545">
            <w:pPr>
              <w:pStyle w:val="8"/>
              <w:spacing w:before="78" w:line="238" w:lineRule="exact"/>
              <w:ind w:left="599"/>
            </w:pPr>
            <w:r>
              <w:rPr>
                <w:color w:val="5F6A72"/>
                <w:spacing w:val="-7"/>
                <w:position w:val="1"/>
              </w:rPr>
              <w:t>50.0</w:t>
            </w:r>
          </w:p>
        </w:tc>
        <w:tc>
          <w:tcPr>
            <w:tcW w:w="987" w:type="dxa"/>
            <w:tcBorders>
              <w:left w:val="nil"/>
              <w:right w:val="nil"/>
            </w:tcBorders>
            <w:shd w:val="clear" w:color="auto" w:fill="EAF9FF"/>
            <w:vAlign w:val="top"/>
          </w:tcPr>
          <w:p w14:paraId="1EACDDFB">
            <w:pPr>
              <w:pStyle w:val="8"/>
              <w:spacing w:before="78" w:line="238" w:lineRule="exact"/>
              <w:ind w:left="691"/>
            </w:pPr>
            <w:r>
              <w:rPr>
                <w:color w:val="5F6A72"/>
                <w:spacing w:val="-6"/>
                <w:position w:val="1"/>
              </w:rPr>
              <w:t>0.0</w:t>
            </w:r>
          </w:p>
        </w:tc>
        <w:tc>
          <w:tcPr>
            <w:tcW w:w="938" w:type="dxa"/>
            <w:tcBorders>
              <w:left w:val="nil"/>
              <w:right w:val="nil"/>
            </w:tcBorders>
            <w:shd w:val="clear" w:color="auto" w:fill="EAF9FF"/>
            <w:vAlign w:val="top"/>
          </w:tcPr>
          <w:p w14:paraId="636B301D">
            <w:pPr>
              <w:pStyle w:val="8"/>
              <w:spacing w:before="78" w:line="238" w:lineRule="exact"/>
              <w:ind w:left="642"/>
            </w:pPr>
            <w:r>
              <w:rPr>
                <w:color w:val="5F6A72"/>
                <w:spacing w:val="-6"/>
                <w:position w:val="1"/>
              </w:rPr>
              <w:t>0.0</w:t>
            </w:r>
          </w:p>
        </w:tc>
      </w:tr>
      <w:tr w14:paraId="0BBD3415">
        <w:tblPrEx>
          <w:tblBorders>
            <w:top w:val="single" w:color="D7DADB" w:sz="4" w:space="0"/>
            <w:left w:val="single" w:color="D7DADB" w:sz="4" w:space="0"/>
            <w:bottom w:val="single" w:color="D7DADB" w:sz="4" w:space="0"/>
            <w:right w:val="single" w:color="D7DADB" w:sz="4" w:space="0"/>
            <w:insideH w:val="single" w:color="D7DADB" w:sz="4" w:space="0"/>
            <w:insideV w:val="single" w:color="D7DADB" w:sz="4" w:space="0"/>
          </w:tblBorders>
          <w:tblCellMar>
            <w:top w:w="0" w:type="dxa"/>
            <w:left w:w="0" w:type="dxa"/>
            <w:bottom w:w="0" w:type="dxa"/>
            <w:right w:w="0" w:type="dxa"/>
          </w:tblCellMar>
        </w:tblPrEx>
        <w:trPr>
          <w:trHeight w:val="348" w:hRule="atLeast"/>
        </w:trPr>
        <w:tc>
          <w:tcPr>
            <w:tcW w:w="4466" w:type="dxa"/>
            <w:tcBorders>
              <w:left w:val="nil"/>
              <w:bottom w:val="single" w:color="333333" w:sz="4" w:space="0"/>
              <w:right w:val="single" w:color="D7DADB" w:sz="6" w:space="0"/>
            </w:tcBorders>
            <w:vAlign w:val="top"/>
          </w:tcPr>
          <w:p w14:paraId="69C99470">
            <w:pPr>
              <w:pStyle w:val="8"/>
              <w:spacing w:before="79" w:line="234" w:lineRule="auto"/>
              <w:ind w:left="18"/>
            </w:pPr>
            <w:r>
              <w:rPr>
                <w:color w:val="2A8ABF"/>
                <w:spacing w:val="-8"/>
              </w:rPr>
              <w:t>LNG net exports,</w:t>
            </w:r>
            <w:r>
              <w:rPr>
                <w:color w:val="2A8ABF"/>
                <w:spacing w:val="-7"/>
              </w:rPr>
              <w:t xml:space="preserve"> </w:t>
            </w:r>
            <w:r>
              <w:rPr>
                <w:color w:val="2A8ABF"/>
                <w:spacing w:val="-8"/>
              </w:rPr>
              <w:t>% of</w:t>
            </w:r>
            <w:r>
              <w:rPr>
                <w:color w:val="2A8ABF"/>
                <w:spacing w:val="-20"/>
              </w:rPr>
              <w:t xml:space="preserve"> </w:t>
            </w:r>
            <w:r>
              <w:rPr>
                <w:color w:val="2A8ABF"/>
                <w:spacing w:val="-8"/>
              </w:rPr>
              <w:t>total</w:t>
            </w:r>
            <w:r>
              <w:rPr>
                <w:color w:val="2A8ABF"/>
                <w:spacing w:val="-10"/>
              </w:rPr>
              <w:t xml:space="preserve"> </w:t>
            </w:r>
            <w:r>
              <w:rPr>
                <w:color w:val="2A8ABF"/>
                <w:spacing w:val="-8"/>
              </w:rPr>
              <w:t>gas</w:t>
            </w:r>
            <w:r>
              <w:rPr>
                <w:color w:val="2A8ABF"/>
                <w:spacing w:val="-10"/>
              </w:rPr>
              <w:t xml:space="preserve"> </w:t>
            </w:r>
            <w:r>
              <w:rPr>
                <w:color w:val="2A8ABF"/>
                <w:spacing w:val="-8"/>
              </w:rPr>
              <w:t>exports</w:t>
            </w:r>
          </w:p>
        </w:tc>
        <w:tc>
          <w:tcPr>
            <w:tcW w:w="950" w:type="dxa"/>
            <w:tcBorders>
              <w:left w:val="single" w:color="D7DADB" w:sz="6" w:space="0"/>
              <w:bottom w:val="single" w:color="333333" w:sz="4" w:space="0"/>
              <w:right w:val="nil"/>
            </w:tcBorders>
            <w:vAlign w:val="top"/>
          </w:tcPr>
          <w:p w14:paraId="544C18FE">
            <w:pPr>
              <w:pStyle w:val="8"/>
              <w:spacing w:before="80" w:line="237" w:lineRule="exact"/>
              <w:ind w:left="554"/>
            </w:pPr>
            <w:r>
              <w:rPr>
                <w:color w:val="5F6A72"/>
                <w:spacing w:val="-7"/>
                <w:position w:val="1"/>
              </w:rPr>
              <w:t>89.4</w:t>
            </w:r>
          </w:p>
        </w:tc>
        <w:tc>
          <w:tcPr>
            <w:tcW w:w="938" w:type="dxa"/>
            <w:tcBorders>
              <w:left w:val="nil"/>
              <w:bottom w:val="single" w:color="333333" w:sz="4" w:space="0"/>
              <w:right w:val="nil"/>
            </w:tcBorders>
            <w:vAlign w:val="top"/>
          </w:tcPr>
          <w:p w14:paraId="5114E776">
            <w:pPr>
              <w:pStyle w:val="8"/>
              <w:spacing w:before="80" w:line="237" w:lineRule="exact"/>
              <w:ind w:left="550"/>
            </w:pPr>
            <w:r>
              <w:rPr>
                <w:color w:val="5F6A72"/>
                <w:spacing w:val="-7"/>
                <w:position w:val="1"/>
              </w:rPr>
              <w:t>90.7</w:t>
            </w:r>
          </w:p>
        </w:tc>
        <w:tc>
          <w:tcPr>
            <w:tcW w:w="938" w:type="dxa"/>
            <w:tcBorders>
              <w:left w:val="nil"/>
              <w:bottom w:val="single" w:color="333333" w:sz="4" w:space="0"/>
              <w:right w:val="nil"/>
            </w:tcBorders>
            <w:vAlign w:val="top"/>
          </w:tcPr>
          <w:p w14:paraId="2819042F">
            <w:pPr>
              <w:pStyle w:val="8"/>
              <w:spacing w:before="80" w:line="237" w:lineRule="exact"/>
              <w:ind w:left="550"/>
            </w:pPr>
            <w:r>
              <w:rPr>
                <w:color w:val="5F6A72"/>
                <w:spacing w:val="-7"/>
                <w:position w:val="1"/>
              </w:rPr>
              <w:t>81.0</w:t>
            </w:r>
          </w:p>
        </w:tc>
        <w:tc>
          <w:tcPr>
            <w:tcW w:w="987" w:type="dxa"/>
            <w:tcBorders>
              <w:left w:val="nil"/>
              <w:bottom w:val="single" w:color="333333" w:sz="4" w:space="0"/>
              <w:right w:val="nil"/>
            </w:tcBorders>
            <w:vAlign w:val="top"/>
          </w:tcPr>
          <w:p w14:paraId="0B6F74B5">
            <w:pPr>
              <w:pStyle w:val="8"/>
              <w:spacing w:before="80" w:line="237" w:lineRule="exact"/>
              <w:ind w:left="505"/>
            </w:pPr>
            <w:r>
              <w:rPr>
                <w:color w:val="5F6A72"/>
                <w:spacing w:val="-7"/>
                <w:position w:val="1"/>
              </w:rPr>
              <w:t>109.4</w:t>
            </w:r>
          </w:p>
        </w:tc>
        <w:tc>
          <w:tcPr>
            <w:tcW w:w="987" w:type="dxa"/>
            <w:tcBorders>
              <w:left w:val="nil"/>
              <w:bottom w:val="single" w:color="333333" w:sz="4" w:space="0"/>
              <w:right w:val="nil"/>
            </w:tcBorders>
            <w:vAlign w:val="top"/>
          </w:tcPr>
          <w:p w14:paraId="220B16FA">
            <w:pPr>
              <w:pStyle w:val="8"/>
              <w:spacing w:before="80" w:line="237" w:lineRule="exact"/>
              <w:ind w:left="599"/>
            </w:pPr>
            <w:r>
              <w:rPr>
                <w:color w:val="5F6A72"/>
                <w:spacing w:val="-7"/>
                <w:position w:val="1"/>
              </w:rPr>
              <w:t>98.9</w:t>
            </w:r>
          </w:p>
        </w:tc>
        <w:tc>
          <w:tcPr>
            <w:tcW w:w="938" w:type="dxa"/>
            <w:tcBorders>
              <w:left w:val="nil"/>
              <w:bottom w:val="single" w:color="333333" w:sz="4" w:space="0"/>
              <w:right w:val="nil"/>
            </w:tcBorders>
            <w:vAlign w:val="top"/>
          </w:tcPr>
          <w:p w14:paraId="1E553E47">
            <w:pPr>
              <w:pStyle w:val="8"/>
              <w:spacing w:before="80" w:line="237" w:lineRule="exact"/>
              <w:ind w:left="550"/>
            </w:pPr>
            <w:r>
              <w:rPr>
                <w:color w:val="5F6A72"/>
                <w:spacing w:val="-7"/>
                <w:position w:val="1"/>
              </w:rPr>
              <w:t>89.9</w:t>
            </w:r>
          </w:p>
        </w:tc>
      </w:tr>
    </w:tbl>
    <w:p w14:paraId="54D24E34">
      <w:pPr>
        <w:pStyle w:val="4"/>
        <w:spacing w:line="175" w:lineRule="exact"/>
        <w:ind w:left="373"/>
        <w:rPr>
          <w:sz w:val="15"/>
          <w:szCs w:val="15"/>
        </w:rPr>
      </w:pPr>
      <w:r>
        <w:rPr>
          <w:i/>
          <w:iCs/>
          <w:color w:val="333333"/>
          <w:spacing w:val="-6"/>
          <w:w w:val="93"/>
          <w:position w:val="1"/>
          <w:sz w:val="15"/>
          <w:szCs w:val="15"/>
        </w:rPr>
        <w:t>f</w:t>
      </w:r>
      <w:r>
        <w:rPr>
          <w:i/>
          <w:iCs/>
          <w:color w:val="333333"/>
          <w:spacing w:val="-17"/>
          <w:position w:val="1"/>
          <w:sz w:val="15"/>
          <w:szCs w:val="15"/>
        </w:rPr>
        <w:t xml:space="preserve"> </w:t>
      </w:r>
      <w:r>
        <w:rPr>
          <w:i/>
          <w:iCs/>
          <w:color w:val="333333"/>
          <w:spacing w:val="-6"/>
          <w:w w:val="93"/>
          <w:position w:val="1"/>
          <w:sz w:val="15"/>
          <w:szCs w:val="15"/>
        </w:rPr>
        <w:t>= BMI</w:t>
      </w:r>
      <w:r>
        <w:rPr>
          <w:i/>
          <w:iCs/>
          <w:color w:val="333333"/>
          <w:spacing w:val="-8"/>
          <w:position w:val="1"/>
          <w:sz w:val="15"/>
          <w:szCs w:val="15"/>
        </w:rPr>
        <w:t xml:space="preserve"> </w:t>
      </w:r>
      <w:r>
        <w:rPr>
          <w:i/>
          <w:iCs/>
          <w:color w:val="333333"/>
          <w:spacing w:val="-6"/>
          <w:w w:val="93"/>
          <w:position w:val="1"/>
          <w:sz w:val="15"/>
          <w:szCs w:val="15"/>
        </w:rPr>
        <w:t>forecast. Source: EIA, national</w:t>
      </w:r>
      <w:r>
        <w:rPr>
          <w:i/>
          <w:iCs/>
          <w:color w:val="333333"/>
          <w:spacing w:val="-14"/>
          <w:position w:val="1"/>
          <w:sz w:val="15"/>
          <w:szCs w:val="15"/>
        </w:rPr>
        <w:t xml:space="preserve"> </w:t>
      </w:r>
      <w:r>
        <w:rPr>
          <w:i/>
          <w:iCs/>
          <w:color w:val="333333"/>
          <w:spacing w:val="-6"/>
          <w:w w:val="93"/>
          <w:position w:val="1"/>
          <w:sz w:val="15"/>
          <w:szCs w:val="15"/>
        </w:rPr>
        <w:t>sources, BMI</w:t>
      </w:r>
    </w:p>
    <w:p w14:paraId="6DF6BA51">
      <w:pPr>
        <w:spacing w:line="175" w:lineRule="exact"/>
        <w:rPr>
          <w:sz w:val="15"/>
          <w:szCs w:val="15"/>
        </w:rPr>
        <w:sectPr>
          <w:footerReference r:id="rId47" w:type="default"/>
          <w:pgSz w:w="11906" w:h="16838"/>
          <w:pgMar w:top="400" w:right="490" w:bottom="883" w:left="490" w:header="0" w:footer="0" w:gutter="0"/>
          <w:cols w:space="720" w:num="1"/>
        </w:sectPr>
      </w:pPr>
    </w:p>
    <w:p w14:paraId="0FD09127">
      <w:pPr>
        <w:pStyle w:val="4"/>
        <w:spacing w:before="73" w:line="241" w:lineRule="auto"/>
        <w:ind w:left="7372"/>
        <w:rPr>
          <w:sz w:val="20"/>
          <w:szCs w:val="20"/>
        </w:rPr>
      </w:pPr>
      <w:r>
        <w:drawing>
          <wp:anchor distT="0" distB="0" distL="0" distR="0" simplePos="0" relativeHeight="25184768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48704" behindDoc="0" locked="0" layoutInCell="0" allowOverlap="1">
            <wp:simplePos x="0" y="0"/>
            <wp:positionH relativeFrom="page">
              <wp:posOffset>311150</wp:posOffset>
            </wp:positionH>
            <wp:positionV relativeFrom="page">
              <wp:posOffset>0</wp:posOffset>
            </wp:positionV>
            <wp:extent cx="19050" cy="814070"/>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73F2D5C">
      <w:pPr>
        <w:pStyle w:val="4"/>
        <w:spacing w:line="278" w:lineRule="auto"/>
      </w:pPr>
    </w:p>
    <w:p w14:paraId="6283A73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DD003C8">
      <w:pPr>
        <w:pStyle w:val="4"/>
        <w:spacing w:line="374" w:lineRule="auto"/>
      </w:pPr>
    </w:p>
    <w:p w14:paraId="6169FEA0">
      <w:pPr>
        <w:pStyle w:val="4"/>
        <w:spacing w:before="126" w:line="234" w:lineRule="auto"/>
        <w:ind w:left="395"/>
        <w:outlineLvl w:val="0"/>
        <w:rPr>
          <w:sz w:val="44"/>
          <w:szCs w:val="44"/>
        </w:rPr>
      </w:pPr>
      <w:bookmarkStart w:id="19" w:name="bookmark37"/>
      <w:bookmarkEnd w:id="19"/>
      <w:bookmarkStart w:id="20" w:name="bookmark15"/>
      <w:bookmarkEnd w:id="20"/>
      <w:bookmarkStart w:id="21" w:name="bookmark14"/>
      <w:bookmarkEnd w:id="21"/>
      <w:r>
        <w:rPr>
          <w:color w:val="174174"/>
          <w:spacing w:val="-19"/>
          <w:sz w:val="44"/>
          <w:szCs w:val="44"/>
        </w:rPr>
        <w:t>Industry Risk/Reward Index</w:t>
      </w:r>
    </w:p>
    <w:p w14:paraId="4C1CCAAC">
      <w:pPr>
        <w:pStyle w:val="4"/>
        <w:spacing w:before="145" w:line="236" w:lineRule="auto"/>
        <w:ind w:left="384"/>
        <w:outlineLvl w:val="0"/>
        <w:rPr>
          <w:sz w:val="30"/>
          <w:szCs w:val="30"/>
        </w:rPr>
      </w:pPr>
      <w:bookmarkStart w:id="22" w:name="bookmark38"/>
      <w:bookmarkEnd w:id="22"/>
      <w:r>
        <w:rPr>
          <w:color w:val="2A8ABF"/>
          <w:spacing w:val="-14"/>
          <w:sz w:val="30"/>
          <w:szCs w:val="30"/>
        </w:rPr>
        <w:t>LatinAmerica Upstream Oil &amp; Gas Risk/Reward Index</w:t>
      </w:r>
    </w:p>
    <w:p w14:paraId="33D1ED9C">
      <w:pPr>
        <w:pStyle w:val="4"/>
        <w:spacing w:line="262" w:lineRule="auto"/>
      </w:pPr>
    </w:p>
    <w:p w14:paraId="76176FE2">
      <w:pPr>
        <w:pStyle w:val="4"/>
        <w:spacing w:before="58" w:line="273" w:lineRule="auto"/>
        <w:ind w:left="373" w:right="523" w:firstLine="12"/>
        <w:rPr>
          <w:sz w:val="20"/>
          <w:szCs w:val="20"/>
        </w:rPr>
      </w:pPr>
      <w:r>
        <w:rPr>
          <w:b/>
          <w:bCs/>
          <w:i/>
          <w:iCs/>
          <w:color w:val="57585A"/>
          <w:spacing w:val="-9"/>
          <w:w w:val="97"/>
          <w:sz w:val="20"/>
          <w:szCs w:val="20"/>
        </w:rPr>
        <w:t>Key View</w:t>
      </w:r>
      <w:r>
        <w:rPr>
          <w:b/>
          <w:bCs/>
          <w:color w:val="57585A"/>
          <w:spacing w:val="-9"/>
          <w:w w:val="97"/>
          <w:sz w:val="20"/>
          <w:szCs w:val="20"/>
        </w:rPr>
        <w:t xml:space="preserve">: </w:t>
      </w:r>
      <w:r>
        <w:rPr>
          <w:i/>
          <w:iCs/>
          <w:color w:val="57585A"/>
          <w:spacing w:val="-9"/>
          <w:w w:val="97"/>
          <w:sz w:val="20"/>
          <w:szCs w:val="20"/>
        </w:rPr>
        <w:t>Latin</w:t>
      </w:r>
      <w:r>
        <w:rPr>
          <w:i/>
          <w:iCs/>
          <w:color w:val="57585A"/>
          <w:spacing w:val="-8"/>
          <w:sz w:val="20"/>
          <w:szCs w:val="20"/>
        </w:rPr>
        <w:t xml:space="preserve"> </w:t>
      </w:r>
      <w:r>
        <w:rPr>
          <w:i/>
          <w:iCs/>
          <w:color w:val="57585A"/>
          <w:spacing w:val="-9"/>
          <w:w w:val="97"/>
          <w:sz w:val="20"/>
          <w:szCs w:val="20"/>
        </w:rPr>
        <w:t>America is home to some of</w:t>
      </w:r>
      <w:r>
        <w:rPr>
          <w:i/>
          <w:iCs/>
          <w:color w:val="57585A"/>
          <w:spacing w:val="-32"/>
          <w:sz w:val="20"/>
          <w:szCs w:val="20"/>
        </w:rPr>
        <w:t xml:space="preserve"> </w:t>
      </w:r>
      <w:r>
        <w:rPr>
          <w:i/>
          <w:iCs/>
          <w:color w:val="57585A"/>
          <w:spacing w:val="-9"/>
          <w:w w:val="97"/>
          <w:sz w:val="20"/>
          <w:szCs w:val="20"/>
        </w:rPr>
        <w:t>the top-performing</w:t>
      </w:r>
      <w:r>
        <w:rPr>
          <w:i/>
          <w:iCs/>
          <w:color w:val="57585A"/>
          <w:spacing w:val="-16"/>
          <w:sz w:val="20"/>
          <w:szCs w:val="20"/>
        </w:rPr>
        <w:t xml:space="preserve"> </w:t>
      </w:r>
      <w:r>
        <w:rPr>
          <w:i/>
          <w:iCs/>
          <w:color w:val="57585A"/>
          <w:spacing w:val="-9"/>
          <w:w w:val="97"/>
          <w:sz w:val="20"/>
          <w:szCs w:val="20"/>
        </w:rPr>
        <w:t>markets in our Upstream</w:t>
      </w:r>
      <w:r>
        <w:rPr>
          <w:i/>
          <w:iCs/>
          <w:color w:val="57585A"/>
          <w:spacing w:val="6"/>
          <w:sz w:val="20"/>
          <w:szCs w:val="20"/>
        </w:rPr>
        <w:t xml:space="preserve"> </w:t>
      </w:r>
      <w:r>
        <w:rPr>
          <w:i/>
          <w:iCs/>
          <w:color w:val="57585A"/>
          <w:spacing w:val="-9"/>
          <w:w w:val="97"/>
          <w:sz w:val="20"/>
          <w:szCs w:val="20"/>
        </w:rPr>
        <w:t>Oil</w:t>
      </w:r>
      <w:r>
        <w:rPr>
          <w:i/>
          <w:iCs/>
          <w:color w:val="57585A"/>
          <w:spacing w:val="-17"/>
          <w:sz w:val="20"/>
          <w:szCs w:val="20"/>
        </w:rPr>
        <w:t xml:space="preserve"> </w:t>
      </w:r>
      <w:r>
        <w:rPr>
          <w:i/>
          <w:iCs/>
          <w:color w:val="57585A"/>
          <w:spacing w:val="-9"/>
          <w:w w:val="97"/>
          <w:sz w:val="20"/>
          <w:szCs w:val="20"/>
        </w:rPr>
        <w:t>&amp; Gas Risk/Reward Index</w:t>
      </w:r>
      <w:r>
        <w:rPr>
          <w:i/>
          <w:iCs/>
          <w:color w:val="57585A"/>
          <w:spacing w:val="-17"/>
          <w:sz w:val="20"/>
          <w:szCs w:val="20"/>
        </w:rPr>
        <w:t xml:space="preserve"> </w:t>
      </w:r>
      <w:r>
        <w:rPr>
          <w:i/>
          <w:iCs/>
          <w:color w:val="57585A"/>
          <w:spacing w:val="-9"/>
          <w:w w:val="97"/>
          <w:sz w:val="20"/>
          <w:szCs w:val="20"/>
        </w:rPr>
        <w:t>due to the</w:t>
      </w:r>
      <w:r>
        <w:rPr>
          <w:i/>
          <w:iCs/>
          <w:color w:val="57585A"/>
          <w:sz w:val="20"/>
          <w:szCs w:val="20"/>
        </w:rPr>
        <w:t xml:space="preserve"> </w:t>
      </w:r>
      <w:r>
        <w:rPr>
          <w:i/>
          <w:iCs/>
          <w:color w:val="57585A"/>
          <w:spacing w:val="-4"/>
          <w:w w:val="91"/>
          <w:sz w:val="20"/>
          <w:szCs w:val="20"/>
        </w:rPr>
        <w:t>region's substantial</w:t>
      </w:r>
      <w:r>
        <w:rPr>
          <w:i/>
          <w:iCs/>
          <w:color w:val="57585A"/>
          <w:spacing w:val="-11"/>
          <w:sz w:val="20"/>
          <w:szCs w:val="20"/>
        </w:rPr>
        <w:t xml:space="preserve"> </w:t>
      </w:r>
      <w:r>
        <w:rPr>
          <w:i/>
          <w:iCs/>
          <w:color w:val="57585A"/>
          <w:spacing w:val="-4"/>
          <w:w w:val="91"/>
          <w:sz w:val="20"/>
          <w:szCs w:val="20"/>
        </w:rPr>
        <w:t>untapped</w:t>
      </w:r>
      <w:r>
        <w:rPr>
          <w:i/>
          <w:iCs/>
          <w:color w:val="57585A"/>
          <w:spacing w:val="-18"/>
          <w:sz w:val="20"/>
          <w:szCs w:val="20"/>
        </w:rPr>
        <w:t xml:space="preserve"> </w:t>
      </w:r>
      <w:r>
        <w:rPr>
          <w:i/>
          <w:iCs/>
          <w:color w:val="57585A"/>
          <w:spacing w:val="-4"/>
          <w:w w:val="91"/>
          <w:sz w:val="20"/>
          <w:szCs w:val="20"/>
        </w:rPr>
        <w:t>reserves,</w:t>
      </w:r>
      <w:r>
        <w:rPr>
          <w:i/>
          <w:iCs/>
          <w:color w:val="57585A"/>
          <w:spacing w:val="-10"/>
          <w:sz w:val="20"/>
          <w:szCs w:val="20"/>
        </w:rPr>
        <w:t xml:space="preserve"> </w:t>
      </w:r>
      <w:r>
        <w:rPr>
          <w:i/>
          <w:iCs/>
          <w:color w:val="57585A"/>
          <w:spacing w:val="-4"/>
          <w:w w:val="91"/>
          <w:sz w:val="20"/>
          <w:szCs w:val="20"/>
        </w:rPr>
        <w:t>particularly</w:t>
      </w:r>
      <w:r>
        <w:rPr>
          <w:i/>
          <w:iCs/>
          <w:color w:val="57585A"/>
          <w:spacing w:val="-19"/>
          <w:sz w:val="20"/>
          <w:szCs w:val="20"/>
        </w:rPr>
        <w:t xml:space="preserve"> </w:t>
      </w:r>
      <w:r>
        <w:rPr>
          <w:i/>
          <w:iCs/>
          <w:color w:val="57585A"/>
          <w:spacing w:val="-4"/>
          <w:w w:val="91"/>
          <w:sz w:val="20"/>
          <w:szCs w:val="20"/>
        </w:rPr>
        <w:t>offshore.</w:t>
      </w:r>
      <w:r>
        <w:rPr>
          <w:i/>
          <w:iCs/>
          <w:color w:val="57585A"/>
          <w:spacing w:val="10"/>
          <w:sz w:val="20"/>
          <w:szCs w:val="20"/>
        </w:rPr>
        <w:t xml:space="preserve"> </w:t>
      </w:r>
      <w:r>
        <w:rPr>
          <w:i/>
          <w:iCs/>
          <w:color w:val="57585A"/>
          <w:spacing w:val="-4"/>
          <w:w w:val="91"/>
          <w:sz w:val="20"/>
          <w:szCs w:val="20"/>
        </w:rPr>
        <w:t>The region's</w:t>
      </w:r>
      <w:r>
        <w:rPr>
          <w:i/>
          <w:iCs/>
          <w:color w:val="57585A"/>
          <w:spacing w:val="-15"/>
          <w:sz w:val="20"/>
          <w:szCs w:val="20"/>
        </w:rPr>
        <w:t xml:space="preserve"> </w:t>
      </w:r>
      <w:r>
        <w:rPr>
          <w:i/>
          <w:iCs/>
          <w:color w:val="57585A"/>
          <w:spacing w:val="-4"/>
          <w:w w:val="91"/>
          <w:sz w:val="20"/>
          <w:szCs w:val="20"/>
        </w:rPr>
        <w:t>score exceeds</w:t>
      </w:r>
      <w:r>
        <w:rPr>
          <w:i/>
          <w:iCs/>
          <w:color w:val="57585A"/>
          <w:spacing w:val="-20"/>
          <w:sz w:val="20"/>
          <w:szCs w:val="20"/>
        </w:rPr>
        <w:t xml:space="preserve"> </w:t>
      </w:r>
      <w:r>
        <w:rPr>
          <w:i/>
          <w:iCs/>
          <w:color w:val="57585A"/>
          <w:spacing w:val="-4"/>
          <w:w w:val="91"/>
          <w:sz w:val="20"/>
          <w:szCs w:val="20"/>
        </w:rPr>
        <w:t>global</w:t>
      </w:r>
      <w:r>
        <w:rPr>
          <w:i/>
          <w:iCs/>
          <w:color w:val="57585A"/>
          <w:spacing w:val="-18"/>
          <w:sz w:val="20"/>
          <w:szCs w:val="20"/>
        </w:rPr>
        <w:t xml:space="preserve"> </w:t>
      </w:r>
      <w:r>
        <w:rPr>
          <w:i/>
          <w:iCs/>
          <w:color w:val="57585A"/>
          <w:spacing w:val="-4"/>
          <w:w w:val="91"/>
          <w:sz w:val="20"/>
          <w:szCs w:val="20"/>
        </w:rPr>
        <w:t>average in Indu</w:t>
      </w:r>
      <w:r>
        <w:rPr>
          <w:i/>
          <w:iCs/>
          <w:color w:val="57585A"/>
          <w:spacing w:val="-5"/>
          <w:w w:val="91"/>
          <w:sz w:val="20"/>
          <w:szCs w:val="20"/>
        </w:rPr>
        <w:t>stry</w:t>
      </w:r>
      <w:r>
        <w:rPr>
          <w:i/>
          <w:iCs/>
          <w:color w:val="57585A"/>
          <w:spacing w:val="-21"/>
          <w:sz w:val="20"/>
          <w:szCs w:val="20"/>
        </w:rPr>
        <w:t xml:space="preserve"> </w:t>
      </w:r>
      <w:r>
        <w:rPr>
          <w:i/>
          <w:iCs/>
          <w:color w:val="57585A"/>
          <w:spacing w:val="-5"/>
          <w:w w:val="91"/>
          <w:sz w:val="20"/>
          <w:szCs w:val="20"/>
        </w:rPr>
        <w:t>Rewards;</w:t>
      </w:r>
    </w:p>
    <w:p w14:paraId="2538F897">
      <w:pPr>
        <w:pStyle w:val="4"/>
        <w:spacing w:before="37" w:line="235" w:lineRule="auto"/>
        <w:ind w:left="373"/>
        <w:rPr>
          <w:sz w:val="20"/>
          <w:szCs w:val="20"/>
        </w:rPr>
      </w:pPr>
      <w:r>
        <w:rPr>
          <w:i/>
          <w:iCs/>
          <w:color w:val="57585A"/>
          <w:spacing w:val="-6"/>
          <w:w w:val="96"/>
          <w:sz w:val="20"/>
          <w:szCs w:val="20"/>
        </w:rPr>
        <w:t>however, it underperforms in al</w:t>
      </w:r>
      <w:r>
        <w:rPr>
          <w:i/>
          <w:iCs/>
          <w:color w:val="57585A"/>
          <w:spacing w:val="-7"/>
          <w:w w:val="96"/>
          <w:sz w:val="20"/>
          <w:szCs w:val="20"/>
        </w:rPr>
        <w:t>l</w:t>
      </w:r>
      <w:r>
        <w:rPr>
          <w:i/>
          <w:iCs/>
          <w:color w:val="57585A"/>
          <w:spacing w:val="-13"/>
          <w:sz w:val="20"/>
          <w:szCs w:val="20"/>
        </w:rPr>
        <w:t xml:space="preserve"> </w:t>
      </w:r>
      <w:r>
        <w:rPr>
          <w:i/>
          <w:iCs/>
          <w:color w:val="57585A"/>
          <w:spacing w:val="-7"/>
          <w:w w:val="96"/>
          <w:sz w:val="20"/>
          <w:szCs w:val="20"/>
        </w:rPr>
        <w:t>other</w:t>
      </w:r>
      <w:r>
        <w:rPr>
          <w:i/>
          <w:iCs/>
          <w:color w:val="57585A"/>
          <w:spacing w:val="-23"/>
          <w:sz w:val="20"/>
          <w:szCs w:val="20"/>
        </w:rPr>
        <w:t xml:space="preserve"> </w:t>
      </w:r>
      <w:r>
        <w:rPr>
          <w:i/>
          <w:iCs/>
          <w:color w:val="57585A"/>
          <w:spacing w:val="-7"/>
          <w:w w:val="96"/>
          <w:sz w:val="20"/>
          <w:szCs w:val="20"/>
        </w:rPr>
        <w:t>index</w:t>
      </w:r>
      <w:r>
        <w:rPr>
          <w:i/>
          <w:iCs/>
          <w:color w:val="57585A"/>
          <w:spacing w:val="-17"/>
          <w:sz w:val="20"/>
          <w:szCs w:val="20"/>
        </w:rPr>
        <w:t xml:space="preserve"> </w:t>
      </w:r>
      <w:r>
        <w:rPr>
          <w:i/>
          <w:iCs/>
          <w:color w:val="57585A"/>
          <w:spacing w:val="-7"/>
          <w:w w:val="96"/>
          <w:sz w:val="20"/>
          <w:szCs w:val="20"/>
        </w:rPr>
        <w:t>components.</w:t>
      </w:r>
    </w:p>
    <w:p w14:paraId="52DC9EE3">
      <w:pPr>
        <w:pStyle w:val="4"/>
        <w:spacing w:line="304" w:lineRule="auto"/>
      </w:pPr>
    </w:p>
    <w:p w14:paraId="15105706">
      <w:pPr>
        <w:pStyle w:val="4"/>
        <w:spacing w:line="304" w:lineRule="auto"/>
      </w:pPr>
    </w:p>
    <w:p w14:paraId="7FA38315">
      <w:pPr>
        <w:pStyle w:val="4"/>
        <w:spacing w:before="69" w:line="234" w:lineRule="auto"/>
        <w:ind w:left="3798"/>
        <w:rPr>
          <w:sz w:val="24"/>
          <w:szCs w:val="24"/>
        </w:rPr>
      </w:pPr>
      <w:r>
        <w:rPr>
          <w:color w:val="174174"/>
          <w:spacing w:val="-13"/>
          <w:sz w:val="24"/>
          <w:szCs w:val="24"/>
        </w:rPr>
        <w:t>Brazil Ranks Highest In The</w:t>
      </w:r>
      <w:r>
        <w:rPr>
          <w:color w:val="174174"/>
          <w:spacing w:val="-14"/>
          <w:sz w:val="24"/>
          <w:szCs w:val="24"/>
        </w:rPr>
        <w:t xml:space="preserve"> Region</w:t>
      </w:r>
    </w:p>
    <w:p w14:paraId="4354119F">
      <w:pPr>
        <w:pStyle w:val="4"/>
        <w:spacing w:before="32" w:line="234" w:lineRule="auto"/>
        <w:ind w:left="3347"/>
        <w:rPr>
          <w:sz w:val="20"/>
          <w:szCs w:val="20"/>
        </w:rPr>
      </w:pPr>
      <w:r>
        <w:rPr>
          <w:color w:val="333333"/>
          <w:spacing w:val="-13"/>
          <w:sz w:val="20"/>
          <w:szCs w:val="20"/>
        </w:rPr>
        <w:t>Latin</w:t>
      </w:r>
      <w:r>
        <w:rPr>
          <w:color w:val="333333"/>
          <w:spacing w:val="-10"/>
          <w:sz w:val="20"/>
          <w:szCs w:val="20"/>
        </w:rPr>
        <w:t xml:space="preserve"> </w:t>
      </w:r>
      <w:r>
        <w:rPr>
          <w:color w:val="333333"/>
          <w:spacing w:val="-13"/>
          <w:sz w:val="20"/>
          <w:szCs w:val="20"/>
        </w:rPr>
        <w:t>America - Upstream Risk/Reward Index Heat Map</w:t>
      </w:r>
    </w:p>
    <w:p w14:paraId="6181E8B2">
      <w:pPr>
        <w:spacing w:before="94" w:line="7125" w:lineRule="exact"/>
        <w:ind w:firstLine="2252"/>
      </w:pPr>
      <w:r>
        <w:rPr>
          <w:position w:val="-142"/>
        </w:rPr>
        <w:drawing>
          <wp:inline distT="0" distB="0" distL="0" distR="0">
            <wp:extent cx="4076700" cy="452374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31"/>
                    <a:stretch>
                      <a:fillRect/>
                    </a:stretch>
                  </pic:blipFill>
                  <pic:spPr>
                    <a:xfrm>
                      <a:off x="0" y="0"/>
                      <a:ext cx="4076700" cy="4524374"/>
                    </a:xfrm>
                    <a:prstGeom prst="rect">
                      <a:avLst/>
                    </a:prstGeom>
                  </pic:spPr>
                </pic:pic>
              </a:graphicData>
            </a:graphic>
          </wp:inline>
        </w:drawing>
      </w:r>
    </w:p>
    <w:p w14:paraId="726188C3">
      <w:pPr>
        <w:pStyle w:val="4"/>
        <w:spacing w:before="150" w:line="235" w:lineRule="auto"/>
        <w:ind w:left="2183"/>
        <w:rPr>
          <w:sz w:val="15"/>
          <w:szCs w:val="15"/>
        </w:rPr>
      </w:pPr>
      <w:r>
        <w:drawing>
          <wp:anchor distT="0" distB="0" distL="0" distR="0" simplePos="0" relativeHeight="251846656" behindDoc="1" locked="0" layoutInCell="1" allowOverlap="1">
            <wp:simplePos x="0" y="0"/>
            <wp:positionH relativeFrom="column">
              <wp:posOffset>1378585</wp:posOffset>
            </wp:positionH>
            <wp:positionV relativeFrom="paragraph">
              <wp:posOffset>87630</wp:posOffset>
            </wp:positionV>
            <wp:extent cx="4178935" cy="9525"/>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32"/>
                    <a:stretch>
                      <a:fillRect/>
                    </a:stretch>
                  </pic:blipFill>
                  <pic:spPr>
                    <a:xfrm>
                      <a:off x="0" y="0"/>
                      <a:ext cx="4178998" cy="9525"/>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2B7F2478">
      <w:pPr>
        <w:pStyle w:val="4"/>
        <w:spacing w:line="363" w:lineRule="auto"/>
      </w:pPr>
    </w:p>
    <w:p w14:paraId="0F77E813">
      <w:pPr>
        <w:pStyle w:val="4"/>
        <w:spacing w:before="57" w:line="241" w:lineRule="auto"/>
        <w:ind w:left="375"/>
        <w:rPr>
          <w:sz w:val="20"/>
          <w:szCs w:val="20"/>
        </w:rPr>
      </w:pPr>
      <w:r>
        <w:rPr>
          <w:b/>
          <w:bCs/>
          <w:color w:val="57585A"/>
          <w:spacing w:val="-9"/>
          <w:sz w:val="20"/>
          <w:szCs w:val="20"/>
        </w:rPr>
        <w:t>Main Regional Features</w:t>
      </w:r>
      <w:r>
        <w:rPr>
          <w:b/>
          <w:bCs/>
          <w:color w:val="57585A"/>
          <w:spacing w:val="2"/>
          <w:sz w:val="20"/>
          <w:szCs w:val="20"/>
        </w:rPr>
        <w:t xml:space="preserve"> </w:t>
      </w:r>
      <w:r>
        <w:rPr>
          <w:b/>
          <w:bCs/>
          <w:color w:val="57585A"/>
          <w:spacing w:val="-9"/>
          <w:sz w:val="20"/>
          <w:szCs w:val="20"/>
        </w:rPr>
        <w:t>And Latest Updates</w:t>
      </w:r>
    </w:p>
    <w:p w14:paraId="442506CB">
      <w:pPr>
        <w:pStyle w:val="4"/>
        <w:spacing w:line="280" w:lineRule="auto"/>
      </w:pPr>
    </w:p>
    <w:p w14:paraId="33FEF8B9">
      <w:pPr>
        <w:pStyle w:val="4"/>
        <w:spacing w:before="58" w:line="262" w:lineRule="auto"/>
        <w:ind w:left="612" w:right="647" w:hanging="255"/>
        <w:rPr>
          <w:sz w:val="20"/>
          <w:szCs w:val="20"/>
        </w:rPr>
      </w:pPr>
      <w:r>
        <w:rPr>
          <w:color w:val="33CCFF"/>
          <w:spacing w:val="-12"/>
          <w:sz w:val="20"/>
          <w:szCs w:val="20"/>
        </w:rPr>
        <w:t xml:space="preserve">•   </w:t>
      </w:r>
      <w:r>
        <w:rPr>
          <w:color w:val="57585A"/>
          <w:spacing w:val="-12"/>
          <w:sz w:val="20"/>
          <w:szCs w:val="20"/>
        </w:rPr>
        <w:t>Latin America achieves a score of</w:t>
      </w:r>
      <w:r>
        <w:rPr>
          <w:color w:val="57585A"/>
          <w:spacing w:val="-16"/>
          <w:sz w:val="20"/>
          <w:szCs w:val="20"/>
        </w:rPr>
        <w:t xml:space="preserve"> </w:t>
      </w:r>
      <w:r>
        <w:rPr>
          <w:color w:val="57585A"/>
          <w:spacing w:val="-12"/>
          <w:sz w:val="20"/>
          <w:szCs w:val="20"/>
        </w:rPr>
        <w:t>49.3 out of 1</w:t>
      </w:r>
      <w:r>
        <w:rPr>
          <w:color w:val="57585A"/>
          <w:spacing w:val="-13"/>
          <w:sz w:val="20"/>
          <w:szCs w:val="20"/>
        </w:rPr>
        <w:t>00 in our Upstream</w:t>
      </w:r>
      <w:r>
        <w:rPr>
          <w:color w:val="57585A"/>
          <w:spacing w:val="-6"/>
          <w:sz w:val="20"/>
          <w:szCs w:val="20"/>
        </w:rPr>
        <w:t xml:space="preserve"> </w:t>
      </w:r>
      <w:r>
        <w:rPr>
          <w:color w:val="57585A"/>
          <w:spacing w:val="-13"/>
          <w:sz w:val="20"/>
          <w:szCs w:val="20"/>
        </w:rPr>
        <w:t>Oil &amp;</w:t>
      </w:r>
      <w:r>
        <w:rPr>
          <w:color w:val="57585A"/>
          <w:spacing w:val="-6"/>
          <w:sz w:val="20"/>
          <w:szCs w:val="20"/>
        </w:rPr>
        <w:t xml:space="preserve"> </w:t>
      </w:r>
      <w:r>
        <w:rPr>
          <w:color w:val="57585A"/>
          <w:spacing w:val="-13"/>
          <w:sz w:val="20"/>
          <w:szCs w:val="20"/>
        </w:rPr>
        <w:t>Gas</w:t>
      </w:r>
      <w:r>
        <w:rPr>
          <w:color w:val="57585A"/>
          <w:spacing w:val="1"/>
          <w:sz w:val="20"/>
          <w:szCs w:val="20"/>
        </w:rPr>
        <w:t xml:space="preserve"> </w:t>
      </w:r>
      <w:r>
        <w:rPr>
          <w:color w:val="57585A"/>
          <w:spacing w:val="-13"/>
          <w:sz w:val="20"/>
          <w:szCs w:val="20"/>
        </w:rPr>
        <w:t>Risk/Reward</w:t>
      </w:r>
      <w:r>
        <w:rPr>
          <w:color w:val="57585A"/>
          <w:sz w:val="20"/>
          <w:szCs w:val="20"/>
        </w:rPr>
        <w:t xml:space="preserve"> </w:t>
      </w:r>
      <w:r>
        <w:rPr>
          <w:color w:val="57585A"/>
          <w:spacing w:val="-13"/>
          <w:sz w:val="20"/>
          <w:szCs w:val="20"/>
        </w:rPr>
        <w:t>Index (RRI), slightly</w:t>
      </w:r>
      <w:r>
        <w:rPr>
          <w:color w:val="57585A"/>
          <w:spacing w:val="-1"/>
          <w:sz w:val="20"/>
          <w:szCs w:val="20"/>
        </w:rPr>
        <w:t xml:space="preserve"> </w:t>
      </w:r>
      <w:r>
        <w:rPr>
          <w:color w:val="57585A"/>
          <w:spacing w:val="-13"/>
          <w:sz w:val="20"/>
          <w:szCs w:val="20"/>
        </w:rPr>
        <w:t>below the global</w:t>
      </w:r>
      <w:r>
        <w:rPr>
          <w:color w:val="57585A"/>
          <w:sz w:val="20"/>
          <w:szCs w:val="20"/>
        </w:rPr>
        <w:t xml:space="preserve"> </w:t>
      </w:r>
      <w:r>
        <w:rPr>
          <w:color w:val="57585A"/>
          <w:spacing w:val="-12"/>
          <w:sz w:val="20"/>
          <w:szCs w:val="20"/>
        </w:rPr>
        <w:t>average of 50.</w:t>
      </w:r>
      <w:r>
        <w:rPr>
          <w:color w:val="57585A"/>
          <w:spacing w:val="-15"/>
          <w:sz w:val="20"/>
          <w:szCs w:val="20"/>
        </w:rPr>
        <w:t xml:space="preserve"> </w:t>
      </w:r>
      <w:r>
        <w:rPr>
          <w:color w:val="57585A"/>
          <w:spacing w:val="-12"/>
          <w:sz w:val="20"/>
          <w:szCs w:val="20"/>
        </w:rPr>
        <w:t>The region's performance is bolster</w:t>
      </w:r>
      <w:r>
        <w:rPr>
          <w:color w:val="57585A"/>
          <w:spacing w:val="-13"/>
          <w:sz w:val="20"/>
          <w:szCs w:val="20"/>
        </w:rPr>
        <w:t>ed by high Industry</w:t>
      </w:r>
      <w:r>
        <w:rPr>
          <w:color w:val="57585A"/>
          <w:spacing w:val="1"/>
          <w:sz w:val="20"/>
          <w:szCs w:val="20"/>
        </w:rPr>
        <w:t xml:space="preserve"> </w:t>
      </w:r>
      <w:r>
        <w:rPr>
          <w:color w:val="57585A"/>
          <w:spacing w:val="-13"/>
          <w:sz w:val="20"/>
          <w:szCs w:val="20"/>
        </w:rPr>
        <w:t>Rewards, scoring 44.1.</w:t>
      </w:r>
      <w:r>
        <w:rPr>
          <w:color w:val="57585A"/>
          <w:sz w:val="20"/>
          <w:szCs w:val="20"/>
        </w:rPr>
        <w:t xml:space="preserve"> </w:t>
      </w:r>
      <w:r>
        <w:rPr>
          <w:color w:val="57585A"/>
          <w:spacing w:val="-13"/>
          <w:sz w:val="20"/>
          <w:szCs w:val="20"/>
        </w:rPr>
        <w:t>Latin America excels in</w:t>
      </w:r>
    </w:p>
    <w:p w14:paraId="728B6ED1">
      <w:pPr>
        <w:pStyle w:val="4"/>
        <w:spacing w:before="58" w:line="262" w:lineRule="auto"/>
        <w:ind w:left="621" w:right="824"/>
        <w:rPr>
          <w:sz w:val="20"/>
          <w:szCs w:val="20"/>
        </w:rPr>
      </w:pPr>
      <w:r>
        <w:rPr>
          <w:color w:val="57585A"/>
          <w:spacing w:val="-12"/>
          <w:sz w:val="20"/>
          <w:szCs w:val="20"/>
        </w:rPr>
        <w:t>Hydrocarbon Production Growth, wit</w:t>
      </w:r>
      <w:r>
        <w:rPr>
          <w:color w:val="57585A"/>
          <w:spacing w:val="-13"/>
          <w:sz w:val="20"/>
          <w:szCs w:val="20"/>
        </w:rPr>
        <w:t>h notable scores for Guyana, Brazil, and Argentina, and surpasses the global average in</w:t>
      </w:r>
      <w:r>
        <w:rPr>
          <w:color w:val="57585A"/>
          <w:sz w:val="20"/>
          <w:szCs w:val="20"/>
        </w:rPr>
        <w:t xml:space="preserve"> </w:t>
      </w:r>
      <w:r>
        <w:rPr>
          <w:color w:val="57585A"/>
          <w:spacing w:val="-12"/>
          <w:sz w:val="20"/>
          <w:szCs w:val="20"/>
        </w:rPr>
        <w:t>Hydrocarbon Production and Oil Reserves,</w:t>
      </w:r>
      <w:r>
        <w:rPr>
          <w:color w:val="57585A"/>
          <w:spacing w:val="-16"/>
          <w:sz w:val="20"/>
          <w:szCs w:val="20"/>
        </w:rPr>
        <w:t xml:space="preserve"> </w:t>
      </w:r>
      <w:r>
        <w:rPr>
          <w:color w:val="57585A"/>
          <w:spacing w:val="-12"/>
          <w:sz w:val="20"/>
          <w:szCs w:val="20"/>
        </w:rPr>
        <w:t>with scores of</w:t>
      </w:r>
      <w:r>
        <w:rPr>
          <w:color w:val="57585A"/>
          <w:spacing w:val="-17"/>
          <w:sz w:val="20"/>
          <w:szCs w:val="20"/>
        </w:rPr>
        <w:t xml:space="preserve"> </w:t>
      </w:r>
      <w:r>
        <w:rPr>
          <w:color w:val="57585A"/>
          <w:spacing w:val="-12"/>
          <w:sz w:val="20"/>
          <w:szCs w:val="20"/>
        </w:rPr>
        <w:t xml:space="preserve">40.1 and </w:t>
      </w:r>
      <w:r>
        <w:rPr>
          <w:color w:val="57585A"/>
          <w:spacing w:val="-13"/>
          <w:sz w:val="20"/>
          <w:szCs w:val="20"/>
        </w:rPr>
        <w:t>39.2 respectively.</w:t>
      </w:r>
    </w:p>
    <w:p w14:paraId="01B41CEC">
      <w:pPr>
        <w:pStyle w:val="4"/>
        <w:spacing w:before="58" w:line="262" w:lineRule="auto"/>
        <w:ind w:left="618" w:right="651" w:hanging="261"/>
        <w:rPr>
          <w:sz w:val="20"/>
          <w:szCs w:val="20"/>
        </w:rPr>
      </w:pPr>
      <w:r>
        <w:rPr>
          <w:color w:val="33CCFF"/>
          <w:spacing w:val="-11"/>
          <w:sz w:val="20"/>
          <w:szCs w:val="20"/>
        </w:rPr>
        <w:t xml:space="preserve">•   </w:t>
      </w:r>
      <w:r>
        <w:rPr>
          <w:color w:val="57585A"/>
          <w:spacing w:val="-11"/>
          <w:sz w:val="20"/>
          <w:szCs w:val="20"/>
        </w:rPr>
        <w:t>The second highest category for the region is Country Rew</w:t>
      </w:r>
      <w:r>
        <w:rPr>
          <w:color w:val="57585A"/>
          <w:spacing w:val="-12"/>
          <w:sz w:val="20"/>
          <w:szCs w:val="20"/>
        </w:rPr>
        <w:t>ards, scoring 54.4. However, the region encounters below-average</w:t>
      </w:r>
      <w:r>
        <w:rPr>
          <w:color w:val="57585A"/>
          <w:sz w:val="20"/>
          <w:szCs w:val="20"/>
        </w:rPr>
        <w:t xml:space="preserve"> </w:t>
      </w:r>
      <w:r>
        <w:rPr>
          <w:color w:val="57585A"/>
          <w:spacing w:val="-11"/>
          <w:sz w:val="20"/>
          <w:szCs w:val="20"/>
        </w:rPr>
        <w:t>risk in Infrastructure Integrity (46.1), but faces challenges due to relatively poor performance in the State</w:t>
      </w:r>
      <w:r>
        <w:rPr>
          <w:color w:val="57585A"/>
          <w:spacing w:val="-15"/>
          <w:sz w:val="20"/>
          <w:szCs w:val="20"/>
        </w:rPr>
        <w:t xml:space="preserve"> </w:t>
      </w:r>
      <w:r>
        <w:rPr>
          <w:color w:val="57585A"/>
          <w:spacing w:val="-11"/>
          <w:sz w:val="20"/>
          <w:szCs w:val="20"/>
        </w:rPr>
        <w:t>Asset Ownersh</w:t>
      </w:r>
      <w:r>
        <w:rPr>
          <w:color w:val="57585A"/>
          <w:spacing w:val="-12"/>
          <w:sz w:val="20"/>
          <w:szCs w:val="20"/>
        </w:rPr>
        <w:t>ip</w:t>
      </w:r>
    </w:p>
    <w:p w14:paraId="12ECD907">
      <w:pPr>
        <w:pStyle w:val="4"/>
        <w:spacing w:before="59" w:line="231" w:lineRule="auto"/>
        <w:ind w:left="614"/>
        <w:rPr>
          <w:sz w:val="20"/>
          <w:szCs w:val="20"/>
        </w:rPr>
      </w:pPr>
      <w:r>
        <w:rPr>
          <w:color w:val="57585A"/>
          <w:spacing w:val="-11"/>
          <w:sz w:val="20"/>
          <w:szCs w:val="20"/>
        </w:rPr>
        <w:t>category (56.1) and Competitive Landscape (61.1), attributed to the dominance of national oil companies.</w:t>
      </w:r>
    </w:p>
    <w:p w14:paraId="02F58222">
      <w:pPr>
        <w:spacing w:line="231" w:lineRule="auto"/>
        <w:rPr>
          <w:sz w:val="20"/>
          <w:szCs w:val="20"/>
        </w:rPr>
        <w:sectPr>
          <w:footerReference r:id="rId48" w:type="default"/>
          <w:pgSz w:w="11906" w:h="16838"/>
          <w:pgMar w:top="400" w:right="490" w:bottom="883" w:left="490" w:header="0" w:footer="0" w:gutter="0"/>
          <w:cols w:space="720" w:num="1"/>
        </w:sectPr>
      </w:pPr>
    </w:p>
    <w:p w14:paraId="64EA3FA6">
      <w:pPr>
        <w:pStyle w:val="4"/>
        <w:spacing w:before="73" w:line="241" w:lineRule="auto"/>
        <w:ind w:left="7372"/>
        <w:rPr>
          <w:sz w:val="20"/>
          <w:szCs w:val="20"/>
        </w:rPr>
      </w:pPr>
      <w:r>
        <w:drawing>
          <wp:anchor distT="0" distB="0" distL="0" distR="0" simplePos="0" relativeHeight="25185280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53824" behindDoc="0" locked="0" layoutInCell="0" allowOverlap="1">
            <wp:simplePos x="0" y="0"/>
            <wp:positionH relativeFrom="page">
              <wp:posOffset>311150</wp:posOffset>
            </wp:positionH>
            <wp:positionV relativeFrom="page">
              <wp:posOffset>0</wp:posOffset>
            </wp:positionV>
            <wp:extent cx="19050" cy="81407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3682751">
      <w:pPr>
        <w:pStyle w:val="4"/>
        <w:spacing w:line="278" w:lineRule="auto"/>
      </w:pPr>
    </w:p>
    <w:p w14:paraId="5D8E161F">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5232E17">
      <w:pPr>
        <w:pStyle w:val="4"/>
        <w:spacing w:line="470" w:lineRule="auto"/>
      </w:pPr>
    </w:p>
    <w:p w14:paraId="3116E007">
      <w:pPr>
        <w:pStyle w:val="4"/>
        <w:spacing w:before="57" w:line="272" w:lineRule="auto"/>
        <w:ind w:left="612" w:right="422" w:hanging="255"/>
        <w:rPr>
          <w:sz w:val="20"/>
          <w:szCs w:val="20"/>
        </w:rPr>
      </w:pPr>
      <w:r>
        <w:rPr>
          <w:color w:val="33CCFF"/>
          <w:spacing w:val="-13"/>
          <w:sz w:val="20"/>
          <w:szCs w:val="20"/>
        </w:rPr>
        <w:t xml:space="preserve">•   </w:t>
      </w:r>
      <w:r>
        <w:rPr>
          <w:color w:val="57585A"/>
          <w:spacing w:val="-13"/>
          <w:sz w:val="20"/>
          <w:szCs w:val="20"/>
        </w:rPr>
        <w:t>In the Risks categories,</w:t>
      </w:r>
      <w:r>
        <w:rPr>
          <w:color w:val="57585A"/>
          <w:spacing w:val="1"/>
          <w:sz w:val="20"/>
          <w:szCs w:val="20"/>
        </w:rPr>
        <w:t xml:space="preserve"> </w:t>
      </w:r>
      <w:r>
        <w:rPr>
          <w:color w:val="57585A"/>
          <w:spacing w:val="-13"/>
          <w:sz w:val="20"/>
          <w:szCs w:val="20"/>
        </w:rPr>
        <w:t>Latin America scores poorly, with Industry</w:t>
      </w:r>
      <w:r>
        <w:rPr>
          <w:color w:val="57585A"/>
          <w:spacing w:val="1"/>
          <w:sz w:val="20"/>
          <w:szCs w:val="20"/>
        </w:rPr>
        <w:t xml:space="preserve"> </w:t>
      </w:r>
      <w:r>
        <w:rPr>
          <w:color w:val="57585A"/>
          <w:spacing w:val="-13"/>
          <w:sz w:val="20"/>
          <w:szCs w:val="20"/>
        </w:rPr>
        <w:t>Risks at 60.1, weakened by</w:t>
      </w:r>
      <w:r>
        <w:rPr>
          <w:color w:val="57585A"/>
          <w:spacing w:val="-2"/>
          <w:sz w:val="20"/>
          <w:szCs w:val="20"/>
        </w:rPr>
        <w:t xml:space="preserve"> </w:t>
      </w:r>
      <w:r>
        <w:rPr>
          <w:color w:val="57585A"/>
          <w:spacing w:val="-13"/>
          <w:sz w:val="20"/>
          <w:szCs w:val="20"/>
        </w:rPr>
        <w:t>high</w:t>
      </w:r>
      <w:r>
        <w:rPr>
          <w:color w:val="57585A"/>
          <w:sz w:val="20"/>
          <w:szCs w:val="20"/>
        </w:rPr>
        <w:t xml:space="preserve"> </w:t>
      </w:r>
      <w:r>
        <w:rPr>
          <w:color w:val="57585A"/>
          <w:spacing w:val="-13"/>
          <w:sz w:val="20"/>
          <w:szCs w:val="20"/>
        </w:rPr>
        <w:t>Legal</w:t>
      </w:r>
      <w:r>
        <w:rPr>
          <w:color w:val="57585A"/>
          <w:spacing w:val="1"/>
          <w:sz w:val="20"/>
          <w:szCs w:val="20"/>
        </w:rPr>
        <w:t xml:space="preserve"> </w:t>
      </w:r>
      <w:r>
        <w:rPr>
          <w:color w:val="57585A"/>
          <w:spacing w:val="-13"/>
          <w:sz w:val="20"/>
          <w:szCs w:val="20"/>
        </w:rPr>
        <w:t>Environment</w:t>
      </w:r>
      <w:r>
        <w:rPr>
          <w:color w:val="57585A"/>
          <w:spacing w:val="1"/>
          <w:sz w:val="20"/>
          <w:szCs w:val="20"/>
        </w:rPr>
        <w:t xml:space="preserve"> </w:t>
      </w:r>
      <w:r>
        <w:rPr>
          <w:color w:val="57585A"/>
          <w:spacing w:val="-13"/>
          <w:sz w:val="20"/>
          <w:szCs w:val="20"/>
        </w:rPr>
        <w:t>R</w:t>
      </w:r>
      <w:r>
        <w:rPr>
          <w:color w:val="57585A"/>
          <w:spacing w:val="-14"/>
          <w:sz w:val="20"/>
          <w:szCs w:val="20"/>
        </w:rPr>
        <w:t>isk</w:t>
      </w:r>
      <w:r>
        <w:rPr>
          <w:color w:val="57585A"/>
          <w:spacing w:val="-7"/>
          <w:sz w:val="20"/>
          <w:szCs w:val="20"/>
        </w:rPr>
        <w:t xml:space="preserve"> </w:t>
      </w:r>
      <w:r>
        <w:rPr>
          <w:color w:val="57585A"/>
          <w:spacing w:val="-14"/>
          <w:sz w:val="20"/>
          <w:szCs w:val="20"/>
        </w:rPr>
        <w:t>(67.0),</w:t>
      </w:r>
      <w:r>
        <w:rPr>
          <w:color w:val="57585A"/>
          <w:sz w:val="20"/>
          <w:szCs w:val="20"/>
        </w:rPr>
        <w:t xml:space="preserve"> </w:t>
      </w:r>
      <w:r>
        <w:rPr>
          <w:color w:val="57585A"/>
          <w:spacing w:val="-12"/>
          <w:sz w:val="20"/>
          <w:szCs w:val="20"/>
        </w:rPr>
        <w:t>and risks related to Licence Type (58.9) and Bureaucratic Environment (58.0</w:t>
      </w:r>
      <w:r>
        <w:rPr>
          <w:color w:val="57585A"/>
          <w:spacing w:val="-13"/>
          <w:sz w:val="20"/>
          <w:szCs w:val="20"/>
        </w:rPr>
        <w:t>). The region also experiences elevated Country</w:t>
      </w:r>
    </w:p>
    <w:p w14:paraId="6FFEF596">
      <w:pPr>
        <w:pStyle w:val="4"/>
        <w:spacing w:before="38" w:line="293" w:lineRule="auto"/>
        <w:ind w:left="604" w:right="492" w:firstLine="16"/>
        <w:rPr>
          <w:sz w:val="20"/>
          <w:szCs w:val="20"/>
        </w:rPr>
      </w:pPr>
      <w:r>
        <w:rPr>
          <w:color w:val="57585A"/>
          <w:spacing w:val="-12"/>
          <w:sz w:val="20"/>
          <w:szCs w:val="20"/>
        </w:rPr>
        <w:t>Risks,</w:t>
      </w:r>
      <w:r>
        <w:rPr>
          <w:color w:val="57585A"/>
          <w:spacing w:val="-16"/>
          <w:sz w:val="20"/>
          <w:szCs w:val="20"/>
        </w:rPr>
        <w:t xml:space="preserve"> </w:t>
      </w:r>
      <w:r>
        <w:rPr>
          <w:color w:val="57585A"/>
          <w:spacing w:val="-12"/>
          <w:sz w:val="20"/>
          <w:szCs w:val="20"/>
        </w:rPr>
        <w:t>with a score of 55.3, above the global average.</w:t>
      </w:r>
      <w:r>
        <w:rPr>
          <w:color w:val="57585A"/>
          <w:spacing w:val="-15"/>
          <w:sz w:val="20"/>
          <w:szCs w:val="20"/>
        </w:rPr>
        <w:t xml:space="preserve"> </w:t>
      </w:r>
      <w:r>
        <w:rPr>
          <w:color w:val="57585A"/>
          <w:spacing w:val="-12"/>
          <w:sz w:val="20"/>
          <w:szCs w:val="20"/>
        </w:rPr>
        <w:t>The</w:t>
      </w:r>
      <w:r>
        <w:rPr>
          <w:color w:val="57585A"/>
          <w:spacing w:val="-15"/>
          <w:sz w:val="20"/>
          <w:szCs w:val="20"/>
        </w:rPr>
        <w:t xml:space="preserve"> </w:t>
      </w:r>
      <w:r>
        <w:rPr>
          <w:color w:val="57585A"/>
          <w:spacing w:val="-12"/>
          <w:sz w:val="20"/>
          <w:szCs w:val="20"/>
        </w:rPr>
        <w:t>weake</w:t>
      </w:r>
      <w:r>
        <w:rPr>
          <w:color w:val="57585A"/>
          <w:spacing w:val="-13"/>
          <w:sz w:val="20"/>
          <w:szCs w:val="20"/>
        </w:rPr>
        <w:t>st component in this category is the Political Risk Index, scoring</w:t>
      </w:r>
      <w:r>
        <w:rPr>
          <w:color w:val="57585A"/>
          <w:sz w:val="20"/>
          <w:szCs w:val="20"/>
        </w:rPr>
        <w:t xml:space="preserve"> </w:t>
      </w:r>
      <w:r>
        <w:rPr>
          <w:color w:val="57585A"/>
          <w:spacing w:val="-11"/>
          <w:sz w:val="20"/>
          <w:szCs w:val="20"/>
        </w:rPr>
        <w:t>58.7,</w:t>
      </w:r>
      <w:r>
        <w:rPr>
          <w:color w:val="57585A"/>
          <w:spacing w:val="-15"/>
          <w:sz w:val="20"/>
          <w:szCs w:val="20"/>
        </w:rPr>
        <w:t xml:space="preserve"> </w:t>
      </w:r>
      <w:r>
        <w:rPr>
          <w:color w:val="57585A"/>
          <w:spacing w:val="-11"/>
          <w:sz w:val="20"/>
          <w:szCs w:val="20"/>
        </w:rPr>
        <w:t>with Venezuela</w:t>
      </w:r>
      <w:r>
        <w:rPr>
          <w:color w:val="57585A"/>
          <w:spacing w:val="-12"/>
          <w:sz w:val="20"/>
          <w:szCs w:val="20"/>
        </w:rPr>
        <w:t xml:space="preserve"> and Bolivia showing poor performance in the Governance subcomponent. Despite these challenges, Latin</w:t>
      </w:r>
      <w:r>
        <w:rPr>
          <w:color w:val="57585A"/>
          <w:sz w:val="20"/>
          <w:szCs w:val="20"/>
        </w:rPr>
        <w:t xml:space="preserve"> </w:t>
      </w:r>
      <w:r>
        <w:rPr>
          <w:color w:val="57585A"/>
          <w:spacing w:val="-11"/>
          <w:sz w:val="20"/>
          <w:szCs w:val="20"/>
        </w:rPr>
        <w:t>America closely matches the global average in Lon</w:t>
      </w:r>
      <w:r>
        <w:rPr>
          <w:color w:val="57585A"/>
          <w:spacing w:val="-12"/>
          <w:sz w:val="20"/>
          <w:szCs w:val="20"/>
        </w:rPr>
        <w:t>g-Term Economic Risk (50.9), the best-performing category of</w:t>
      </w:r>
      <w:r>
        <w:rPr>
          <w:color w:val="57585A"/>
          <w:spacing w:val="-21"/>
          <w:sz w:val="20"/>
          <w:szCs w:val="20"/>
        </w:rPr>
        <w:t xml:space="preserve"> </w:t>
      </w:r>
      <w:r>
        <w:rPr>
          <w:color w:val="57585A"/>
          <w:spacing w:val="-12"/>
          <w:sz w:val="20"/>
          <w:szCs w:val="20"/>
        </w:rPr>
        <w:t>the Country</w:t>
      </w:r>
      <w:r>
        <w:rPr>
          <w:color w:val="57585A"/>
          <w:sz w:val="20"/>
          <w:szCs w:val="20"/>
        </w:rPr>
        <w:t xml:space="preserve"> </w:t>
      </w:r>
      <w:r>
        <w:rPr>
          <w:color w:val="57585A"/>
          <w:spacing w:val="-16"/>
          <w:sz w:val="20"/>
          <w:szCs w:val="20"/>
        </w:rPr>
        <w:t>Risk</w:t>
      </w:r>
      <w:r>
        <w:rPr>
          <w:color w:val="57585A"/>
          <w:sz w:val="20"/>
          <w:szCs w:val="20"/>
        </w:rPr>
        <w:t xml:space="preserve"> </w:t>
      </w:r>
      <w:r>
        <w:rPr>
          <w:color w:val="57585A"/>
          <w:spacing w:val="-16"/>
          <w:sz w:val="20"/>
          <w:szCs w:val="20"/>
        </w:rPr>
        <w:t>Index.</w:t>
      </w:r>
    </w:p>
    <w:p w14:paraId="60ABC4BE">
      <w:pPr>
        <w:pStyle w:val="4"/>
        <w:spacing w:line="275" w:lineRule="auto"/>
      </w:pPr>
    </w:p>
    <w:p w14:paraId="26EDEF9F">
      <w:pPr>
        <w:pStyle w:val="4"/>
        <w:spacing w:line="275" w:lineRule="auto"/>
      </w:pPr>
    </w:p>
    <w:p w14:paraId="2BC48EA3">
      <w:pPr>
        <w:pStyle w:val="4"/>
        <w:spacing w:before="70" w:line="234" w:lineRule="auto"/>
        <w:ind w:left="2598"/>
        <w:rPr>
          <w:sz w:val="24"/>
          <w:szCs w:val="24"/>
        </w:rPr>
      </w:pPr>
      <w:r>
        <w:rPr>
          <w:color w:val="174174"/>
          <w:spacing w:val="-12"/>
          <w:sz w:val="24"/>
          <w:szCs w:val="24"/>
        </w:rPr>
        <w:t>Guyana Rises Due To Bullish Oil Production G</w:t>
      </w:r>
      <w:r>
        <w:rPr>
          <w:color w:val="174174"/>
          <w:spacing w:val="-13"/>
          <w:sz w:val="24"/>
          <w:szCs w:val="24"/>
        </w:rPr>
        <w:t>rowth Outlook</w:t>
      </w:r>
    </w:p>
    <w:p w14:paraId="357EBA59">
      <w:pPr>
        <w:pStyle w:val="4"/>
        <w:spacing w:before="32" w:line="234" w:lineRule="auto"/>
        <w:ind w:left="3583"/>
        <w:rPr>
          <w:sz w:val="20"/>
          <w:szCs w:val="20"/>
        </w:rPr>
      </w:pPr>
      <w:r>
        <w:rPr>
          <w:color w:val="333333"/>
          <w:spacing w:val="-13"/>
          <w:sz w:val="20"/>
          <w:szCs w:val="20"/>
        </w:rPr>
        <w:t>Latin</w:t>
      </w:r>
      <w:r>
        <w:rPr>
          <w:color w:val="333333"/>
          <w:spacing w:val="-5"/>
          <w:sz w:val="20"/>
          <w:szCs w:val="20"/>
        </w:rPr>
        <w:t xml:space="preserve"> </w:t>
      </w:r>
      <w:r>
        <w:rPr>
          <w:color w:val="333333"/>
          <w:spacing w:val="-13"/>
          <w:sz w:val="20"/>
          <w:szCs w:val="20"/>
        </w:rPr>
        <w:t>America - Upstream Risk/Reward Snapshot</w:t>
      </w:r>
    </w:p>
    <w:p w14:paraId="45467762">
      <w:pPr>
        <w:spacing w:before="94" w:line="4500" w:lineRule="exact"/>
        <w:ind w:firstLine="1862"/>
      </w:pPr>
      <w:r>
        <w:rPr>
          <w:position w:val="-89"/>
        </w:rPr>
        <w:drawing>
          <wp:inline distT="0" distB="0" distL="0" distR="0">
            <wp:extent cx="4572000" cy="2856865"/>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33"/>
                    <a:stretch>
                      <a:fillRect/>
                    </a:stretch>
                  </pic:blipFill>
                  <pic:spPr>
                    <a:xfrm>
                      <a:off x="0" y="0"/>
                      <a:ext cx="4572000" cy="2857499"/>
                    </a:xfrm>
                    <a:prstGeom prst="rect">
                      <a:avLst/>
                    </a:prstGeom>
                  </pic:spPr>
                </pic:pic>
              </a:graphicData>
            </a:graphic>
          </wp:inline>
        </w:drawing>
      </w:r>
    </w:p>
    <w:p w14:paraId="4D899EB2">
      <w:pPr>
        <w:pStyle w:val="4"/>
        <w:spacing w:before="149" w:line="235" w:lineRule="auto"/>
        <w:ind w:left="1874"/>
        <w:rPr>
          <w:sz w:val="15"/>
          <w:szCs w:val="15"/>
        </w:rPr>
      </w:pPr>
      <w:r>
        <w:drawing>
          <wp:anchor distT="0" distB="0" distL="0" distR="0" simplePos="0" relativeHeight="25185177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381C87B7">
      <w:pPr>
        <w:pStyle w:val="4"/>
        <w:spacing w:line="363" w:lineRule="auto"/>
      </w:pPr>
    </w:p>
    <w:p w14:paraId="049D52F5">
      <w:pPr>
        <w:pStyle w:val="4"/>
        <w:spacing w:before="58" w:line="241" w:lineRule="auto"/>
        <w:ind w:left="360"/>
        <w:rPr>
          <w:sz w:val="20"/>
          <w:szCs w:val="20"/>
        </w:rPr>
      </w:pPr>
      <w:r>
        <w:rPr>
          <w:b/>
          <w:bCs/>
          <w:color w:val="57585A"/>
          <w:spacing w:val="-11"/>
          <w:sz w:val="20"/>
          <w:szCs w:val="20"/>
        </w:rPr>
        <w:t xml:space="preserve">Top Ranks Supported By </w:t>
      </w:r>
      <w:r>
        <w:rPr>
          <w:b/>
          <w:bCs/>
          <w:color w:val="57585A"/>
          <w:spacing w:val="-12"/>
          <w:sz w:val="20"/>
          <w:szCs w:val="20"/>
        </w:rPr>
        <w:t>Below-Ground Rewards</w:t>
      </w:r>
    </w:p>
    <w:p w14:paraId="7118E8CD">
      <w:pPr>
        <w:pStyle w:val="4"/>
        <w:spacing w:line="282" w:lineRule="auto"/>
      </w:pPr>
    </w:p>
    <w:p w14:paraId="5E851934">
      <w:pPr>
        <w:pStyle w:val="4"/>
        <w:spacing w:before="58" w:line="279" w:lineRule="auto"/>
        <w:ind w:left="367" w:right="704" w:firstLine="8"/>
        <w:jc w:val="both"/>
        <w:rPr>
          <w:sz w:val="20"/>
          <w:szCs w:val="20"/>
        </w:rPr>
      </w:pPr>
      <w:r>
        <w:rPr>
          <w:color w:val="57585A"/>
          <w:spacing w:val="-13"/>
          <w:sz w:val="20"/>
          <w:szCs w:val="20"/>
        </w:rPr>
        <w:t>Latin</w:t>
      </w:r>
      <w:r>
        <w:rPr>
          <w:color w:val="57585A"/>
          <w:spacing w:val="-16"/>
          <w:sz w:val="20"/>
          <w:szCs w:val="20"/>
        </w:rPr>
        <w:t xml:space="preserve"> </w:t>
      </w:r>
      <w:r>
        <w:rPr>
          <w:color w:val="57585A"/>
          <w:spacing w:val="-13"/>
          <w:sz w:val="20"/>
          <w:szCs w:val="20"/>
        </w:rPr>
        <w:t>America has prolific resource basins, with Venezuela's onshore fields and Brazil's deepwater reserves leading. Guyana h</w:t>
      </w:r>
      <w:r>
        <w:rPr>
          <w:color w:val="57585A"/>
          <w:spacing w:val="-14"/>
          <w:sz w:val="20"/>
          <w:szCs w:val="20"/>
        </w:rPr>
        <w:t>as</w:t>
      </w:r>
      <w:r>
        <w:rPr>
          <w:color w:val="57585A"/>
          <w:sz w:val="20"/>
          <w:szCs w:val="20"/>
        </w:rPr>
        <w:t xml:space="preserve"> </w:t>
      </w:r>
      <w:r>
        <w:rPr>
          <w:color w:val="57585A"/>
          <w:spacing w:val="-10"/>
          <w:sz w:val="20"/>
          <w:szCs w:val="20"/>
        </w:rPr>
        <w:t>boosted regional output</w:t>
      </w:r>
      <w:r>
        <w:rPr>
          <w:color w:val="57585A"/>
          <w:spacing w:val="-11"/>
          <w:sz w:val="20"/>
          <w:szCs w:val="20"/>
        </w:rPr>
        <w:t xml:space="preserve"> since 2019.</w:t>
      </w:r>
      <w:r>
        <w:rPr>
          <w:color w:val="57585A"/>
          <w:spacing w:val="-15"/>
          <w:sz w:val="20"/>
          <w:szCs w:val="20"/>
        </w:rPr>
        <w:t xml:space="preserve"> </w:t>
      </w:r>
      <w:r>
        <w:rPr>
          <w:color w:val="57585A"/>
          <w:spacing w:val="-11"/>
          <w:sz w:val="20"/>
          <w:szCs w:val="20"/>
        </w:rPr>
        <w:t>Argentina and Mexico have significant untapped reserves but face regulatory uncertainties</w:t>
      </w:r>
      <w:r>
        <w:rPr>
          <w:color w:val="57585A"/>
          <w:sz w:val="20"/>
          <w:szCs w:val="20"/>
        </w:rPr>
        <w:t xml:space="preserve"> </w:t>
      </w:r>
      <w:r>
        <w:rPr>
          <w:color w:val="57585A"/>
          <w:spacing w:val="-9"/>
          <w:sz w:val="20"/>
          <w:szCs w:val="20"/>
        </w:rPr>
        <w:t>affecting investor sentiment.</w:t>
      </w:r>
    </w:p>
    <w:p w14:paraId="1D6CEFD3">
      <w:pPr>
        <w:pStyle w:val="4"/>
        <w:spacing w:line="266" w:lineRule="auto"/>
      </w:pPr>
    </w:p>
    <w:p w14:paraId="007EC241">
      <w:pPr>
        <w:pStyle w:val="4"/>
        <w:spacing w:before="58" w:line="279" w:lineRule="auto"/>
        <w:ind w:left="369" w:right="460" w:firstLine="6"/>
        <w:rPr>
          <w:sz w:val="20"/>
          <w:szCs w:val="20"/>
        </w:rPr>
      </w:pPr>
      <w:r>
        <w:rPr>
          <w:color w:val="57585A"/>
          <w:spacing w:val="-11"/>
          <w:sz w:val="20"/>
          <w:szCs w:val="20"/>
        </w:rPr>
        <w:t>Brazil ranks highest due to a bullish outlook for crude oil production, driven by</w:t>
      </w:r>
      <w:r>
        <w:rPr>
          <w:color w:val="57585A"/>
          <w:spacing w:val="-12"/>
          <w:sz w:val="20"/>
          <w:szCs w:val="20"/>
        </w:rPr>
        <w:t xml:space="preserve"> projects from Petrobras and IOCs. Oil</w:t>
      </w:r>
      <w:r>
        <w:rPr>
          <w:color w:val="57585A"/>
          <w:spacing w:val="-2"/>
          <w:sz w:val="20"/>
          <w:szCs w:val="20"/>
        </w:rPr>
        <w:t xml:space="preserve"> </w:t>
      </w:r>
      <w:r>
        <w:rPr>
          <w:color w:val="57585A"/>
          <w:spacing w:val="-12"/>
          <w:sz w:val="20"/>
          <w:szCs w:val="20"/>
        </w:rPr>
        <w:t>production</w:t>
      </w:r>
      <w:r>
        <w:rPr>
          <w:color w:val="57585A"/>
          <w:spacing w:val="-4"/>
          <w:sz w:val="20"/>
          <w:szCs w:val="20"/>
        </w:rPr>
        <w:t xml:space="preserve"> </w:t>
      </w:r>
      <w:r>
        <w:rPr>
          <w:color w:val="57585A"/>
          <w:spacing w:val="-12"/>
          <w:sz w:val="20"/>
          <w:szCs w:val="20"/>
        </w:rPr>
        <w:t>is</w:t>
      </w:r>
      <w:r>
        <w:rPr>
          <w:color w:val="57585A"/>
          <w:sz w:val="20"/>
          <w:szCs w:val="20"/>
        </w:rPr>
        <w:t xml:space="preserve"> </w:t>
      </w:r>
      <w:r>
        <w:rPr>
          <w:color w:val="57585A"/>
          <w:spacing w:val="-11"/>
          <w:sz w:val="20"/>
          <w:szCs w:val="20"/>
        </w:rPr>
        <w:t>expected to grow 3.7% annually from 2024 to 2033, reaching 4.9mn b/d by 2030. Brazil plans to increase crude oil production by</w:t>
      </w:r>
      <w:r>
        <w:rPr>
          <w:color w:val="57585A"/>
          <w:spacing w:val="1"/>
          <w:sz w:val="20"/>
          <w:szCs w:val="20"/>
        </w:rPr>
        <w:t xml:space="preserve"> </w:t>
      </w:r>
      <w:r>
        <w:rPr>
          <w:color w:val="57585A"/>
          <w:spacing w:val="-12"/>
          <w:sz w:val="20"/>
          <w:szCs w:val="20"/>
        </w:rPr>
        <w:t>5.0% y-o-y in 2025, with an average growth rate of</w:t>
      </w:r>
      <w:r>
        <w:rPr>
          <w:color w:val="57585A"/>
          <w:spacing w:val="-17"/>
          <w:sz w:val="20"/>
          <w:szCs w:val="20"/>
        </w:rPr>
        <w:t xml:space="preserve"> </w:t>
      </w:r>
      <w:r>
        <w:rPr>
          <w:color w:val="57585A"/>
          <w:spacing w:val="-12"/>
          <w:sz w:val="20"/>
          <w:szCs w:val="20"/>
        </w:rPr>
        <w:t>4.3% from 2026 to 2029. Petrobras will</w:t>
      </w:r>
      <w:r>
        <w:rPr>
          <w:color w:val="57585A"/>
          <w:spacing w:val="-13"/>
          <w:sz w:val="20"/>
          <w:szCs w:val="20"/>
        </w:rPr>
        <w:t xml:space="preserve"> launch three new FPSOs in 2025: Buzios</w:t>
      </w:r>
    </w:p>
    <w:p w14:paraId="0FFF3D59">
      <w:pPr>
        <w:pStyle w:val="4"/>
        <w:spacing w:before="38" w:line="279" w:lineRule="auto"/>
        <w:ind w:left="372" w:right="495" w:hanging="5"/>
        <w:jc w:val="both"/>
        <w:rPr>
          <w:sz w:val="20"/>
          <w:szCs w:val="20"/>
        </w:rPr>
      </w:pPr>
      <w:r>
        <w:rPr>
          <w:color w:val="57585A"/>
          <w:spacing w:val="-12"/>
          <w:sz w:val="20"/>
          <w:szCs w:val="20"/>
        </w:rPr>
        <w:t>7, Buzios 6, and Mero 4. Equinor's Bacalhau project will deliver first oil, boosting output.</w:t>
      </w:r>
      <w:r>
        <w:rPr>
          <w:color w:val="57585A"/>
          <w:spacing w:val="1"/>
          <w:sz w:val="20"/>
          <w:szCs w:val="20"/>
        </w:rPr>
        <w:t xml:space="preserve"> </w:t>
      </w:r>
      <w:r>
        <w:rPr>
          <w:color w:val="57585A"/>
          <w:spacing w:val="-12"/>
          <w:sz w:val="20"/>
          <w:szCs w:val="20"/>
        </w:rPr>
        <w:t>Despite weak 2024 p</w:t>
      </w:r>
      <w:r>
        <w:rPr>
          <w:color w:val="57585A"/>
          <w:spacing w:val="-13"/>
          <w:sz w:val="20"/>
          <w:szCs w:val="20"/>
        </w:rPr>
        <w:t>erformance,</w:t>
      </w:r>
      <w:r>
        <w:rPr>
          <w:color w:val="57585A"/>
          <w:sz w:val="20"/>
          <w:szCs w:val="20"/>
        </w:rPr>
        <w:t xml:space="preserve"> </w:t>
      </w:r>
      <w:r>
        <w:rPr>
          <w:color w:val="57585A"/>
          <w:spacing w:val="-13"/>
          <w:sz w:val="20"/>
          <w:szCs w:val="20"/>
        </w:rPr>
        <w:t>Brazil's</w:t>
      </w:r>
      <w:r>
        <w:rPr>
          <w:color w:val="57585A"/>
          <w:spacing w:val="-6"/>
          <w:sz w:val="20"/>
          <w:szCs w:val="20"/>
        </w:rPr>
        <w:t xml:space="preserve"> </w:t>
      </w:r>
      <w:r>
        <w:rPr>
          <w:color w:val="57585A"/>
          <w:spacing w:val="-13"/>
          <w:sz w:val="20"/>
          <w:szCs w:val="20"/>
        </w:rPr>
        <w:t>oil</w:t>
      </w:r>
      <w:r>
        <w:rPr>
          <w:color w:val="57585A"/>
          <w:sz w:val="20"/>
          <w:szCs w:val="20"/>
        </w:rPr>
        <w:t xml:space="preserve"> </w:t>
      </w:r>
      <w:r>
        <w:rPr>
          <w:color w:val="57585A"/>
          <w:spacing w:val="-10"/>
          <w:sz w:val="20"/>
          <w:szCs w:val="20"/>
        </w:rPr>
        <w:t>production</w:t>
      </w:r>
      <w:r>
        <w:rPr>
          <w:color w:val="57585A"/>
          <w:spacing w:val="-15"/>
          <w:sz w:val="20"/>
          <w:szCs w:val="20"/>
        </w:rPr>
        <w:t xml:space="preserve"> </w:t>
      </w:r>
      <w:r>
        <w:rPr>
          <w:color w:val="57585A"/>
          <w:spacing w:val="-10"/>
          <w:sz w:val="20"/>
          <w:szCs w:val="20"/>
        </w:rPr>
        <w:t>will rebound in 2025. The</w:t>
      </w:r>
      <w:r>
        <w:rPr>
          <w:color w:val="57585A"/>
          <w:spacing w:val="-16"/>
          <w:sz w:val="20"/>
          <w:szCs w:val="20"/>
        </w:rPr>
        <w:t xml:space="preserve"> </w:t>
      </w:r>
      <w:r>
        <w:rPr>
          <w:color w:val="57585A"/>
          <w:spacing w:val="-11"/>
          <w:sz w:val="20"/>
          <w:szCs w:val="20"/>
        </w:rPr>
        <w:t>Atapu field project supports growth</w:t>
      </w:r>
      <w:r>
        <w:rPr>
          <w:color w:val="57585A"/>
          <w:spacing w:val="-15"/>
          <w:sz w:val="20"/>
          <w:szCs w:val="20"/>
        </w:rPr>
        <w:t xml:space="preserve"> </w:t>
      </w:r>
      <w:r>
        <w:rPr>
          <w:color w:val="57585A"/>
          <w:spacing w:val="-11"/>
          <w:sz w:val="20"/>
          <w:szCs w:val="20"/>
        </w:rPr>
        <w:t>with a capacity of 225,000b/d. Brazil's entry into OPEC+</w:t>
      </w:r>
      <w:r>
        <w:rPr>
          <w:color w:val="57585A"/>
          <w:sz w:val="20"/>
          <w:szCs w:val="20"/>
        </w:rPr>
        <w:t xml:space="preserve"> </w:t>
      </w:r>
      <w:r>
        <w:rPr>
          <w:color w:val="57585A"/>
          <w:spacing w:val="-11"/>
          <w:sz w:val="20"/>
          <w:szCs w:val="20"/>
        </w:rPr>
        <w:t>poses risks, but it remains excluded fr</w:t>
      </w:r>
      <w:r>
        <w:rPr>
          <w:color w:val="57585A"/>
          <w:spacing w:val="-12"/>
          <w:sz w:val="20"/>
          <w:szCs w:val="20"/>
        </w:rPr>
        <w:t>om production cuts as of early 2025.</w:t>
      </w:r>
    </w:p>
    <w:p w14:paraId="20B2BB3E">
      <w:pPr>
        <w:pStyle w:val="4"/>
        <w:spacing w:line="265" w:lineRule="auto"/>
      </w:pPr>
    </w:p>
    <w:p w14:paraId="30FA9EFE">
      <w:pPr>
        <w:pStyle w:val="4"/>
        <w:spacing w:before="58" w:line="273" w:lineRule="auto"/>
        <w:ind w:left="372" w:right="904" w:hanging="13"/>
        <w:rPr>
          <w:sz w:val="20"/>
          <w:szCs w:val="20"/>
        </w:rPr>
      </w:pPr>
      <w:r>
        <w:rPr>
          <w:color w:val="57585A"/>
          <w:spacing w:val="-10"/>
          <w:sz w:val="20"/>
          <w:szCs w:val="20"/>
        </w:rPr>
        <w:t>Argentina holds the s</w:t>
      </w:r>
      <w:r>
        <w:rPr>
          <w:color w:val="57585A"/>
          <w:spacing w:val="-11"/>
          <w:sz w:val="20"/>
          <w:szCs w:val="20"/>
        </w:rPr>
        <w:t>econd position in the Upstream RRI ranking,</w:t>
      </w:r>
      <w:r>
        <w:rPr>
          <w:color w:val="57585A"/>
          <w:spacing w:val="-16"/>
          <w:sz w:val="20"/>
          <w:szCs w:val="20"/>
        </w:rPr>
        <w:t xml:space="preserve"> </w:t>
      </w:r>
      <w:r>
        <w:rPr>
          <w:color w:val="57585A"/>
          <w:spacing w:val="-11"/>
          <w:sz w:val="20"/>
          <w:szCs w:val="20"/>
        </w:rPr>
        <w:t>with a bullish outlook for production driven by shale oil and</w:t>
      </w:r>
      <w:r>
        <w:rPr>
          <w:color w:val="57585A"/>
          <w:sz w:val="20"/>
          <w:szCs w:val="20"/>
        </w:rPr>
        <w:t xml:space="preserve"> </w:t>
      </w:r>
      <w:r>
        <w:rPr>
          <w:color w:val="57585A"/>
          <w:spacing w:val="-11"/>
          <w:sz w:val="20"/>
          <w:szCs w:val="20"/>
        </w:rPr>
        <w:t>natural gas. Sector liberalization under President Milei offers long-term upside, but economic uncertainties</w:t>
      </w:r>
      <w:r>
        <w:rPr>
          <w:color w:val="57585A"/>
          <w:spacing w:val="1"/>
          <w:sz w:val="20"/>
          <w:szCs w:val="20"/>
        </w:rPr>
        <w:t xml:space="preserve"> </w:t>
      </w:r>
      <w:r>
        <w:rPr>
          <w:color w:val="57585A"/>
          <w:spacing w:val="-11"/>
          <w:sz w:val="20"/>
          <w:szCs w:val="20"/>
        </w:rPr>
        <w:t>pose challenges.</w:t>
      </w:r>
    </w:p>
    <w:p w14:paraId="30EADDCC">
      <w:pPr>
        <w:pStyle w:val="4"/>
        <w:spacing w:before="37" w:line="231" w:lineRule="auto"/>
        <w:ind w:left="359"/>
        <w:rPr>
          <w:sz w:val="20"/>
          <w:szCs w:val="20"/>
        </w:rPr>
      </w:pPr>
      <w:r>
        <w:rPr>
          <w:color w:val="57585A"/>
          <w:spacing w:val="-10"/>
          <w:sz w:val="20"/>
          <w:szCs w:val="20"/>
        </w:rPr>
        <w:t>Argentina's oil production</w:t>
      </w:r>
      <w:r>
        <w:rPr>
          <w:color w:val="57585A"/>
          <w:spacing w:val="-16"/>
          <w:sz w:val="20"/>
          <w:szCs w:val="20"/>
        </w:rPr>
        <w:t xml:space="preserve"> </w:t>
      </w:r>
      <w:r>
        <w:rPr>
          <w:color w:val="57585A"/>
          <w:spacing w:val="-10"/>
          <w:sz w:val="20"/>
          <w:szCs w:val="20"/>
        </w:rPr>
        <w:t>will increase 5.0%</w:t>
      </w:r>
      <w:r>
        <w:rPr>
          <w:color w:val="57585A"/>
          <w:spacing w:val="-16"/>
          <w:sz w:val="20"/>
          <w:szCs w:val="20"/>
        </w:rPr>
        <w:t xml:space="preserve"> </w:t>
      </w:r>
      <w:r>
        <w:rPr>
          <w:color w:val="57585A"/>
          <w:spacing w:val="-10"/>
          <w:sz w:val="20"/>
          <w:szCs w:val="20"/>
        </w:rPr>
        <w:t>y-o-y in 2025 to 741,000b/d, followi</w:t>
      </w:r>
      <w:r>
        <w:rPr>
          <w:color w:val="57585A"/>
          <w:spacing w:val="-11"/>
          <w:sz w:val="20"/>
          <w:szCs w:val="20"/>
        </w:rPr>
        <w:t>ng 11.0% growth in 2024. Between 2025 and</w:t>
      </w:r>
    </w:p>
    <w:p w14:paraId="3ED1FDEC">
      <w:pPr>
        <w:pStyle w:val="4"/>
        <w:spacing w:before="57" w:line="283" w:lineRule="auto"/>
        <w:ind w:left="359" w:right="588" w:firstLine="11"/>
        <w:rPr>
          <w:sz w:val="20"/>
          <w:szCs w:val="20"/>
        </w:rPr>
      </w:pPr>
      <w:r>
        <w:rPr>
          <w:color w:val="57585A"/>
          <w:spacing w:val="-12"/>
          <w:sz w:val="20"/>
          <w:szCs w:val="20"/>
        </w:rPr>
        <w:t>2029, growth</w:t>
      </w:r>
      <w:r>
        <w:rPr>
          <w:color w:val="57585A"/>
          <w:spacing w:val="-16"/>
          <w:sz w:val="20"/>
          <w:szCs w:val="20"/>
        </w:rPr>
        <w:t xml:space="preserve"> </w:t>
      </w:r>
      <w:r>
        <w:rPr>
          <w:color w:val="57585A"/>
          <w:spacing w:val="-12"/>
          <w:sz w:val="20"/>
          <w:szCs w:val="20"/>
        </w:rPr>
        <w:t>will average 4.3% annually, supported by shale projects and infrastructure expansions. The Oldelval consortium a</w:t>
      </w:r>
      <w:r>
        <w:rPr>
          <w:color w:val="57585A"/>
          <w:spacing w:val="-13"/>
          <w:sz w:val="20"/>
          <w:szCs w:val="20"/>
        </w:rPr>
        <w:t>nd</w:t>
      </w:r>
      <w:r>
        <w:rPr>
          <w:color w:val="57585A"/>
          <w:sz w:val="20"/>
          <w:szCs w:val="20"/>
        </w:rPr>
        <w:t xml:space="preserve"> </w:t>
      </w:r>
      <w:r>
        <w:rPr>
          <w:color w:val="57585A"/>
          <w:spacing w:val="-12"/>
          <w:sz w:val="20"/>
          <w:szCs w:val="20"/>
        </w:rPr>
        <w:t>YPF plan to expand midstream capacity, crucial for Vaca Muerta's exit capacity. Infrastructure pr</w:t>
      </w:r>
      <w:r>
        <w:rPr>
          <w:color w:val="57585A"/>
          <w:spacing w:val="-13"/>
          <w:sz w:val="20"/>
          <w:szCs w:val="20"/>
        </w:rPr>
        <w:t>ojects like Vaca Muerta South oil</w:t>
      </w:r>
      <w:r>
        <w:rPr>
          <w:color w:val="57585A"/>
          <w:sz w:val="20"/>
          <w:szCs w:val="20"/>
        </w:rPr>
        <w:t xml:space="preserve"> </w:t>
      </w:r>
      <w:r>
        <w:rPr>
          <w:color w:val="57585A"/>
          <w:spacing w:val="-11"/>
          <w:sz w:val="20"/>
          <w:szCs w:val="20"/>
        </w:rPr>
        <w:t xml:space="preserve">pipeline and Oldelval's Duplicar project </w:t>
      </w:r>
      <w:r>
        <w:rPr>
          <w:color w:val="57585A"/>
          <w:spacing w:val="-12"/>
          <w:sz w:val="20"/>
          <w:szCs w:val="20"/>
        </w:rPr>
        <w:t>will boost midstream capacity. Despite regulatory uncertainties,</w:t>
      </w:r>
      <w:r>
        <w:rPr>
          <w:color w:val="57585A"/>
          <w:spacing w:val="1"/>
          <w:sz w:val="20"/>
          <w:szCs w:val="20"/>
        </w:rPr>
        <w:t xml:space="preserve"> </w:t>
      </w:r>
      <w:r>
        <w:rPr>
          <w:color w:val="57585A"/>
          <w:spacing w:val="-12"/>
          <w:sz w:val="20"/>
          <w:szCs w:val="20"/>
        </w:rPr>
        <w:t>President</w:t>
      </w:r>
      <w:r>
        <w:rPr>
          <w:color w:val="57585A"/>
          <w:sz w:val="20"/>
          <w:szCs w:val="20"/>
        </w:rPr>
        <w:t xml:space="preserve"> </w:t>
      </w:r>
      <w:r>
        <w:rPr>
          <w:color w:val="57585A"/>
          <w:spacing w:val="-12"/>
          <w:sz w:val="20"/>
          <w:szCs w:val="20"/>
        </w:rPr>
        <w:t>Milei's agenda is</w:t>
      </w:r>
      <w:r>
        <w:rPr>
          <w:color w:val="57585A"/>
          <w:sz w:val="20"/>
          <w:szCs w:val="20"/>
        </w:rPr>
        <w:t xml:space="preserve"> </w:t>
      </w:r>
      <w:r>
        <w:rPr>
          <w:color w:val="57585A"/>
          <w:spacing w:val="-9"/>
          <w:sz w:val="20"/>
          <w:szCs w:val="20"/>
        </w:rPr>
        <w:t>expected to</w:t>
      </w:r>
      <w:r>
        <w:rPr>
          <w:color w:val="57585A"/>
          <w:spacing w:val="-12"/>
          <w:sz w:val="20"/>
          <w:szCs w:val="20"/>
        </w:rPr>
        <w:t xml:space="preserve"> </w:t>
      </w:r>
      <w:r>
        <w:rPr>
          <w:color w:val="57585A"/>
          <w:spacing w:val="-9"/>
          <w:sz w:val="20"/>
          <w:szCs w:val="20"/>
        </w:rPr>
        <w:t>foster long-term growth.</w:t>
      </w:r>
    </w:p>
    <w:p w14:paraId="4C5FAC8A">
      <w:pPr>
        <w:spacing w:line="283" w:lineRule="auto"/>
        <w:rPr>
          <w:sz w:val="20"/>
          <w:szCs w:val="20"/>
        </w:rPr>
        <w:sectPr>
          <w:footerReference r:id="rId49" w:type="default"/>
          <w:pgSz w:w="11906" w:h="16838"/>
          <w:pgMar w:top="400" w:right="490" w:bottom="883" w:left="490" w:header="0" w:footer="0" w:gutter="0"/>
          <w:cols w:space="720" w:num="1"/>
        </w:sectPr>
      </w:pPr>
    </w:p>
    <w:p w14:paraId="5EC780F5">
      <w:pPr>
        <w:pStyle w:val="4"/>
        <w:spacing w:before="73" w:line="241" w:lineRule="auto"/>
        <w:ind w:left="7372"/>
        <w:rPr>
          <w:sz w:val="20"/>
          <w:szCs w:val="20"/>
        </w:rPr>
      </w:pPr>
      <w:r>
        <w:drawing>
          <wp:anchor distT="0" distB="0" distL="0" distR="0" simplePos="0" relativeHeight="25185792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58944" behindDoc="0" locked="0" layoutInCell="0" allowOverlap="1">
            <wp:simplePos x="0" y="0"/>
            <wp:positionH relativeFrom="page">
              <wp:posOffset>311150</wp:posOffset>
            </wp:positionH>
            <wp:positionV relativeFrom="page">
              <wp:posOffset>0</wp:posOffset>
            </wp:positionV>
            <wp:extent cx="19050" cy="814070"/>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1BFEA0B">
      <w:pPr>
        <w:pStyle w:val="4"/>
        <w:spacing w:line="278" w:lineRule="auto"/>
      </w:pPr>
    </w:p>
    <w:p w14:paraId="4071BB98">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3AAA2B0">
      <w:pPr>
        <w:pStyle w:val="4"/>
        <w:spacing w:line="470" w:lineRule="auto"/>
      </w:pPr>
    </w:p>
    <w:p w14:paraId="09F4B996">
      <w:pPr>
        <w:pStyle w:val="4"/>
        <w:spacing w:before="58" w:line="231" w:lineRule="auto"/>
        <w:ind w:left="376"/>
        <w:rPr>
          <w:sz w:val="20"/>
          <w:szCs w:val="20"/>
        </w:rPr>
      </w:pPr>
      <w:r>
        <w:rPr>
          <w:color w:val="57585A"/>
          <w:spacing w:val="-11"/>
          <w:sz w:val="20"/>
          <w:szCs w:val="20"/>
        </w:rPr>
        <w:t xml:space="preserve">Mexico ranks third, facing </w:t>
      </w:r>
      <w:r>
        <w:rPr>
          <w:color w:val="57585A"/>
          <w:spacing w:val="-12"/>
          <w:sz w:val="20"/>
          <w:szCs w:val="20"/>
        </w:rPr>
        <w:t>challenges</w:t>
      </w:r>
      <w:r>
        <w:rPr>
          <w:color w:val="57585A"/>
          <w:spacing w:val="-15"/>
          <w:sz w:val="20"/>
          <w:szCs w:val="20"/>
        </w:rPr>
        <w:t xml:space="preserve"> </w:t>
      </w:r>
      <w:r>
        <w:rPr>
          <w:color w:val="57585A"/>
          <w:spacing w:val="-12"/>
          <w:sz w:val="20"/>
          <w:szCs w:val="20"/>
        </w:rPr>
        <w:t>with Pemex and limited private market share. The outlook is bearish,</w:t>
      </w:r>
      <w:r>
        <w:rPr>
          <w:color w:val="57585A"/>
          <w:spacing w:val="-16"/>
          <w:sz w:val="20"/>
          <w:szCs w:val="20"/>
        </w:rPr>
        <w:t xml:space="preserve"> </w:t>
      </w:r>
      <w:r>
        <w:rPr>
          <w:color w:val="57585A"/>
          <w:spacing w:val="-12"/>
          <w:sz w:val="20"/>
          <w:szCs w:val="20"/>
        </w:rPr>
        <w:t>with a 2.0% production</w:t>
      </w:r>
    </w:p>
    <w:p w14:paraId="374B9EC3">
      <w:pPr>
        <w:pStyle w:val="4"/>
        <w:spacing w:before="58" w:line="273" w:lineRule="auto"/>
        <w:ind w:left="371" w:right="421" w:hanging="2"/>
        <w:rPr>
          <w:sz w:val="20"/>
          <w:szCs w:val="20"/>
        </w:rPr>
      </w:pPr>
      <w:r>
        <w:rPr>
          <w:color w:val="57585A"/>
          <w:spacing w:val="-11"/>
          <w:sz w:val="20"/>
          <w:szCs w:val="20"/>
        </w:rPr>
        <w:t xml:space="preserve">decline in 2025, following </w:t>
      </w:r>
      <w:r>
        <w:rPr>
          <w:color w:val="57585A"/>
          <w:spacing w:val="-12"/>
          <w:sz w:val="20"/>
          <w:szCs w:val="20"/>
        </w:rPr>
        <w:t>a 5.0% decline in 2024. Claudia Sheinbaum's presidency is expected to maintain a similar industry stance,</w:t>
      </w:r>
      <w:r>
        <w:rPr>
          <w:color w:val="57585A"/>
          <w:sz w:val="20"/>
          <w:szCs w:val="20"/>
        </w:rPr>
        <w:t xml:space="preserve"> </w:t>
      </w:r>
      <w:r>
        <w:rPr>
          <w:color w:val="57585A"/>
          <w:spacing w:val="-10"/>
          <w:sz w:val="20"/>
          <w:szCs w:val="20"/>
        </w:rPr>
        <w:t>integrating more renewables</w:t>
      </w:r>
      <w:r>
        <w:rPr>
          <w:color w:val="57585A"/>
          <w:spacing w:val="-16"/>
          <w:sz w:val="20"/>
          <w:szCs w:val="20"/>
        </w:rPr>
        <w:t xml:space="preserve"> </w:t>
      </w:r>
      <w:r>
        <w:rPr>
          <w:color w:val="57585A"/>
          <w:spacing w:val="-10"/>
          <w:sz w:val="20"/>
          <w:szCs w:val="20"/>
        </w:rPr>
        <w:t>while keeping crude oil output stable. Restrictive policies limit private particip</w:t>
      </w:r>
      <w:r>
        <w:rPr>
          <w:color w:val="57585A"/>
          <w:spacing w:val="-11"/>
          <w:sz w:val="20"/>
          <w:szCs w:val="20"/>
        </w:rPr>
        <w:t>ation, constraining</w:t>
      </w:r>
    </w:p>
    <w:p w14:paraId="0FF2F77C">
      <w:pPr>
        <w:pStyle w:val="4"/>
        <w:spacing w:before="37" w:line="279" w:lineRule="auto"/>
        <w:ind w:left="370" w:right="383" w:hanging="3"/>
        <w:rPr>
          <w:sz w:val="20"/>
          <w:szCs w:val="20"/>
        </w:rPr>
      </w:pPr>
      <w:r>
        <w:rPr>
          <w:color w:val="57585A"/>
          <w:spacing w:val="-12"/>
          <w:sz w:val="20"/>
          <w:szCs w:val="20"/>
        </w:rPr>
        <w:t>growth. Pemex dominates with over 93% market share. Efforts to prioritise fields l</w:t>
      </w:r>
      <w:r>
        <w:rPr>
          <w:color w:val="57585A"/>
          <w:spacing w:val="-13"/>
          <w:sz w:val="20"/>
          <w:szCs w:val="20"/>
        </w:rPr>
        <w:t>ike Bakte and modernize Bacab</w:t>
      </w:r>
      <w:r>
        <w:rPr>
          <w:color w:val="57585A"/>
          <w:spacing w:val="-2"/>
          <w:sz w:val="20"/>
          <w:szCs w:val="20"/>
        </w:rPr>
        <w:t xml:space="preserve"> </w:t>
      </w:r>
      <w:r>
        <w:rPr>
          <w:color w:val="57585A"/>
          <w:spacing w:val="-13"/>
          <w:sz w:val="20"/>
          <w:szCs w:val="20"/>
        </w:rPr>
        <w:t>have seen</w:t>
      </w:r>
      <w:r>
        <w:rPr>
          <w:color w:val="57585A"/>
          <w:spacing w:val="-16"/>
          <w:sz w:val="20"/>
          <w:szCs w:val="20"/>
        </w:rPr>
        <w:t xml:space="preserve"> </w:t>
      </w:r>
      <w:r>
        <w:rPr>
          <w:color w:val="57585A"/>
          <w:spacing w:val="-13"/>
          <w:sz w:val="20"/>
          <w:szCs w:val="20"/>
        </w:rPr>
        <w:t>weaker</w:t>
      </w:r>
      <w:r>
        <w:rPr>
          <w:color w:val="57585A"/>
          <w:sz w:val="20"/>
          <w:szCs w:val="20"/>
        </w:rPr>
        <w:t xml:space="preserve"> </w:t>
      </w:r>
      <w:r>
        <w:rPr>
          <w:color w:val="57585A"/>
          <w:spacing w:val="-11"/>
          <w:sz w:val="20"/>
          <w:szCs w:val="20"/>
        </w:rPr>
        <w:t>performance. The medium-term forecast relies on projects like Zama, expected to deliver first oil</w:t>
      </w:r>
      <w:r>
        <w:rPr>
          <w:color w:val="57585A"/>
          <w:spacing w:val="-12"/>
          <w:sz w:val="20"/>
          <w:szCs w:val="20"/>
        </w:rPr>
        <w:t xml:space="preserve"> in 2025, and Trion, slated for first oil</w:t>
      </w:r>
      <w:r>
        <w:rPr>
          <w:color w:val="57585A"/>
          <w:sz w:val="20"/>
          <w:szCs w:val="20"/>
        </w:rPr>
        <w:t xml:space="preserve"> </w:t>
      </w:r>
      <w:r>
        <w:rPr>
          <w:color w:val="57585A"/>
          <w:spacing w:val="-11"/>
          <w:sz w:val="20"/>
          <w:szCs w:val="20"/>
        </w:rPr>
        <w:t>in 2028. However, regulatory hurdles and focus on shallow water/onshore fields pose challenges to growth.</w:t>
      </w:r>
    </w:p>
    <w:p w14:paraId="2F4D6A99">
      <w:pPr>
        <w:pStyle w:val="4"/>
        <w:spacing w:line="295" w:lineRule="auto"/>
      </w:pPr>
    </w:p>
    <w:p w14:paraId="6E133315">
      <w:pPr>
        <w:pStyle w:val="4"/>
        <w:spacing w:line="295" w:lineRule="auto"/>
      </w:pPr>
    </w:p>
    <w:p w14:paraId="4E03D25F">
      <w:pPr>
        <w:pStyle w:val="4"/>
        <w:spacing w:before="70" w:line="236" w:lineRule="auto"/>
        <w:ind w:left="3439"/>
        <w:outlineLvl w:val="1"/>
        <w:rPr>
          <w:sz w:val="24"/>
          <w:szCs w:val="24"/>
        </w:rPr>
      </w:pPr>
      <w:r>
        <w:rPr>
          <w:color w:val="174174"/>
          <w:spacing w:val="-15"/>
          <w:sz w:val="24"/>
          <w:szCs w:val="24"/>
        </w:rPr>
        <w:t>Ecuador Supersedes</w:t>
      </w:r>
      <w:r>
        <w:rPr>
          <w:color w:val="174174"/>
          <w:spacing w:val="-9"/>
          <w:sz w:val="24"/>
          <w:szCs w:val="24"/>
        </w:rPr>
        <w:t xml:space="preserve"> </w:t>
      </w:r>
      <w:r>
        <w:rPr>
          <w:color w:val="174174"/>
          <w:spacing w:val="-15"/>
          <w:sz w:val="24"/>
          <w:szCs w:val="24"/>
        </w:rPr>
        <w:t>Venezuela In Our RRI</w:t>
      </w:r>
    </w:p>
    <w:p w14:paraId="73CCB8A0">
      <w:pPr>
        <w:pStyle w:val="4"/>
        <w:spacing w:before="30" w:line="231" w:lineRule="auto"/>
        <w:ind w:left="3084"/>
        <w:outlineLvl w:val="1"/>
        <w:rPr>
          <w:sz w:val="20"/>
          <w:szCs w:val="20"/>
        </w:rPr>
      </w:pPr>
      <w:r>
        <w:rPr>
          <w:color w:val="333333"/>
          <w:spacing w:val="-15"/>
          <w:sz w:val="20"/>
          <w:szCs w:val="20"/>
        </w:rPr>
        <w:t>Brazil &amp; Ecuador Vs</w:t>
      </w:r>
      <w:r>
        <w:rPr>
          <w:color w:val="333333"/>
          <w:spacing w:val="-16"/>
          <w:sz w:val="20"/>
          <w:szCs w:val="20"/>
        </w:rPr>
        <w:t xml:space="preserve"> Latam Average - RRI Index, By</w:t>
      </w:r>
      <w:r>
        <w:rPr>
          <w:color w:val="333333"/>
          <w:spacing w:val="-6"/>
          <w:sz w:val="20"/>
          <w:szCs w:val="20"/>
        </w:rPr>
        <w:t xml:space="preserve"> </w:t>
      </w:r>
      <w:r>
        <w:rPr>
          <w:color w:val="333333"/>
          <w:spacing w:val="-16"/>
          <w:sz w:val="20"/>
          <w:szCs w:val="20"/>
        </w:rPr>
        <w:t>Component</w:t>
      </w:r>
    </w:p>
    <w:p w14:paraId="2A614A36">
      <w:pPr>
        <w:spacing w:before="96" w:line="4500" w:lineRule="exact"/>
        <w:ind w:firstLine="1862"/>
      </w:pPr>
      <w:r>
        <w:rPr>
          <w:position w:val="-89"/>
        </w:rPr>
        <w:drawing>
          <wp:inline distT="0" distB="0" distL="0" distR="0">
            <wp:extent cx="4572000" cy="2856865"/>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34"/>
                    <a:stretch>
                      <a:fillRect/>
                    </a:stretch>
                  </pic:blipFill>
                  <pic:spPr>
                    <a:xfrm>
                      <a:off x="0" y="0"/>
                      <a:ext cx="4572000" cy="2857499"/>
                    </a:xfrm>
                    <a:prstGeom prst="rect">
                      <a:avLst/>
                    </a:prstGeom>
                  </pic:spPr>
                </pic:pic>
              </a:graphicData>
            </a:graphic>
          </wp:inline>
        </w:drawing>
      </w:r>
    </w:p>
    <w:p w14:paraId="66E8D5AF">
      <w:pPr>
        <w:pStyle w:val="4"/>
        <w:spacing w:before="149" w:line="178" w:lineRule="exact"/>
        <w:ind w:left="1874"/>
        <w:rPr>
          <w:sz w:val="15"/>
          <w:szCs w:val="15"/>
        </w:rPr>
      </w:pPr>
      <w:r>
        <w:drawing>
          <wp:anchor distT="0" distB="0" distL="0" distR="0" simplePos="0" relativeHeight="25185689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5"/>
          <w:position w:val="1"/>
          <w:sz w:val="15"/>
          <w:szCs w:val="15"/>
        </w:rPr>
        <w:t>Note: Scores out</w:t>
      </w:r>
      <w:r>
        <w:rPr>
          <w:i/>
          <w:iCs/>
          <w:color w:val="333333"/>
          <w:spacing w:val="-11"/>
          <w:position w:val="1"/>
          <w:sz w:val="15"/>
          <w:szCs w:val="15"/>
        </w:rPr>
        <w:t xml:space="preserve"> </w:t>
      </w:r>
      <w:r>
        <w:rPr>
          <w:i/>
          <w:iCs/>
          <w:color w:val="333333"/>
          <w:spacing w:val="-5"/>
          <w:w w:val="95"/>
          <w:position w:val="1"/>
          <w:sz w:val="15"/>
          <w:szCs w:val="15"/>
        </w:rPr>
        <w:t>of</w:t>
      </w:r>
      <w:r>
        <w:rPr>
          <w:i/>
          <w:iCs/>
          <w:color w:val="333333"/>
          <w:spacing w:val="-10"/>
          <w:position w:val="1"/>
          <w:sz w:val="15"/>
          <w:szCs w:val="15"/>
        </w:rPr>
        <w:t xml:space="preserve"> </w:t>
      </w:r>
      <w:r>
        <w:rPr>
          <w:i/>
          <w:iCs/>
          <w:color w:val="333333"/>
          <w:spacing w:val="-5"/>
          <w:w w:val="95"/>
          <w:position w:val="1"/>
          <w:sz w:val="15"/>
          <w:szCs w:val="15"/>
        </w:rPr>
        <w:t>100;</w:t>
      </w:r>
      <w:r>
        <w:rPr>
          <w:i/>
          <w:iCs/>
          <w:color w:val="333333"/>
          <w:spacing w:val="-9"/>
          <w:position w:val="1"/>
          <w:sz w:val="15"/>
          <w:szCs w:val="15"/>
        </w:rPr>
        <w:t xml:space="preserve"> </w:t>
      </w:r>
      <w:r>
        <w:rPr>
          <w:i/>
          <w:iCs/>
          <w:color w:val="333333"/>
          <w:spacing w:val="-5"/>
          <w:w w:val="95"/>
          <w:position w:val="1"/>
          <w:sz w:val="15"/>
          <w:szCs w:val="15"/>
        </w:rPr>
        <w:t>lower</w:t>
      </w:r>
      <w:r>
        <w:rPr>
          <w:i/>
          <w:iCs/>
          <w:color w:val="333333"/>
          <w:spacing w:val="-19"/>
          <w:position w:val="1"/>
          <w:sz w:val="15"/>
          <w:szCs w:val="15"/>
        </w:rPr>
        <w:t xml:space="preserve"> </w:t>
      </w:r>
      <w:r>
        <w:rPr>
          <w:i/>
          <w:iCs/>
          <w:color w:val="333333"/>
          <w:spacing w:val="-5"/>
          <w:w w:val="95"/>
          <w:position w:val="1"/>
          <w:sz w:val="15"/>
          <w:szCs w:val="15"/>
        </w:rPr>
        <w:t>score =</w:t>
      </w:r>
      <w:r>
        <w:rPr>
          <w:i/>
          <w:iCs/>
          <w:color w:val="333333"/>
          <w:spacing w:val="-6"/>
          <w:w w:val="95"/>
          <w:position w:val="1"/>
          <w:sz w:val="15"/>
          <w:szCs w:val="15"/>
        </w:rPr>
        <w:t xml:space="preserve"> more attractive market. Source: BMI</w:t>
      </w:r>
    </w:p>
    <w:p w14:paraId="4DD89DDB">
      <w:pPr>
        <w:pStyle w:val="4"/>
        <w:spacing w:line="358" w:lineRule="auto"/>
      </w:pPr>
    </w:p>
    <w:p w14:paraId="43BC0A99">
      <w:pPr>
        <w:pStyle w:val="4"/>
        <w:spacing w:before="57" w:line="273" w:lineRule="auto"/>
        <w:ind w:left="372" w:right="610" w:hanging="3"/>
        <w:rPr>
          <w:sz w:val="20"/>
          <w:szCs w:val="20"/>
        </w:rPr>
      </w:pPr>
      <w:r>
        <w:rPr>
          <w:color w:val="57585A"/>
          <w:spacing w:val="-11"/>
          <w:sz w:val="20"/>
          <w:szCs w:val="20"/>
        </w:rPr>
        <w:t>Guyana has risen high in Indu</w:t>
      </w:r>
      <w:r>
        <w:rPr>
          <w:color w:val="57585A"/>
          <w:spacing w:val="-12"/>
          <w:sz w:val="20"/>
          <w:szCs w:val="20"/>
        </w:rPr>
        <w:t>stry Rewards, driven by</w:t>
      </w:r>
      <w:r>
        <w:rPr>
          <w:color w:val="57585A"/>
          <w:spacing w:val="-2"/>
          <w:sz w:val="20"/>
          <w:szCs w:val="20"/>
        </w:rPr>
        <w:t xml:space="preserve"> </w:t>
      </w:r>
      <w:r>
        <w:rPr>
          <w:color w:val="57585A"/>
          <w:spacing w:val="-12"/>
          <w:sz w:val="20"/>
          <w:szCs w:val="20"/>
        </w:rPr>
        <w:t>robust growth in crude</w:t>
      </w:r>
      <w:r>
        <w:rPr>
          <w:color w:val="57585A"/>
          <w:spacing w:val="-6"/>
          <w:sz w:val="20"/>
          <w:szCs w:val="20"/>
        </w:rPr>
        <w:t xml:space="preserve"> </w:t>
      </w:r>
      <w:r>
        <w:rPr>
          <w:color w:val="57585A"/>
          <w:spacing w:val="-12"/>
          <w:sz w:val="20"/>
          <w:szCs w:val="20"/>
        </w:rPr>
        <w:t>oil</w:t>
      </w:r>
      <w:r>
        <w:rPr>
          <w:color w:val="57585A"/>
          <w:spacing w:val="-1"/>
          <w:sz w:val="20"/>
          <w:szCs w:val="20"/>
        </w:rPr>
        <w:t xml:space="preserve"> </w:t>
      </w:r>
      <w:r>
        <w:rPr>
          <w:color w:val="57585A"/>
          <w:spacing w:val="-12"/>
          <w:sz w:val="20"/>
          <w:szCs w:val="20"/>
        </w:rPr>
        <w:t>production and some</w:t>
      </w:r>
      <w:r>
        <w:rPr>
          <w:color w:val="57585A"/>
          <w:spacing w:val="-2"/>
          <w:sz w:val="20"/>
          <w:szCs w:val="20"/>
        </w:rPr>
        <w:t xml:space="preserve"> </w:t>
      </w:r>
      <w:r>
        <w:rPr>
          <w:color w:val="57585A"/>
          <w:spacing w:val="-12"/>
          <w:sz w:val="20"/>
          <w:szCs w:val="20"/>
        </w:rPr>
        <w:t>natural gas output</w:t>
      </w:r>
      <w:r>
        <w:rPr>
          <w:color w:val="57585A"/>
          <w:spacing w:val="-6"/>
          <w:sz w:val="20"/>
          <w:szCs w:val="20"/>
        </w:rPr>
        <w:t xml:space="preserve"> </w:t>
      </w:r>
      <w:r>
        <w:rPr>
          <w:color w:val="57585A"/>
          <w:spacing w:val="-12"/>
          <w:sz w:val="20"/>
          <w:szCs w:val="20"/>
        </w:rPr>
        <w:t>over the</w:t>
      </w:r>
      <w:r>
        <w:rPr>
          <w:color w:val="57585A"/>
          <w:sz w:val="20"/>
          <w:szCs w:val="20"/>
        </w:rPr>
        <w:t xml:space="preserve"> </w:t>
      </w:r>
      <w:r>
        <w:rPr>
          <w:color w:val="57585A"/>
          <w:spacing w:val="-11"/>
          <w:sz w:val="20"/>
          <w:szCs w:val="20"/>
        </w:rPr>
        <w:t>next decade. ExxonMobil is currently producing from three projects,</w:t>
      </w:r>
      <w:r>
        <w:rPr>
          <w:color w:val="57585A"/>
          <w:spacing w:val="-5"/>
          <w:sz w:val="20"/>
          <w:szCs w:val="20"/>
        </w:rPr>
        <w:t xml:space="preserve"> </w:t>
      </w:r>
      <w:r>
        <w:rPr>
          <w:color w:val="57585A"/>
          <w:spacing w:val="-11"/>
          <w:sz w:val="20"/>
          <w:szCs w:val="20"/>
        </w:rPr>
        <w:t>with two more awaiting final investment decisions:</w:t>
      </w:r>
    </w:p>
    <w:p w14:paraId="570E20AD">
      <w:pPr>
        <w:pStyle w:val="4"/>
        <w:spacing w:before="37" w:line="273" w:lineRule="auto"/>
        <w:ind w:left="371" w:right="484" w:firstLine="5"/>
        <w:rPr>
          <w:sz w:val="20"/>
          <w:szCs w:val="20"/>
        </w:rPr>
      </w:pPr>
      <w:r>
        <w:rPr>
          <w:color w:val="57585A"/>
          <w:spacing w:val="-11"/>
          <w:sz w:val="20"/>
          <w:szCs w:val="20"/>
        </w:rPr>
        <w:t>Hammerhead in 2025 and Longtail in 2027. In</w:t>
      </w:r>
      <w:r>
        <w:rPr>
          <w:color w:val="57585A"/>
          <w:spacing w:val="-10"/>
          <w:sz w:val="20"/>
          <w:szCs w:val="20"/>
        </w:rPr>
        <w:t xml:space="preserve"> </w:t>
      </w:r>
      <w:r>
        <w:rPr>
          <w:color w:val="57585A"/>
          <w:spacing w:val="-11"/>
          <w:sz w:val="20"/>
          <w:szCs w:val="20"/>
        </w:rPr>
        <w:t>April 2024, the Whiptail project</w:t>
      </w:r>
      <w:r>
        <w:rPr>
          <w:color w:val="57585A"/>
          <w:spacing w:val="-16"/>
          <w:sz w:val="20"/>
          <w:szCs w:val="20"/>
        </w:rPr>
        <w:t xml:space="preserve"> </w:t>
      </w:r>
      <w:r>
        <w:rPr>
          <w:color w:val="57585A"/>
          <w:spacing w:val="-11"/>
          <w:sz w:val="20"/>
          <w:szCs w:val="20"/>
        </w:rPr>
        <w:t>was sanctioned, set to begin production in 2027. H2</w:t>
      </w:r>
      <w:r>
        <w:rPr>
          <w:color w:val="57585A"/>
          <w:sz w:val="20"/>
          <w:szCs w:val="20"/>
        </w:rPr>
        <w:t xml:space="preserve"> </w:t>
      </w:r>
      <w:r>
        <w:rPr>
          <w:color w:val="57585A"/>
          <w:spacing w:val="-10"/>
          <w:sz w:val="20"/>
          <w:szCs w:val="20"/>
        </w:rPr>
        <w:t>2024 data prompted a revision of</w:t>
      </w:r>
      <w:r>
        <w:rPr>
          <w:color w:val="57585A"/>
          <w:spacing w:val="-15"/>
          <w:sz w:val="20"/>
          <w:szCs w:val="20"/>
        </w:rPr>
        <w:t xml:space="preserve"> </w:t>
      </w:r>
      <w:r>
        <w:rPr>
          <w:color w:val="57585A"/>
          <w:spacing w:val="-10"/>
          <w:sz w:val="20"/>
          <w:szCs w:val="20"/>
        </w:rPr>
        <w:t>crude oil production estimates to 607,500 b/d,</w:t>
      </w:r>
      <w:r>
        <w:rPr>
          <w:color w:val="57585A"/>
          <w:spacing w:val="-16"/>
          <w:sz w:val="20"/>
          <w:szCs w:val="20"/>
        </w:rPr>
        <w:t xml:space="preserve"> </w:t>
      </w:r>
      <w:r>
        <w:rPr>
          <w:color w:val="57585A"/>
          <w:spacing w:val="-10"/>
          <w:sz w:val="20"/>
          <w:szCs w:val="20"/>
        </w:rPr>
        <w:t>with a 23% growth antic</w:t>
      </w:r>
      <w:r>
        <w:rPr>
          <w:color w:val="57585A"/>
          <w:spacing w:val="-11"/>
          <w:sz w:val="20"/>
          <w:szCs w:val="20"/>
        </w:rPr>
        <w:t>ipated by 2025. Major</w:t>
      </w:r>
    </w:p>
    <w:p w14:paraId="65A3B473">
      <w:pPr>
        <w:pStyle w:val="4"/>
        <w:spacing w:before="37" w:line="273" w:lineRule="auto"/>
        <w:ind w:left="377" w:right="579" w:hanging="8"/>
        <w:rPr>
          <w:sz w:val="20"/>
          <w:szCs w:val="20"/>
        </w:rPr>
      </w:pPr>
      <w:r>
        <w:rPr>
          <w:color w:val="57585A"/>
          <w:spacing w:val="-11"/>
          <w:sz w:val="20"/>
          <w:szCs w:val="20"/>
        </w:rPr>
        <w:t>developments like</w:t>
      </w:r>
      <w:r>
        <w:rPr>
          <w:color w:val="57585A"/>
          <w:spacing w:val="-15"/>
          <w:sz w:val="20"/>
          <w:szCs w:val="20"/>
        </w:rPr>
        <w:t xml:space="preserve"> </w:t>
      </w:r>
      <w:r>
        <w:rPr>
          <w:color w:val="57585A"/>
          <w:spacing w:val="-11"/>
          <w:sz w:val="20"/>
          <w:szCs w:val="20"/>
        </w:rPr>
        <w:t>Yellowtail, Uaru, and Whiptail are expected to significantly boost production, reaching 89</w:t>
      </w:r>
      <w:r>
        <w:rPr>
          <w:color w:val="57585A"/>
          <w:spacing w:val="-12"/>
          <w:sz w:val="20"/>
          <w:szCs w:val="20"/>
        </w:rPr>
        <w:t>5,200b/d by 2026 and</w:t>
      </w:r>
      <w:r>
        <w:rPr>
          <w:color w:val="57585A"/>
          <w:sz w:val="20"/>
          <w:szCs w:val="20"/>
        </w:rPr>
        <w:t xml:space="preserve"> </w:t>
      </w:r>
      <w:r>
        <w:rPr>
          <w:color w:val="57585A"/>
          <w:spacing w:val="-11"/>
          <w:sz w:val="20"/>
          <w:szCs w:val="20"/>
        </w:rPr>
        <w:t>1.40mn b/d by 2032.</w:t>
      </w:r>
    </w:p>
    <w:p w14:paraId="1167CE15">
      <w:pPr>
        <w:pStyle w:val="4"/>
        <w:spacing w:line="265" w:lineRule="auto"/>
      </w:pPr>
    </w:p>
    <w:p w14:paraId="40FCC7EE">
      <w:pPr>
        <w:pStyle w:val="4"/>
        <w:spacing w:before="58" w:line="231" w:lineRule="auto"/>
        <w:ind w:left="376"/>
        <w:rPr>
          <w:sz w:val="20"/>
          <w:szCs w:val="20"/>
        </w:rPr>
      </w:pPr>
      <w:r>
        <w:rPr>
          <w:color w:val="57585A"/>
          <w:spacing w:val="-12"/>
          <w:sz w:val="20"/>
          <w:szCs w:val="20"/>
        </w:rPr>
        <w:t>However, inflationary pressures pose risks to project timelines, as seen with Uar</w:t>
      </w:r>
      <w:r>
        <w:rPr>
          <w:color w:val="57585A"/>
          <w:spacing w:val="-13"/>
          <w:sz w:val="20"/>
          <w:szCs w:val="20"/>
        </w:rPr>
        <w:t>u's cost rise from USD10.0bn to USD12.7bn.</w:t>
      </w:r>
    </w:p>
    <w:p w14:paraId="42817557">
      <w:pPr>
        <w:pStyle w:val="4"/>
        <w:spacing w:before="60" w:line="279" w:lineRule="auto"/>
        <w:ind w:left="359" w:right="664" w:firstLine="9"/>
        <w:jc w:val="both"/>
        <w:rPr>
          <w:sz w:val="20"/>
          <w:szCs w:val="20"/>
        </w:rPr>
      </w:pPr>
      <w:r>
        <w:rPr>
          <w:color w:val="57585A"/>
          <w:spacing w:val="-10"/>
          <w:sz w:val="20"/>
          <w:szCs w:val="20"/>
        </w:rPr>
        <w:t>Guyana's strategic initiatives, includ</w:t>
      </w:r>
      <w:r>
        <w:rPr>
          <w:color w:val="57585A"/>
          <w:spacing w:val="-11"/>
          <w:sz w:val="20"/>
          <w:szCs w:val="20"/>
        </w:rPr>
        <w:t>ing potential adjustments to bidding rounds and local content laws, and geopolitical tensions</w:t>
      </w:r>
      <w:r>
        <w:rPr>
          <w:color w:val="57585A"/>
          <w:sz w:val="20"/>
          <w:szCs w:val="20"/>
        </w:rPr>
        <w:t xml:space="preserve"> </w:t>
      </w:r>
      <w:r>
        <w:rPr>
          <w:color w:val="57585A"/>
          <w:spacing w:val="-10"/>
          <w:sz w:val="20"/>
          <w:szCs w:val="20"/>
        </w:rPr>
        <w:t>with Venezuela, could influence future produc</w:t>
      </w:r>
      <w:r>
        <w:rPr>
          <w:color w:val="57585A"/>
          <w:spacing w:val="-11"/>
          <w:sz w:val="20"/>
          <w:szCs w:val="20"/>
        </w:rPr>
        <w:t>tion dynamics. Despite challenges, the country remains a hotspot for upstream oil</w:t>
      </w:r>
      <w:r>
        <w:rPr>
          <w:color w:val="57585A"/>
          <w:sz w:val="20"/>
          <w:szCs w:val="20"/>
        </w:rPr>
        <w:t xml:space="preserve"> </w:t>
      </w:r>
      <w:r>
        <w:rPr>
          <w:color w:val="57585A"/>
          <w:spacing w:val="-10"/>
          <w:sz w:val="20"/>
          <w:szCs w:val="20"/>
        </w:rPr>
        <w:t>exploration,</w:t>
      </w:r>
      <w:r>
        <w:rPr>
          <w:color w:val="57585A"/>
          <w:spacing w:val="2"/>
          <w:sz w:val="20"/>
          <w:szCs w:val="20"/>
        </w:rPr>
        <w:t xml:space="preserve"> </w:t>
      </w:r>
      <w:r>
        <w:rPr>
          <w:color w:val="57585A"/>
          <w:spacing w:val="-10"/>
          <w:sz w:val="20"/>
          <w:szCs w:val="20"/>
        </w:rPr>
        <w:t>with attractive project economics like Liza 1 drawing international interest.</w:t>
      </w:r>
    </w:p>
    <w:p w14:paraId="4FE5AD33">
      <w:pPr>
        <w:pStyle w:val="4"/>
        <w:spacing w:line="265" w:lineRule="auto"/>
      </w:pPr>
    </w:p>
    <w:p w14:paraId="05822E83">
      <w:pPr>
        <w:pStyle w:val="4"/>
        <w:spacing w:before="58" w:line="231" w:lineRule="auto"/>
        <w:ind w:left="360"/>
        <w:rPr>
          <w:sz w:val="20"/>
          <w:szCs w:val="20"/>
        </w:rPr>
      </w:pPr>
      <w:r>
        <w:rPr>
          <w:color w:val="57585A"/>
          <w:spacing w:val="-10"/>
          <w:sz w:val="20"/>
          <w:szCs w:val="20"/>
        </w:rPr>
        <w:t>Trinidad &amp;</w:t>
      </w:r>
      <w:r>
        <w:rPr>
          <w:color w:val="57585A"/>
          <w:spacing w:val="-14"/>
          <w:sz w:val="20"/>
          <w:szCs w:val="20"/>
        </w:rPr>
        <w:t xml:space="preserve"> </w:t>
      </w:r>
      <w:r>
        <w:rPr>
          <w:color w:val="57585A"/>
          <w:spacing w:val="-10"/>
          <w:sz w:val="20"/>
          <w:szCs w:val="20"/>
        </w:rPr>
        <w:t>Tobago scores in the middle of</w:t>
      </w:r>
      <w:r>
        <w:rPr>
          <w:color w:val="57585A"/>
          <w:spacing w:val="-21"/>
          <w:sz w:val="20"/>
          <w:szCs w:val="20"/>
        </w:rPr>
        <w:t xml:space="preserve"> </w:t>
      </w:r>
      <w:r>
        <w:rPr>
          <w:color w:val="57585A"/>
          <w:spacing w:val="-10"/>
          <w:sz w:val="20"/>
          <w:szCs w:val="20"/>
        </w:rPr>
        <w:t>the rankings,</w:t>
      </w:r>
      <w:r>
        <w:rPr>
          <w:color w:val="57585A"/>
          <w:spacing w:val="-16"/>
          <w:sz w:val="20"/>
          <w:szCs w:val="20"/>
        </w:rPr>
        <w:t xml:space="preserve"> </w:t>
      </w:r>
      <w:r>
        <w:rPr>
          <w:color w:val="57585A"/>
          <w:spacing w:val="-10"/>
          <w:sz w:val="20"/>
          <w:szCs w:val="20"/>
        </w:rPr>
        <w:t>with some medium-term production growth but limited long-term</w:t>
      </w:r>
    </w:p>
    <w:p w14:paraId="5A712CF4">
      <w:pPr>
        <w:pStyle w:val="4"/>
        <w:spacing w:before="58" w:line="234" w:lineRule="auto"/>
        <w:ind w:left="371"/>
        <w:rPr>
          <w:sz w:val="20"/>
          <w:szCs w:val="20"/>
        </w:rPr>
      </w:pPr>
      <w:r>
        <w:rPr>
          <w:color w:val="57585A"/>
          <w:spacing w:val="-10"/>
          <w:sz w:val="20"/>
          <w:szCs w:val="20"/>
        </w:rPr>
        <w:t>investment. Oil production is set to decline over the next decade due to matu</w:t>
      </w:r>
      <w:r>
        <w:rPr>
          <w:color w:val="57585A"/>
          <w:spacing w:val="-11"/>
          <w:sz w:val="20"/>
          <w:szCs w:val="20"/>
        </w:rPr>
        <w:t>re fields and insufficient exploration investment,</w:t>
      </w:r>
    </w:p>
    <w:p w14:paraId="1CC5A0C8">
      <w:pPr>
        <w:pStyle w:val="4"/>
        <w:spacing w:before="58" w:line="279" w:lineRule="auto"/>
        <w:ind w:left="367" w:right="449"/>
        <w:rPr>
          <w:sz w:val="20"/>
          <w:szCs w:val="20"/>
        </w:rPr>
      </w:pPr>
      <w:r>
        <w:rPr>
          <w:color w:val="57585A"/>
          <w:spacing w:val="-12"/>
          <w:sz w:val="20"/>
          <w:szCs w:val="20"/>
        </w:rPr>
        <w:t>averaging 68,050b/d</w:t>
      </w:r>
      <w:r>
        <w:rPr>
          <w:color w:val="57585A"/>
          <w:spacing w:val="-13"/>
          <w:sz w:val="20"/>
          <w:szCs w:val="20"/>
        </w:rPr>
        <w:t xml:space="preserve"> in 2024 and expected to fall below 57,215b/d. Recent developments, such as new PSCs with EOG Resources</w:t>
      </w:r>
      <w:r>
        <w:rPr>
          <w:color w:val="57585A"/>
          <w:sz w:val="20"/>
          <w:szCs w:val="20"/>
        </w:rPr>
        <w:t xml:space="preserve"> </w:t>
      </w:r>
      <w:r>
        <w:rPr>
          <w:color w:val="57585A"/>
          <w:spacing w:val="-11"/>
          <w:sz w:val="20"/>
          <w:szCs w:val="20"/>
        </w:rPr>
        <w:t>and a deepwater bidding round, aim to attract investment. However, the</w:t>
      </w:r>
      <w:r>
        <w:rPr>
          <w:color w:val="57585A"/>
          <w:spacing w:val="-18"/>
          <w:sz w:val="20"/>
          <w:szCs w:val="20"/>
        </w:rPr>
        <w:t xml:space="preserve"> </w:t>
      </w:r>
      <w:r>
        <w:rPr>
          <w:color w:val="57585A"/>
          <w:spacing w:val="-11"/>
          <w:sz w:val="20"/>
          <w:szCs w:val="20"/>
        </w:rPr>
        <w:t>joint gas fields</w:t>
      </w:r>
      <w:r>
        <w:rPr>
          <w:color w:val="57585A"/>
          <w:spacing w:val="-15"/>
          <w:sz w:val="20"/>
          <w:szCs w:val="20"/>
        </w:rPr>
        <w:t xml:space="preserve"> </w:t>
      </w:r>
      <w:r>
        <w:rPr>
          <w:color w:val="57585A"/>
          <w:spacing w:val="-11"/>
          <w:sz w:val="20"/>
          <w:szCs w:val="20"/>
        </w:rPr>
        <w:t>with Venezuela face geopolit</w:t>
      </w:r>
      <w:r>
        <w:rPr>
          <w:color w:val="57585A"/>
          <w:spacing w:val="-12"/>
          <w:sz w:val="20"/>
          <w:szCs w:val="20"/>
        </w:rPr>
        <w:t>ical challenges</w:t>
      </w:r>
      <w:r>
        <w:rPr>
          <w:color w:val="57585A"/>
          <w:sz w:val="20"/>
          <w:szCs w:val="20"/>
        </w:rPr>
        <w:t xml:space="preserve"> </w:t>
      </w:r>
      <w:r>
        <w:rPr>
          <w:color w:val="57585A"/>
          <w:spacing w:val="-11"/>
          <w:sz w:val="20"/>
          <w:szCs w:val="20"/>
        </w:rPr>
        <w:t>despite their potential to address gas sh</w:t>
      </w:r>
      <w:r>
        <w:rPr>
          <w:color w:val="57585A"/>
          <w:spacing w:val="-12"/>
          <w:sz w:val="20"/>
          <w:szCs w:val="20"/>
        </w:rPr>
        <w:t>ortages. BP's asset sale to Perenco reflects ongoing shifts in the sector.</w:t>
      </w:r>
    </w:p>
    <w:p w14:paraId="3D0F93C8">
      <w:pPr>
        <w:pStyle w:val="4"/>
        <w:spacing w:line="265" w:lineRule="auto"/>
      </w:pPr>
    </w:p>
    <w:p w14:paraId="1BF092F8">
      <w:pPr>
        <w:pStyle w:val="4"/>
        <w:spacing w:before="58" w:line="273" w:lineRule="auto"/>
        <w:ind w:left="373" w:right="878" w:hanging="12"/>
        <w:rPr>
          <w:sz w:val="20"/>
          <w:szCs w:val="20"/>
        </w:rPr>
      </w:pPr>
      <w:r>
        <w:rPr>
          <w:color w:val="57585A"/>
          <w:spacing w:val="-12"/>
          <w:sz w:val="20"/>
          <w:szCs w:val="20"/>
        </w:rPr>
        <w:t>While projects like BHP Ruby and enhanced oil recovery offer some upside, the outlook is constrained</w:t>
      </w:r>
      <w:r>
        <w:rPr>
          <w:color w:val="57585A"/>
          <w:spacing w:val="-2"/>
          <w:sz w:val="20"/>
          <w:szCs w:val="20"/>
        </w:rPr>
        <w:t xml:space="preserve"> </w:t>
      </w:r>
      <w:r>
        <w:rPr>
          <w:color w:val="57585A"/>
          <w:spacing w:val="-12"/>
          <w:sz w:val="20"/>
          <w:szCs w:val="20"/>
        </w:rPr>
        <w:t>by a</w:t>
      </w:r>
      <w:r>
        <w:rPr>
          <w:color w:val="57585A"/>
          <w:spacing w:val="-2"/>
          <w:sz w:val="20"/>
          <w:szCs w:val="20"/>
        </w:rPr>
        <w:t xml:space="preserve"> </w:t>
      </w:r>
      <w:r>
        <w:rPr>
          <w:color w:val="57585A"/>
          <w:spacing w:val="-12"/>
          <w:sz w:val="20"/>
          <w:szCs w:val="20"/>
        </w:rPr>
        <w:t>l</w:t>
      </w:r>
      <w:r>
        <w:rPr>
          <w:color w:val="57585A"/>
          <w:spacing w:val="-13"/>
          <w:sz w:val="20"/>
          <w:szCs w:val="20"/>
        </w:rPr>
        <w:t>ack of major</w:t>
      </w:r>
      <w:r>
        <w:rPr>
          <w:color w:val="57585A"/>
          <w:spacing w:val="-1"/>
          <w:sz w:val="20"/>
          <w:szCs w:val="20"/>
        </w:rPr>
        <w:t xml:space="preserve"> </w:t>
      </w:r>
      <w:r>
        <w:rPr>
          <w:color w:val="57585A"/>
          <w:spacing w:val="-13"/>
          <w:sz w:val="20"/>
          <w:szCs w:val="20"/>
        </w:rPr>
        <w:t>new</w:t>
      </w:r>
      <w:r>
        <w:rPr>
          <w:color w:val="57585A"/>
          <w:sz w:val="20"/>
          <w:szCs w:val="20"/>
        </w:rPr>
        <w:t xml:space="preserve"> </w:t>
      </w:r>
      <w:r>
        <w:rPr>
          <w:color w:val="57585A"/>
          <w:spacing w:val="-11"/>
          <w:sz w:val="20"/>
          <w:szCs w:val="20"/>
        </w:rPr>
        <w:t xml:space="preserve">projects and deferred drilling activities. The sector remains </w:t>
      </w:r>
      <w:r>
        <w:rPr>
          <w:color w:val="57585A"/>
          <w:spacing w:val="-12"/>
          <w:sz w:val="20"/>
          <w:szCs w:val="20"/>
        </w:rPr>
        <w:t>heavily focused on gas exploration,</w:t>
      </w:r>
      <w:r>
        <w:rPr>
          <w:color w:val="57585A"/>
          <w:spacing w:val="-16"/>
          <w:sz w:val="20"/>
          <w:szCs w:val="20"/>
        </w:rPr>
        <w:t xml:space="preserve"> </w:t>
      </w:r>
      <w:r>
        <w:rPr>
          <w:color w:val="57585A"/>
          <w:spacing w:val="-12"/>
          <w:sz w:val="20"/>
          <w:szCs w:val="20"/>
        </w:rPr>
        <w:t>with fiscal regime revisions and</w:t>
      </w:r>
    </w:p>
    <w:p w14:paraId="13C02669">
      <w:pPr>
        <w:spacing w:line="273" w:lineRule="auto"/>
        <w:rPr>
          <w:sz w:val="20"/>
          <w:szCs w:val="20"/>
        </w:rPr>
        <w:sectPr>
          <w:footerReference r:id="rId50" w:type="default"/>
          <w:pgSz w:w="11906" w:h="16838"/>
          <w:pgMar w:top="400" w:right="490" w:bottom="883" w:left="490" w:header="0" w:footer="0" w:gutter="0"/>
          <w:cols w:space="720" w:num="1"/>
        </w:sectPr>
      </w:pPr>
    </w:p>
    <w:p w14:paraId="233F08FE">
      <w:pPr>
        <w:pStyle w:val="4"/>
        <w:spacing w:before="73" w:line="241" w:lineRule="auto"/>
        <w:ind w:left="7372"/>
        <w:rPr>
          <w:sz w:val="20"/>
          <w:szCs w:val="20"/>
        </w:rPr>
      </w:pPr>
      <w:r>
        <w:drawing>
          <wp:anchor distT="0" distB="0" distL="0" distR="0" simplePos="0" relativeHeight="25185996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60992" behindDoc="0" locked="0" layoutInCell="0" allowOverlap="1">
            <wp:simplePos x="0" y="0"/>
            <wp:positionH relativeFrom="page">
              <wp:posOffset>311150</wp:posOffset>
            </wp:positionH>
            <wp:positionV relativeFrom="page">
              <wp:posOffset>0</wp:posOffset>
            </wp:positionV>
            <wp:extent cx="19050" cy="814070"/>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BCD097A">
      <w:pPr>
        <w:pStyle w:val="4"/>
        <w:spacing w:line="278" w:lineRule="auto"/>
      </w:pPr>
    </w:p>
    <w:p w14:paraId="3B6D42B2">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56B2A1D">
      <w:pPr>
        <w:pStyle w:val="4"/>
        <w:spacing w:line="470" w:lineRule="auto"/>
      </w:pPr>
    </w:p>
    <w:p w14:paraId="76780F91">
      <w:pPr>
        <w:pStyle w:val="4"/>
        <w:spacing w:before="58" w:line="273" w:lineRule="auto"/>
        <w:ind w:left="371" w:right="804" w:hanging="2"/>
        <w:rPr>
          <w:sz w:val="20"/>
          <w:szCs w:val="20"/>
        </w:rPr>
      </w:pPr>
      <w:r>
        <w:rPr>
          <w:color w:val="57585A"/>
          <w:spacing w:val="-11"/>
          <w:sz w:val="20"/>
          <w:szCs w:val="20"/>
        </w:rPr>
        <w:t>onshore, offshore, and deepwater exploration offering potential for future discoveries. However, the absence of</w:t>
      </w:r>
      <w:r>
        <w:rPr>
          <w:color w:val="57585A"/>
          <w:spacing w:val="-17"/>
          <w:sz w:val="20"/>
          <w:szCs w:val="20"/>
        </w:rPr>
        <w:t xml:space="preserve"> </w:t>
      </w:r>
      <w:r>
        <w:rPr>
          <w:color w:val="57585A"/>
          <w:spacing w:val="-11"/>
          <w:sz w:val="20"/>
          <w:szCs w:val="20"/>
        </w:rPr>
        <w:t>signi</w:t>
      </w:r>
      <w:r>
        <w:rPr>
          <w:color w:val="57585A"/>
          <w:spacing w:val="-12"/>
          <w:sz w:val="20"/>
          <w:szCs w:val="20"/>
        </w:rPr>
        <w:t>ficant new</w:t>
      </w:r>
      <w:r>
        <w:rPr>
          <w:color w:val="57585A"/>
          <w:sz w:val="20"/>
          <w:szCs w:val="20"/>
        </w:rPr>
        <w:t xml:space="preserve"> </w:t>
      </w:r>
      <w:r>
        <w:rPr>
          <w:color w:val="57585A"/>
          <w:spacing w:val="-9"/>
          <w:sz w:val="20"/>
          <w:szCs w:val="20"/>
        </w:rPr>
        <w:t>initiatives</w:t>
      </w:r>
      <w:r>
        <w:rPr>
          <w:color w:val="57585A"/>
          <w:spacing w:val="-14"/>
          <w:sz w:val="20"/>
          <w:szCs w:val="20"/>
        </w:rPr>
        <w:t xml:space="preserve"> </w:t>
      </w:r>
      <w:r>
        <w:rPr>
          <w:color w:val="57585A"/>
          <w:spacing w:val="-9"/>
          <w:sz w:val="20"/>
          <w:szCs w:val="20"/>
        </w:rPr>
        <w:t>weighs on the long-term outlook.</w:t>
      </w:r>
    </w:p>
    <w:p w14:paraId="4D8433D2">
      <w:pPr>
        <w:pStyle w:val="4"/>
        <w:spacing w:line="266" w:lineRule="auto"/>
      </w:pPr>
    </w:p>
    <w:p w14:paraId="0B64E51F">
      <w:pPr>
        <w:pStyle w:val="4"/>
        <w:spacing w:before="58" w:line="279" w:lineRule="auto"/>
        <w:ind w:left="366" w:right="459" w:hanging="6"/>
        <w:jc w:val="both"/>
        <w:rPr>
          <w:sz w:val="20"/>
          <w:szCs w:val="20"/>
        </w:rPr>
      </w:pPr>
      <w:r>
        <w:rPr>
          <w:color w:val="57585A"/>
          <w:spacing w:val="-11"/>
          <w:sz w:val="20"/>
          <w:szCs w:val="20"/>
        </w:rPr>
        <w:t>The Latin</w:t>
      </w:r>
      <w:r>
        <w:rPr>
          <w:color w:val="57585A"/>
          <w:spacing w:val="-15"/>
          <w:sz w:val="20"/>
          <w:szCs w:val="20"/>
        </w:rPr>
        <w:t xml:space="preserve"> </w:t>
      </w:r>
      <w:r>
        <w:rPr>
          <w:color w:val="57585A"/>
          <w:spacing w:val="-11"/>
          <w:sz w:val="20"/>
          <w:szCs w:val="20"/>
        </w:rPr>
        <w:t xml:space="preserve">America region presents a </w:t>
      </w:r>
      <w:r>
        <w:rPr>
          <w:color w:val="57585A"/>
          <w:spacing w:val="-12"/>
          <w:sz w:val="20"/>
          <w:szCs w:val="20"/>
        </w:rPr>
        <w:t>complex landscape of opportunities and challenges in the oil and gas sector. Brazil leads</w:t>
      </w:r>
      <w:r>
        <w:rPr>
          <w:color w:val="57585A"/>
          <w:spacing w:val="-16"/>
          <w:sz w:val="20"/>
          <w:szCs w:val="20"/>
        </w:rPr>
        <w:t xml:space="preserve"> </w:t>
      </w:r>
      <w:r>
        <w:rPr>
          <w:color w:val="57585A"/>
          <w:spacing w:val="-12"/>
          <w:sz w:val="20"/>
          <w:szCs w:val="20"/>
        </w:rPr>
        <w:t>with</w:t>
      </w:r>
      <w:r>
        <w:rPr>
          <w:color w:val="57585A"/>
          <w:sz w:val="20"/>
          <w:szCs w:val="20"/>
        </w:rPr>
        <w:t xml:space="preserve"> </w:t>
      </w:r>
      <w:r>
        <w:rPr>
          <w:color w:val="57585A"/>
          <w:spacing w:val="-11"/>
          <w:sz w:val="20"/>
          <w:szCs w:val="20"/>
        </w:rPr>
        <w:t>strong growth potential,</w:t>
      </w:r>
      <w:r>
        <w:rPr>
          <w:color w:val="57585A"/>
          <w:spacing w:val="-8"/>
          <w:sz w:val="20"/>
          <w:szCs w:val="20"/>
        </w:rPr>
        <w:t xml:space="preserve"> </w:t>
      </w:r>
      <w:r>
        <w:rPr>
          <w:color w:val="57585A"/>
          <w:spacing w:val="-11"/>
          <w:sz w:val="20"/>
          <w:szCs w:val="20"/>
        </w:rPr>
        <w:t>Argentina shows promise</w:t>
      </w:r>
      <w:r>
        <w:rPr>
          <w:color w:val="57585A"/>
          <w:spacing w:val="-16"/>
          <w:sz w:val="20"/>
          <w:szCs w:val="20"/>
        </w:rPr>
        <w:t xml:space="preserve"> </w:t>
      </w:r>
      <w:r>
        <w:rPr>
          <w:color w:val="57585A"/>
          <w:spacing w:val="-11"/>
          <w:sz w:val="20"/>
          <w:szCs w:val="20"/>
        </w:rPr>
        <w:t>with its shale revolution, and Mexico faces hurdles in sustaining production amid</w:t>
      </w:r>
      <w:r>
        <w:rPr>
          <w:color w:val="57585A"/>
          <w:sz w:val="20"/>
          <w:szCs w:val="20"/>
        </w:rPr>
        <w:t xml:space="preserve"> </w:t>
      </w:r>
      <w:r>
        <w:rPr>
          <w:color w:val="57585A"/>
          <w:spacing w:val="-10"/>
          <w:sz w:val="20"/>
          <w:szCs w:val="20"/>
        </w:rPr>
        <w:t>policy constraints.</w:t>
      </w:r>
    </w:p>
    <w:p w14:paraId="4FF0947D">
      <w:pPr>
        <w:pStyle w:val="4"/>
        <w:spacing w:line="275" w:lineRule="auto"/>
      </w:pPr>
    </w:p>
    <w:p w14:paraId="0393B3C8">
      <w:pPr>
        <w:pStyle w:val="4"/>
        <w:spacing w:line="275" w:lineRule="auto"/>
      </w:pPr>
    </w:p>
    <w:p w14:paraId="689425D7">
      <w:pPr>
        <w:pStyle w:val="4"/>
        <w:spacing w:line="276" w:lineRule="auto"/>
      </w:pPr>
    </w:p>
    <w:p w14:paraId="7B728347">
      <w:pPr>
        <w:pStyle w:val="4"/>
        <w:spacing w:before="58" w:line="241" w:lineRule="auto"/>
        <w:ind w:left="359"/>
        <w:rPr>
          <w:sz w:val="20"/>
          <w:szCs w:val="20"/>
        </w:rPr>
      </w:pPr>
      <w:r>
        <w:rPr>
          <w:b/>
          <w:bCs/>
          <w:color w:val="57585A"/>
          <w:spacing w:val="-10"/>
          <w:sz w:val="20"/>
          <w:szCs w:val="20"/>
        </w:rPr>
        <w:t>Weak Bureaucratic</w:t>
      </w:r>
      <w:r>
        <w:rPr>
          <w:b/>
          <w:bCs/>
          <w:color w:val="57585A"/>
          <w:spacing w:val="-16"/>
          <w:sz w:val="20"/>
          <w:szCs w:val="20"/>
        </w:rPr>
        <w:t xml:space="preserve"> </w:t>
      </w:r>
      <w:r>
        <w:rPr>
          <w:b/>
          <w:bCs/>
          <w:color w:val="57585A"/>
          <w:spacing w:val="-10"/>
          <w:sz w:val="20"/>
          <w:szCs w:val="20"/>
        </w:rPr>
        <w:t>And Legal Environment</w:t>
      </w:r>
      <w:r>
        <w:rPr>
          <w:b/>
          <w:bCs/>
          <w:color w:val="57585A"/>
          <w:spacing w:val="-16"/>
          <w:sz w:val="20"/>
          <w:szCs w:val="20"/>
        </w:rPr>
        <w:t xml:space="preserve"> </w:t>
      </w:r>
      <w:r>
        <w:rPr>
          <w:b/>
          <w:bCs/>
          <w:color w:val="57585A"/>
          <w:spacing w:val="-10"/>
          <w:sz w:val="20"/>
          <w:szCs w:val="20"/>
        </w:rPr>
        <w:t>And NOCs' Dominance</w:t>
      </w:r>
      <w:r>
        <w:rPr>
          <w:b/>
          <w:bCs/>
          <w:color w:val="57585A"/>
          <w:spacing w:val="-15"/>
          <w:sz w:val="20"/>
          <w:szCs w:val="20"/>
        </w:rPr>
        <w:t xml:space="preserve"> </w:t>
      </w:r>
      <w:r>
        <w:rPr>
          <w:b/>
          <w:bCs/>
          <w:color w:val="57585A"/>
          <w:spacing w:val="-10"/>
          <w:sz w:val="20"/>
          <w:szCs w:val="20"/>
        </w:rPr>
        <w:t>Weigh On Sc</w:t>
      </w:r>
      <w:r>
        <w:rPr>
          <w:b/>
          <w:bCs/>
          <w:color w:val="57585A"/>
          <w:spacing w:val="-11"/>
          <w:sz w:val="20"/>
          <w:szCs w:val="20"/>
        </w:rPr>
        <w:t>ores</w:t>
      </w:r>
    </w:p>
    <w:p w14:paraId="6F223D88">
      <w:pPr>
        <w:pStyle w:val="4"/>
        <w:spacing w:line="281" w:lineRule="auto"/>
      </w:pPr>
    </w:p>
    <w:p w14:paraId="0C615B4B">
      <w:pPr>
        <w:pStyle w:val="4"/>
        <w:spacing w:before="57" w:line="231" w:lineRule="auto"/>
        <w:ind w:left="376"/>
        <w:rPr>
          <w:sz w:val="20"/>
          <w:szCs w:val="20"/>
        </w:rPr>
      </w:pPr>
      <w:r>
        <w:rPr>
          <w:color w:val="57585A"/>
          <w:spacing w:val="-12"/>
          <w:sz w:val="20"/>
          <w:szCs w:val="20"/>
        </w:rPr>
        <w:t>Key producers in Latin</w:t>
      </w:r>
      <w:r>
        <w:rPr>
          <w:color w:val="57585A"/>
          <w:spacing w:val="-11"/>
          <w:sz w:val="20"/>
          <w:szCs w:val="20"/>
        </w:rPr>
        <w:t xml:space="preserve"> </w:t>
      </w:r>
      <w:r>
        <w:rPr>
          <w:color w:val="57585A"/>
          <w:spacing w:val="-12"/>
          <w:sz w:val="20"/>
          <w:szCs w:val="20"/>
        </w:rPr>
        <w:t>America face challenges due to</w:t>
      </w:r>
      <w:r>
        <w:rPr>
          <w:color w:val="57585A"/>
          <w:spacing w:val="-15"/>
          <w:sz w:val="20"/>
          <w:szCs w:val="20"/>
        </w:rPr>
        <w:t xml:space="preserve"> </w:t>
      </w:r>
      <w:r>
        <w:rPr>
          <w:color w:val="57585A"/>
          <w:spacing w:val="-12"/>
          <w:sz w:val="20"/>
          <w:szCs w:val="20"/>
        </w:rPr>
        <w:t>weak bureaucratic and legal frameworks. The unfavorable tax climate</w:t>
      </w:r>
    </w:p>
    <w:p w14:paraId="4802F66C">
      <w:pPr>
        <w:pStyle w:val="4"/>
        <w:spacing w:before="56" w:line="285" w:lineRule="auto"/>
        <w:ind w:left="359" w:right="490" w:firstLine="9"/>
        <w:rPr>
          <w:sz w:val="20"/>
          <w:szCs w:val="20"/>
        </w:rPr>
      </w:pPr>
      <w:r>
        <w:rPr>
          <w:color w:val="57585A"/>
          <w:spacing w:val="-12"/>
          <w:sz w:val="20"/>
          <w:szCs w:val="20"/>
        </w:rPr>
        <w:t>discourages international oil companies (IOCs), allowing national oil companies (NOCs) to dominate the market. In</w:t>
      </w:r>
      <w:r>
        <w:rPr>
          <w:color w:val="57585A"/>
          <w:spacing w:val="-13"/>
          <w:sz w:val="20"/>
          <w:szCs w:val="20"/>
        </w:rPr>
        <w:t xml:space="preserve"> Mexico, market</w:t>
      </w:r>
      <w:r>
        <w:rPr>
          <w:color w:val="57585A"/>
          <w:sz w:val="20"/>
          <w:szCs w:val="20"/>
        </w:rPr>
        <w:t xml:space="preserve"> </w:t>
      </w:r>
      <w:r>
        <w:rPr>
          <w:color w:val="57585A"/>
          <w:spacing w:val="-11"/>
          <w:sz w:val="20"/>
          <w:szCs w:val="20"/>
        </w:rPr>
        <w:t>liberalisation has stalled,</w:t>
      </w:r>
      <w:r>
        <w:rPr>
          <w:color w:val="57585A"/>
          <w:spacing w:val="-15"/>
          <w:sz w:val="20"/>
          <w:szCs w:val="20"/>
        </w:rPr>
        <w:t xml:space="preserve"> </w:t>
      </w:r>
      <w:r>
        <w:rPr>
          <w:color w:val="57585A"/>
          <w:spacing w:val="-11"/>
          <w:sz w:val="20"/>
          <w:szCs w:val="20"/>
        </w:rPr>
        <w:t>with Pemex maintaining its stronghold.</w:t>
      </w:r>
      <w:r>
        <w:rPr>
          <w:color w:val="57585A"/>
          <w:spacing w:val="-16"/>
          <w:sz w:val="20"/>
          <w:szCs w:val="20"/>
        </w:rPr>
        <w:t xml:space="preserve"> </w:t>
      </w:r>
      <w:r>
        <w:rPr>
          <w:color w:val="57585A"/>
          <w:spacing w:val="-11"/>
          <w:sz w:val="20"/>
          <w:szCs w:val="20"/>
        </w:rPr>
        <w:t xml:space="preserve">Argentina has seen efforts to create a more competitive </w:t>
      </w:r>
      <w:r>
        <w:rPr>
          <w:color w:val="57585A"/>
          <w:spacing w:val="-12"/>
          <w:sz w:val="20"/>
          <w:szCs w:val="20"/>
        </w:rPr>
        <w:t>market,</w:t>
      </w:r>
      <w:r>
        <w:rPr>
          <w:color w:val="57585A"/>
          <w:sz w:val="20"/>
          <w:szCs w:val="20"/>
        </w:rPr>
        <w:t xml:space="preserve"> </w:t>
      </w:r>
      <w:r>
        <w:rPr>
          <w:color w:val="57585A"/>
          <w:spacing w:val="-10"/>
          <w:sz w:val="20"/>
          <w:szCs w:val="20"/>
        </w:rPr>
        <w:t>with several IOCs gaining exploration and production rights,</w:t>
      </w:r>
      <w:r>
        <w:rPr>
          <w:color w:val="57585A"/>
          <w:spacing w:val="-11"/>
          <w:sz w:val="20"/>
          <w:szCs w:val="20"/>
        </w:rPr>
        <w:t xml:space="preserve"> but regulatory uncertainty and economic instability may impede this</w:t>
      </w:r>
      <w:r>
        <w:rPr>
          <w:color w:val="57585A"/>
          <w:sz w:val="20"/>
          <w:szCs w:val="20"/>
        </w:rPr>
        <w:t xml:space="preserve"> </w:t>
      </w:r>
      <w:r>
        <w:rPr>
          <w:color w:val="57585A"/>
          <w:spacing w:val="-11"/>
          <w:sz w:val="20"/>
          <w:szCs w:val="20"/>
        </w:rPr>
        <w:t>progress. Smaller markets like Colombia and Ecuador have difficulty attracting new entrants</w:t>
      </w:r>
      <w:r>
        <w:rPr>
          <w:color w:val="57585A"/>
          <w:spacing w:val="-12"/>
          <w:sz w:val="20"/>
          <w:szCs w:val="20"/>
        </w:rPr>
        <w:t>, leaving the development of upstream</w:t>
      </w:r>
      <w:r>
        <w:rPr>
          <w:color w:val="57585A"/>
          <w:sz w:val="20"/>
          <w:szCs w:val="20"/>
        </w:rPr>
        <w:t xml:space="preserve"> </w:t>
      </w:r>
      <w:r>
        <w:rPr>
          <w:color w:val="57585A"/>
          <w:spacing w:val="-10"/>
          <w:sz w:val="20"/>
          <w:szCs w:val="20"/>
        </w:rPr>
        <w:t>projects largely to state-owned</w:t>
      </w:r>
      <w:r>
        <w:rPr>
          <w:color w:val="57585A"/>
          <w:spacing w:val="-11"/>
          <w:sz w:val="20"/>
          <w:szCs w:val="20"/>
        </w:rPr>
        <w:t xml:space="preserve"> enterprises.</w:t>
      </w:r>
    </w:p>
    <w:p w14:paraId="5CE7E812">
      <w:pPr>
        <w:pStyle w:val="4"/>
        <w:spacing w:line="274" w:lineRule="auto"/>
      </w:pPr>
    </w:p>
    <w:p w14:paraId="3C7C16A0">
      <w:pPr>
        <w:pStyle w:val="4"/>
        <w:spacing w:line="274" w:lineRule="auto"/>
      </w:pPr>
    </w:p>
    <w:p w14:paraId="79195701">
      <w:pPr>
        <w:pStyle w:val="4"/>
        <w:spacing w:before="58" w:line="241" w:lineRule="auto"/>
        <w:ind w:left="375"/>
        <w:rPr>
          <w:sz w:val="20"/>
          <w:szCs w:val="20"/>
        </w:rPr>
      </w:pPr>
      <w:r>
        <w:rPr>
          <w:b/>
          <w:bCs/>
          <w:color w:val="57585A"/>
          <w:spacing w:val="-10"/>
          <w:sz w:val="20"/>
          <w:szCs w:val="20"/>
        </w:rPr>
        <w:t>Elevated Economic</w:t>
      </w:r>
      <w:r>
        <w:rPr>
          <w:b/>
          <w:bCs/>
          <w:color w:val="57585A"/>
          <w:spacing w:val="-16"/>
          <w:sz w:val="20"/>
          <w:szCs w:val="20"/>
        </w:rPr>
        <w:t xml:space="preserve"> </w:t>
      </w:r>
      <w:r>
        <w:rPr>
          <w:b/>
          <w:bCs/>
          <w:color w:val="57585A"/>
          <w:spacing w:val="-10"/>
          <w:sz w:val="20"/>
          <w:szCs w:val="20"/>
        </w:rPr>
        <w:t>And Operational Ris</w:t>
      </w:r>
      <w:r>
        <w:rPr>
          <w:b/>
          <w:bCs/>
          <w:color w:val="57585A"/>
          <w:spacing w:val="-11"/>
          <w:sz w:val="20"/>
          <w:szCs w:val="20"/>
        </w:rPr>
        <w:t>ks</w:t>
      </w:r>
      <w:r>
        <w:rPr>
          <w:b/>
          <w:bCs/>
          <w:color w:val="57585A"/>
          <w:spacing w:val="-15"/>
          <w:sz w:val="20"/>
          <w:szCs w:val="20"/>
        </w:rPr>
        <w:t xml:space="preserve"> </w:t>
      </w:r>
      <w:r>
        <w:rPr>
          <w:b/>
          <w:bCs/>
          <w:color w:val="57585A"/>
          <w:spacing w:val="-11"/>
          <w:sz w:val="20"/>
          <w:szCs w:val="20"/>
        </w:rPr>
        <w:t>Weighs On Scores</w:t>
      </w:r>
    </w:p>
    <w:p w14:paraId="0FCF2AE3">
      <w:pPr>
        <w:pStyle w:val="4"/>
        <w:spacing w:line="281" w:lineRule="auto"/>
      </w:pPr>
    </w:p>
    <w:p w14:paraId="089CB4D9">
      <w:pPr>
        <w:pStyle w:val="4"/>
        <w:spacing w:before="58" w:line="231" w:lineRule="auto"/>
        <w:ind w:left="376"/>
        <w:rPr>
          <w:sz w:val="20"/>
          <w:szCs w:val="20"/>
        </w:rPr>
      </w:pPr>
      <w:r>
        <w:rPr>
          <w:color w:val="57585A"/>
          <w:spacing w:val="-11"/>
          <w:sz w:val="20"/>
          <w:szCs w:val="20"/>
        </w:rPr>
        <w:t>Latin</w:t>
      </w:r>
      <w:r>
        <w:rPr>
          <w:color w:val="57585A"/>
          <w:spacing w:val="-16"/>
          <w:sz w:val="20"/>
          <w:szCs w:val="20"/>
        </w:rPr>
        <w:t xml:space="preserve"> </w:t>
      </w:r>
      <w:r>
        <w:rPr>
          <w:color w:val="57585A"/>
          <w:spacing w:val="-11"/>
          <w:sz w:val="20"/>
          <w:szCs w:val="20"/>
        </w:rPr>
        <w:t>America faces heightened short-term economic and operational risks,</w:t>
      </w:r>
      <w:r>
        <w:rPr>
          <w:color w:val="57585A"/>
          <w:spacing w:val="-15"/>
          <w:sz w:val="20"/>
          <w:szCs w:val="20"/>
        </w:rPr>
        <w:t xml:space="preserve"> </w:t>
      </w:r>
      <w:r>
        <w:rPr>
          <w:color w:val="57585A"/>
          <w:spacing w:val="-11"/>
          <w:sz w:val="20"/>
          <w:szCs w:val="20"/>
        </w:rPr>
        <w:t>wi</w:t>
      </w:r>
      <w:r>
        <w:rPr>
          <w:color w:val="57585A"/>
          <w:spacing w:val="-12"/>
          <w:sz w:val="20"/>
          <w:szCs w:val="20"/>
        </w:rPr>
        <w:t>th</w:t>
      </w:r>
      <w:r>
        <w:rPr>
          <w:color w:val="57585A"/>
          <w:spacing w:val="-16"/>
          <w:sz w:val="20"/>
          <w:szCs w:val="20"/>
        </w:rPr>
        <w:t xml:space="preserve"> </w:t>
      </w:r>
      <w:r>
        <w:rPr>
          <w:color w:val="57585A"/>
          <w:spacing w:val="-12"/>
          <w:sz w:val="20"/>
          <w:szCs w:val="20"/>
        </w:rPr>
        <w:t>weak real GDP growth anticipated across the</w:t>
      </w:r>
    </w:p>
    <w:p w14:paraId="3ED98732">
      <w:pPr>
        <w:pStyle w:val="4"/>
        <w:spacing w:before="59" w:line="231" w:lineRule="auto"/>
        <w:ind w:left="373"/>
        <w:rPr>
          <w:sz w:val="20"/>
          <w:szCs w:val="20"/>
        </w:rPr>
      </w:pPr>
      <w:r>
        <w:rPr>
          <w:color w:val="57585A"/>
          <w:spacing w:val="-12"/>
          <w:sz w:val="20"/>
          <w:szCs w:val="20"/>
        </w:rPr>
        <w:t>region, except for Guyana,</w:t>
      </w:r>
      <w:r>
        <w:rPr>
          <w:color w:val="57585A"/>
          <w:spacing w:val="-16"/>
          <w:sz w:val="20"/>
          <w:szCs w:val="20"/>
        </w:rPr>
        <w:t xml:space="preserve"> </w:t>
      </w:r>
      <w:r>
        <w:rPr>
          <w:color w:val="57585A"/>
          <w:spacing w:val="-12"/>
          <w:sz w:val="20"/>
          <w:szCs w:val="20"/>
        </w:rPr>
        <w:t>which benefits from new oil projects. Guyana's economic prospects remain strong,</w:t>
      </w:r>
      <w:r>
        <w:rPr>
          <w:color w:val="57585A"/>
          <w:spacing w:val="-15"/>
          <w:sz w:val="20"/>
          <w:szCs w:val="20"/>
        </w:rPr>
        <w:t xml:space="preserve"> </w:t>
      </w:r>
      <w:r>
        <w:rPr>
          <w:color w:val="57585A"/>
          <w:spacing w:val="-12"/>
          <w:sz w:val="20"/>
          <w:szCs w:val="20"/>
        </w:rPr>
        <w:t xml:space="preserve">with </w:t>
      </w:r>
      <w:r>
        <w:rPr>
          <w:color w:val="57585A"/>
          <w:spacing w:val="-13"/>
          <w:sz w:val="20"/>
          <w:szCs w:val="20"/>
        </w:rPr>
        <w:t>real GDP</w:t>
      </w:r>
    </w:p>
    <w:p w14:paraId="792C718A">
      <w:pPr>
        <w:pStyle w:val="4"/>
        <w:spacing w:before="57" w:line="283" w:lineRule="auto"/>
        <w:ind w:left="369" w:right="418"/>
        <w:rPr>
          <w:sz w:val="20"/>
          <w:szCs w:val="20"/>
        </w:rPr>
      </w:pPr>
      <w:r>
        <w:rPr>
          <w:color w:val="57585A"/>
          <w:spacing w:val="-11"/>
          <w:sz w:val="20"/>
          <w:szCs w:val="20"/>
        </w:rPr>
        <w:t>expected to increase by approximately 13% from USD25.</w:t>
      </w:r>
      <w:r>
        <w:rPr>
          <w:color w:val="57585A"/>
          <w:spacing w:val="-12"/>
          <w:sz w:val="20"/>
          <w:szCs w:val="20"/>
        </w:rPr>
        <w:t>6bn in 2024 to USD29.0bn in 2025, driven by significant investments in its</w:t>
      </w:r>
      <w:r>
        <w:rPr>
          <w:color w:val="57585A"/>
          <w:sz w:val="20"/>
          <w:szCs w:val="20"/>
        </w:rPr>
        <w:t xml:space="preserve"> </w:t>
      </w:r>
      <w:r>
        <w:rPr>
          <w:color w:val="57585A"/>
          <w:spacing w:val="-12"/>
          <w:sz w:val="20"/>
          <w:szCs w:val="20"/>
        </w:rPr>
        <w:t>expanding oil sector. We project a regional economic slowdown in 2025,</w:t>
      </w:r>
      <w:r>
        <w:rPr>
          <w:color w:val="57585A"/>
          <w:spacing w:val="-8"/>
          <w:sz w:val="20"/>
          <w:szCs w:val="20"/>
        </w:rPr>
        <w:t xml:space="preserve"> </w:t>
      </w:r>
      <w:r>
        <w:rPr>
          <w:color w:val="57585A"/>
          <w:spacing w:val="-12"/>
          <w:sz w:val="20"/>
          <w:szCs w:val="20"/>
        </w:rPr>
        <w:t>with GDP growth decreasing from 2.4% in 2024 to 2.0% in</w:t>
      </w:r>
      <w:r>
        <w:rPr>
          <w:color w:val="57585A"/>
          <w:sz w:val="20"/>
          <w:szCs w:val="20"/>
        </w:rPr>
        <w:t xml:space="preserve"> </w:t>
      </w:r>
      <w:r>
        <w:rPr>
          <w:color w:val="57585A"/>
          <w:spacing w:val="-11"/>
          <w:sz w:val="20"/>
          <w:szCs w:val="20"/>
        </w:rPr>
        <w:t>2025. This slowdown is expected to affect 12 of</w:t>
      </w:r>
      <w:r>
        <w:rPr>
          <w:color w:val="57585A"/>
          <w:spacing w:val="-22"/>
          <w:sz w:val="20"/>
          <w:szCs w:val="20"/>
        </w:rPr>
        <w:t xml:space="preserve"> </w:t>
      </w:r>
      <w:r>
        <w:rPr>
          <w:color w:val="57585A"/>
          <w:spacing w:val="-11"/>
          <w:sz w:val="20"/>
          <w:szCs w:val="20"/>
        </w:rPr>
        <w:t>the 17 Latin</w:t>
      </w:r>
      <w:r>
        <w:rPr>
          <w:color w:val="57585A"/>
          <w:spacing w:val="-15"/>
          <w:sz w:val="20"/>
          <w:szCs w:val="20"/>
        </w:rPr>
        <w:t xml:space="preserve"> </w:t>
      </w:r>
      <w:r>
        <w:rPr>
          <w:color w:val="57585A"/>
          <w:spacing w:val="-11"/>
          <w:sz w:val="20"/>
          <w:szCs w:val="20"/>
        </w:rPr>
        <w:t>American markets,</w:t>
      </w:r>
      <w:r>
        <w:rPr>
          <w:color w:val="57585A"/>
          <w:spacing w:val="-16"/>
          <w:sz w:val="20"/>
          <w:szCs w:val="20"/>
        </w:rPr>
        <w:t xml:space="preserve"> </w:t>
      </w:r>
      <w:r>
        <w:rPr>
          <w:color w:val="57585A"/>
          <w:spacing w:val="-11"/>
          <w:sz w:val="20"/>
          <w:szCs w:val="20"/>
        </w:rPr>
        <w:t>with significant s</w:t>
      </w:r>
      <w:r>
        <w:rPr>
          <w:color w:val="57585A"/>
          <w:spacing w:val="-12"/>
          <w:sz w:val="20"/>
          <w:szCs w:val="20"/>
        </w:rPr>
        <w:t>lowdowns in Brazil (from 3.4% to</w:t>
      </w:r>
      <w:r>
        <w:rPr>
          <w:color w:val="57585A"/>
          <w:sz w:val="20"/>
          <w:szCs w:val="20"/>
        </w:rPr>
        <w:t xml:space="preserve">  </w:t>
      </w:r>
      <w:r>
        <w:rPr>
          <w:color w:val="57585A"/>
          <w:spacing w:val="-12"/>
          <w:sz w:val="20"/>
          <w:szCs w:val="20"/>
        </w:rPr>
        <w:t>2.0%) and Mexico (from 1.5% to 0.2%),</w:t>
      </w:r>
      <w:r>
        <w:rPr>
          <w:color w:val="57585A"/>
          <w:spacing w:val="-16"/>
          <w:sz w:val="20"/>
          <w:szCs w:val="20"/>
        </w:rPr>
        <w:t xml:space="preserve"> </w:t>
      </w:r>
      <w:r>
        <w:rPr>
          <w:color w:val="57585A"/>
          <w:spacing w:val="-12"/>
          <w:sz w:val="20"/>
          <w:szCs w:val="20"/>
        </w:rPr>
        <w:t>which together make up about 60% of</w:t>
      </w:r>
      <w:r>
        <w:rPr>
          <w:color w:val="57585A"/>
          <w:spacing w:val="-21"/>
          <w:sz w:val="20"/>
          <w:szCs w:val="20"/>
        </w:rPr>
        <w:t xml:space="preserve"> </w:t>
      </w:r>
      <w:r>
        <w:rPr>
          <w:color w:val="57585A"/>
          <w:spacing w:val="-12"/>
          <w:sz w:val="20"/>
          <w:szCs w:val="20"/>
        </w:rPr>
        <w:t>the reg</w:t>
      </w:r>
      <w:r>
        <w:rPr>
          <w:color w:val="57585A"/>
          <w:spacing w:val="-13"/>
          <w:sz w:val="20"/>
          <w:szCs w:val="20"/>
        </w:rPr>
        <w:t>ional GDP. Their economic performance</w:t>
      </w:r>
    </w:p>
    <w:p w14:paraId="36BFD83B">
      <w:pPr>
        <w:pStyle w:val="4"/>
        <w:spacing w:before="37" w:line="273" w:lineRule="auto"/>
        <w:ind w:left="373" w:right="407"/>
        <w:rPr>
          <w:sz w:val="20"/>
          <w:szCs w:val="20"/>
        </w:rPr>
      </w:pPr>
      <w:r>
        <w:rPr>
          <w:color w:val="57585A"/>
          <w:spacing w:val="-11"/>
          <w:sz w:val="20"/>
          <w:szCs w:val="20"/>
        </w:rPr>
        <w:t>heavily influences Latin</w:t>
      </w:r>
      <w:r>
        <w:rPr>
          <w:color w:val="57585A"/>
          <w:spacing w:val="-16"/>
          <w:sz w:val="20"/>
          <w:szCs w:val="20"/>
        </w:rPr>
        <w:t xml:space="preserve"> </w:t>
      </w:r>
      <w:r>
        <w:rPr>
          <w:color w:val="57585A"/>
          <w:spacing w:val="-11"/>
          <w:sz w:val="20"/>
          <w:szCs w:val="20"/>
        </w:rPr>
        <w:t>America's overall growth.</w:t>
      </w:r>
      <w:r>
        <w:rPr>
          <w:color w:val="57585A"/>
          <w:spacing w:val="-15"/>
          <w:sz w:val="20"/>
          <w:szCs w:val="20"/>
        </w:rPr>
        <w:t xml:space="preserve"> </w:t>
      </w:r>
      <w:r>
        <w:rPr>
          <w:color w:val="57585A"/>
          <w:spacing w:val="-11"/>
          <w:sz w:val="20"/>
          <w:szCs w:val="20"/>
        </w:rPr>
        <w:t>Additionally, persistent security issues continue to increase opera</w:t>
      </w:r>
      <w:r>
        <w:rPr>
          <w:color w:val="57585A"/>
          <w:spacing w:val="-12"/>
          <w:sz w:val="20"/>
          <w:szCs w:val="20"/>
        </w:rPr>
        <w:t>tional risks in the</w:t>
      </w:r>
      <w:r>
        <w:rPr>
          <w:color w:val="57585A"/>
          <w:sz w:val="20"/>
          <w:szCs w:val="20"/>
        </w:rPr>
        <w:t xml:space="preserve"> </w:t>
      </w:r>
      <w:r>
        <w:rPr>
          <w:color w:val="57585A"/>
          <w:spacing w:val="-10"/>
          <w:sz w:val="20"/>
          <w:szCs w:val="20"/>
        </w:rPr>
        <w:t>region.</w:t>
      </w:r>
    </w:p>
    <w:p w14:paraId="18FBD19D">
      <w:pPr>
        <w:spacing w:line="273" w:lineRule="auto"/>
        <w:rPr>
          <w:sz w:val="20"/>
          <w:szCs w:val="20"/>
        </w:rPr>
        <w:sectPr>
          <w:footerReference r:id="rId51" w:type="default"/>
          <w:pgSz w:w="11906" w:h="16838"/>
          <w:pgMar w:top="400" w:right="490" w:bottom="883" w:left="490" w:header="0" w:footer="0" w:gutter="0"/>
          <w:cols w:space="720" w:num="1"/>
        </w:sectPr>
      </w:pPr>
    </w:p>
    <w:p w14:paraId="4A757D03">
      <w:pPr>
        <w:pStyle w:val="4"/>
        <w:spacing w:before="73" w:line="241" w:lineRule="auto"/>
        <w:ind w:left="7372"/>
        <w:rPr>
          <w:sz w:val="20"/>
          <w:szCs w:val="20"/>
        </w:rPr>
      </w:pPr>
      <w:r>
        <w:drawing>
          <wp:anchor distT="0" distB="0" distL="0" distR="0" simplePos="0" relativeHeight="25186304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64064" behindDoc="0" locked="0" layoutInCell="0" allowOverlap="1">
            <wp:simplePos x="0" y="0"/>
            <wp:positionH relativeFrom="page">
              <wp:posOffset>311150</wp:posOffset>
            </wp:positionH>
            <wp:positionV relativeFrom="page">
              <wp:posOffset>0</wp:posOffset>
            </wp:positionV>
            <wp:extent cx="19050" cy="81407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44E9A2A">
      <w:pPr>
        <w:pStyle w:val="4"/>
        <w:spacing w:line="278" w:lineRule="auto"/>
      </w:pPr>
    </w:p>
    <w:p w14:paraId="248ACD2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1CABB9D">
      <w:pPr>
        <w:pStyle w:val="4"/>
        <w:spacing w:line="437" w:lineRule="auto"/>
      </w:pPr>
    </w:p>
    <w:p w14:paraId="419BB10D">
      <w:pPr>
        <w:pStyle w:val="4"/>
        <w:spacing w:before="69" w:line="234" w:lineRule="auto"/>
        <w:ind w:left="3604"/>
        <w:outlineLvl w:val="1"/>
        <w:rPr>
          <w:sz w:val="24"/>
          <w:szCs w:val="24"/>
        </w:rPr>
      </w:pPr>
      <w:r>
        <w:rPr>
          <w:color w:val="174174"/>
          <w:spacing w:val="-14"/>
          <w:sz w:val="24"/>
          <w:szCs w:val="24"/>
        </w:rPr>
        <w:t>Rewards Outweigh Risks In T</w:t>
      </w:r>
      <w:r>
        <w:rPr>
          <w:color w:val="174174"/>
          <w:spacing w:val="-15"/>
          <w:sz w:val="24"/>
          <w:szCs w:val="24"/>
        </w:rPr>
        <w:t>he Region</w:t>
      </w:r>
    </w:p>
    <w:p w14:paraId="46F9507D">
      <w:pPr>
        <w:pStyle w:val="4"/>
        <w:spacing w:before="32" w:line="234" w:lineRule="auto"/>
        <w:ind w:left="3029"/>
        <w:outlineLvl w:val="1"/>
        <w:rPr>
          <w:sz w:val="20"/>
          <w:szCs w:val="20"/>
        </w:rPr>
      </w:pPr>
      <w:r>
        <w:rPr>
          <w:color w:val="333333"/>
          <w:spacing w:val="-13"/>
          <w:sz w:val="20"/>
          <w:szCs w:val="20"/>
        </w:rPr>
        <w:t>Selected Latin America Markets - Upstream Risk/Reward Score</w:t>
      </w:r>
    </w:p>
    <w:p w14:paraId="2C36AE5B">
      <w:pPr>
        <w:spacing w:before="93" w:line="4500" w:lineRule="exact"/>
        <w:ind w:firstLine="1862"/>
      </w:pPr>
      <w:r>
        <w:rPr>
          <w:position w:val="-89"/>
        </w:rPr>
        <w:drawing>
          <wp:inline distT="0" distB="0" distL="0" distR="0">
            <wp:extent cx="4572000" cy="2856865"/>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35"/>
                    <a:stretch>
                      <a:fillRect/>
                    </a:stretch>
                  </pic:blipFill>
                  <pic:spPr>
                    <a:xfrm>
                      <a:off x="0" y="0"/>
                      <a:ext cx="4572000" cy="2857499"/>
                    </a:xfrm>
                    <a:prstGeom prst="rect">
                      <a:avLst/>
                    </a:prstGeom>
                  </pic:spPr>
                </pic:pic>
              </a:graphicData>
            </a:graphic>
          </wp:inline>
        </w:drawing>
      </w:r>
    </w:p>
    <w:p w14:paraId="47036756">
      <w:pPr>
        <w:pStyle w:val="4"/>
        <w:spacing w:before="149" w:line="177" w:lineRule="exact"/>
        <w:ind w:left="1874"/>
        <w:rPr>
          <w:sz w:val="15"/>
          <w:szCs w:val="15"/>
        </w:rPr>
      </w:pPr>
      <w:r>
        <w:drawing>
          <wp:anchor distT="0" distB="0" distL="0" distR="0" simplePos="0" relativeHeight="25186201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5"/>
          <w:position w:val="1"/>
          <w:sz w:val="15"/>
          <w:szCs w:val="15"/>
        </w:rPr>
        <w:t>Note: Scores out</w:t>
      </w:r>
      <w:r>
        <w:rPr>
          <w:i/>
          <w:iCs/>
          <w:color w:val="333333"/>
          <w:spacing w:val="-11"/>
          <w:position w:val="1"/>
          <w:sz w:val="15"/>
          <w:szCs w:val="15"/>
        </w:rPr>
        <w:t xml:space="preserve"> </w:t>
      </w:r>
      <w:r>
        <w:rPr>
          <w:i/>
          <w:iCs/>
          <w:color w:val="333333"/>
          <w:spacing w:val="-5"/>
          <w:w w:val="95"/>
          <w:position w:val="1"/>
          <w:sz w:val="15"/>
          <w:szCs w:val="15"/>
        </w:rPr>
        <w:t>of</w:t>
      </w:r>
      <w:r>
        <w:rPr>
          <w:i/>
          <w:iCs/>
          <w:color w:val="333333"/>
          <w:spacing w:val="-10"/>
          <w:position w:val="1"/>
          <w:sz w:val="15"/>
          <w:szCs w:val="15"/>
        </w:rPr>
        <w:t xml:space="preserve"> </w:t>
      </w:r>
      <w:r>
        <w:rPr>
          <w:i/>
          <w:iCs/>
          <w:color w:val="333333"/>
          <w:spacing w:val="-5"/>
          <w:w w:val="95"/>
          <w:position w:val="1"/>
          <w:sz w:val="15"/>
          <w:szCs w:val="15"/>
        </w:rPr>
        <w:t>100;</w:t>
      </w:r>
      <w:r>
        <w:rPr>
          <w:i/>
          <w:iCs/>
          <w:color w:val="333333"/>
          <w:spacing w:val="-9"/>
          <w:position w:val="1"/>
          <w:sz w:val="15"/>
          <w:szCs w:val="15"/>
        </w:rPr>
        <w:t xml:space="preserve"> </w:t>
      </w:r>
      <w:r>
        <w:rPr>
          <w:i/>
          <w:iCs/>
          <w:color w:val="333333"/>
          <w:spacing w:val="-5"/>
          <w:w w:val="95"/>
          <w:position w:val="1"/>
          <w:sz w:val="15"/>
          <w:szCs w:val="15"/>
        </w:rPr>
        <w:t>lower</w:t>
      </w:r>
      <w:r>
        <w:rPr>
          <w:i/>
          <w:iCs/>
          <w:color w:val="333333"/>
          <w:spacing w:val="-19"/>
          <w:position w:val="1"/>
          <w:sz w:val="15"/>
          <w:szCs w:val="15"/>
        </w:rPr>
        <w:t xml:space="preserve"> </w:t>
      </w:r>
      <w:r>
        <w:rPr>
          <w:i/>
          <w:iCs/>
          <w:color w:val="333333"/>
          <w:spacing w:val="-5"/>
          <w:w w:val="95"/>
          <w:position w:val="1"/>
          <w:sz w:val="15"/>
          <w:szCs w:val="15"/>
        </w:rPr>
        <w:t>score =</w:t>
      </w:r>
      <w:r>
        <w:rPr>
          <w:i/>
          <w:iCs/>
          <w:color w:val="333333"/>
          <w:spacing w:val="-6"/>
          <w:w w:val="95"/>
          <w:position w:val="1"/>
          <w:sz w:val="15"/>
          <w:szCs w:val="15"/>
        </w:rPr>
        <w:t xml:space="preserve"> more attractive market. Source: BMI</w:t>
      </w:r>
    </w:p>
    <w:p w14:paraId="06D9AC52">
      <w:pPr>
        <w:pStyle w:val="4"/>
        <w:spacing w:line="355" w:lineRule="auto"/>
      </w:pPr>
    </w:p>
    <w:p w14:paraId="4D08E6E7">
      <w:pPr>
        <w:pStyle w:val="4"/>
        <w:spacing w:before="58" w:line="241" w:lineRule="auto"/>
        <w:ind w:left="375"/>
        <w:rPr>
          <w:sz w:val="20"/>
          <w:szCs w:val="20"/>
        </w:rPr>
      </w:pPr>
      <w:r>
        <w:rPr>
          <w:b/>
          <w:bCs/>
          <w:color w:val="57585A"/>
          <w:spacing w:val="-8"/>
          <w:sz w:val="20"/>
          <w:szCs w:val="20"/>
        </w:rPr>
        <w:t xml:space="preserve">Political Risk Elevated In </w:t>
      </w:r>
      <w:r>
        <w:rPr>
          <w:b/>
          <w:bCs/>
          <w:color w:val="57585A"/>
          <w:spacing w:val="-9"/>
          <w:sz w:val="20"/>
          <w:szCs w:val="20"/>
        </w:rPr>
        <w:t>Many Countries</w:t>
      </w:r>
    </w:p>
    <w:p w14:paraId="52869747">
      <w:pPr>
        <w:pStyle w:val="4"/>
        <w:spacing w:line="282" w:lineRule="auto"/>
      </w:pPr>
    </w:p>
    <w:p w14:paraId="3AE1CEA0">
      <w:pPr>
        <w:pStyle w:val="4"/>
        <w:spacing w:before="58" w:line="279" w:lineRule="auto"/>
        <w:ind w:left="363" w:right="436" w:firstLine="12"/>
        <w:rPr>
          <w:sz w:val="20"/>
          <w:szCs w:val="20"/>
        </w:rPr>
      </w:pPr>
      <w:r>
        <w:rPr>
          <w:color w:val="57585A"/>
          <w:spacing w:val="-11"/>
          <w:sz w:val="20"/>
          <w:szCs w:val="20"/>
        </w:rPr>
        <w:t>Ecuador has now dropped below Venez</w:t>
      </w:r>
      <w:r>
        <w:rPr>
          <w:color w:val="57585A"/>
          <w:spacing w:val="-12"/>
          <w:sz w:val="20"/>
          <w:szCs w:val="20"/>
        </w:rPr>
        <w:t>uela in regional standings, ranking 62nd globally out of</w:t>
      </w:r>
      <w:r>
        <w:rPr>
          <w:color w:val="57585A"/>
          <w:spacing w:val="-17"/>
          <w:sz w:val="20"/>
          <w:szCs w:val="20"/>
        </w:rPr>
        <w:t xml:space="preserve"> </w:t>
      </w:r>
      <w:r>
        <w:rPr>
          <w:color w:val="57585A"/>
          <w:spacing w:val="-12"/>
          <w:sz w:val="20"/>
          <w:szCs w:val="20"/>
        </w:rPr>
        <w:t>72 countries,</w:t>
      </w:r>
      <w:r>
        <w:rPr>
          <w:color w:val="57585A"/>
          <w:spacing w:val="-16"/>
          <w:sz w:val="20"/>
          <w:szCs w:val="20"/>
        </w:rPr>
        <w:t xml:space="preserve"> </w:t>
      </w:r>
      <w:r>
        <w:rPr>
          <w:color w:val="57585A"/>
          <w:spacing w:val="-12"/>
          <w:sz w:val="20"/>
          <w:szCs w:val="20"/>
        </w:rPr>
        <w:t>while Venezuela holds</w:t>
      </w:r>
      <w:r>
        <w:rPr>
          <w:color w:val="57585A"/>
          <w:sz w:val="20"/>
          <w:szCs w:val="20"/>
        </w:rPr>
        <w:t xml:space="preserve"> </w:t>
      </w:r>
      <w:r>
        <w:rPr>
          <w:color w:val="57585A"/>
          <w:spacing w:val="-11"/>
          <w:sz w:val="20"/>
          <w:szCs w:val="20"/>
        </w:rPr>
        <w:t>the 57th position. Venezuela continues to face significant challenges due to high political risk and governance i</w:t>
      </w:r>
      <w:r>
        <w:rPr>
          <w:color w:val="57585A"/>
          <w:spacing w:val="-12"/>
          <w:sz w:val="20"/>
          <w:szCs w:val="20"/>
        </w:rPr>
        <w:t>ssues, exacerbated</w:t>
      </w:r>
      <w:r>
        <w:rPr>
          <w:color w:val="57585A"/>
          <w:sz w:val="20"/>
          <w:szCs w:val="20"/>
        </w:rPr>
        <w:t xml:space="preserve"> </w:t>
      </w:r>
      <w:r>
        <w:rPr>
          <w:color w:val="57585A"/>
          <w:spacing w:val="-11"/>
          <w:sz w:val="20"/>
          <w:szCs w:val="20"/>
        </w:rPr>
        <w:t>by the re-imposition of U.S. sanctions in</w:t>
      </w:r>
      <w:r>
        <w:rPr>
          <w:color w:val="57585A"/>
          <w:spacing w:val="-3"/>
          <w:sz w:val="20"/>
          <w:szCs w:val="20"/>
        </w:rPr>
        <w:t xml:space="preserve"> </w:t>
      </w:r>
      <w:r>
        <w:rPr>
          <w:color w:val="57585A"/>
          <w:spacing w:val="-11"/>
          <w:sz w:val="20"/>
          <w:szCs w:val="20"/>
        </w:rPr>
        <w:t>April 2024. The uncertainty surrounding Venezuela's presidential elections and sector-</w:t>
      </w:r>
    </w:p>
    <w:p w14:paraId="4AE97795">
      <w:pPr>
        <w:pStyle w:val="4"/>
        <w:spacing w:before="37" w:line="231" w:lineRule="auto"/>
        <w:ind w:left="366"/>
        <w:rPr>
          <w:sz w:val="20"/>
          <w:szCs w:val="20"/>
        </w:rPr>
      </w:pPr>
      <w:r>
        <w:rPr>
          <w:color w:val="57585A"/>
          <w:spacing w:val="-10"/>
          <w:sz w:val="20"/>
          <w:szCs w:val="20"/>
        </w:rPr>
        <w:t>specific challenges make it a high-risk i</w:t>
      </w:r>
      <w:r>
        <w:rPr>
          <w:color w:val="57585A"/>
          <w:spacing w:val="-11"/>
          <w:sz w:val="20"/>
          <w:szCs w:val="20"/>
        </w:rPr>
        <w:t>nvestment destination according to our rankings. Similarly, political instability in Bolivia and</w:t>
      </w:r>
    </w:p>
    <w:p w14:paraId="4F94E626">
      <w:pPr>
        <w:pStyle w:val="4"/>
        <w:spacing w:before="58" w:line="273" w:lineRule="auto"/>
        <w:ind w:left="371" w:right="365" w:firstLine="4"/>
        <w:rPr>
          <w:sz w:val="20"/>
          <w:szCs w:val="20"/>
        </w:rPr>
      </w:pPr>
      <w:r>
        <w:rPr>
          <w:color w:val="57585A"/>
          <w:spacing w:val="-11"/>
          <w:sz w:val="20"/>
          <w:szCs w:val="20"/>
        </w:rPr>
        <w:t>Ecuador adversely affe</w:t>
      </w:r>
      <w:r>
        <w:rPr>
          <w:color w:val="57585A"/>
          <w:spacing w:val="-12"/>
          <w:sz w:val="20"/>
          <w:szCs w:val="20"/>
        </w:rPr>
        <w:t>cts investor confidence. In the updated regional rankings, Ecuador's standing reflects its ongoing struggles, as</w:t>
      </w:r>
      <w:r>
        <w:rPr>
          <w:color w:val="57585A"/>
          <w:sz w:val="20"/>
          <w:szCs w:val="20"/>
        </w:rPr>
        <w:t xml:space="preserve"> </w:t>
      </w:r>
      <w:r>
        <w:rPr>
          <w:color w:val="57585A"/>
          <w:spacing w:val="-11"/>
          <w:sz w:val="20"/>
          <w:szCs w:val="20"/>
        </w:rPr>
        <w:t>it now ranks 10th regiona</w:t>
      </w:r>
      <w:r>
        <w:rPr>
          <w:color w:val="57585A"/>
          <w:spacing w:val="-12"/>
          <w:sz w:val="20"/>
          <w:szCs w:val="20"/>
        </w:rPr>
        <w:t>lly and 62nd globally, impacted by factors such as bureaucratic inefficiencies and</w:t>
      </w:r>
      <w:r>
        <w:rPr>
          <w:color w:val="57585A"/>
          <w:spacing w:val="-1"/>
          <w:sz w:val="20"/>
          <w:szCs w:val="20"/>
        </w:rPr>
        <w:t xml:space="preserve"> </w:t>
      </w:r>
      <w:r>
        <w:rPr>
          <w:color w:val="57585A"/>
          <w:spacing w:val="-12"/>
          <w:sz w:val="20"/>
          <w:szCs w:val="20"/>
        </w:rPr>
        <w:t>legal</w:t>
      </w:r>
      <w:r>
        <w:rPr>
          <w:color w:val="57585A"/>
          <w:spacing w:val="-2"/>
          <w:sz w:val="20"/>
          <w:szCs w:val="20"/>
        </w:rPr>
        <w:t xml:space="preserve"> </w:t>
      </w:r>
      <w:r>
        <w:rPr>
          <w:color w:val="57585A"/>
          <w:spacing w:val="-12"/>
          <w:sz w:val="20"/>
          <w:szCs w:val="20"/>
        </w:rPr>
        <w:t>risks.</w:t>
      </w:r>
      <w:r>
        <w:rPr>
          <w:color w:val="57585A"/>
          <w:spacing w:val="1"/>
          <w:sz w:val="20"/>
          <w:szCs w:val="20"/>
        </w:rPr>
        <w:t xml:space="preserve"> </w:t>
      </w:r>
      <w:r>
        <w:rPr>
          <w:color w:val="57585A"/>
          <w:spacing w:val="-12"/>
          <w:sz w:val="20"/>
          <w:szCs w:val="20"/>
        </w:rPr>
        <w:t>Meanwhile,</w:t>
      </w:r>
    </w:p>
    <w:p w14:paraId="1F4E94AF">
      <w:pPr>
        <w:pStyle w:val="4"/>
        <w:spacing w:before="37" w:line="273" w:lineRule="auto"/>
        <w:ind w:left="373" w:right="1016" w:hanging="12"/>
        <w:rPr>
          <w:sz w:val="20"/>
          <w:szCs w:val="20"/>
        </w:rPr>
      </w:pPr>
      <w:r>
        <w:rPr>
          <w:color w:val="57585A"/>
          <w:spacing w:val="-10"/>
          <w:sz w:val="20"/>
          <w:szCs w:val="20"/>
        </w:rPr>
        <w:t xml:space="preserve">Venezuela's high political risk </w:t>
      </w:r>
      <w:r>
        <w:rPr>
          <w:color w:val="57585A"/>
          <w:spacing w:val="-11"/>
          <w:sz w:val="20"/>
          <w:szCs w:val="20"/>
        </w:rPr>
        <w:t>and operational challenges place it 9th regionally and 57th globally, highlighting its</w:t>
      </w:r>
      <w:r>
        <w:rPr>
          <w:color w:val="57585A"/>
          <w:spacing w:val="-1"/>
          <w:sz w:val="20"/>
          <w:szCs w:val="20"/>
        </w:rPr>
        <w:t xml:space="preserve"> </w:t>
      </w:r>
      <w:r>
        <w:rPr>
          <w:color w:val="57585A"/>
          <w:spacing w:val="-11"/>
          <w:sz w:val="20"/>
          <w:szCs w:val="20"/>
        </w:rPr>
        <w:t>precarious</w:t>
      </w:r>
      <w:r>
        <w:rPr>
          <w:color w:val="57585A"/>
          <w:sz w:val="20"/>
          <w:szCs w:val="20"/>
        </w:rPr>
        <w:t xml:space="preserve"> </w:t>
      </w:r>
      <w:r>
        <w:rPr>
          <w:color w:val="57585A"/>
          <w:spacing w:val="-9"/>
          <w:sz w:val="20"/>
          <w:szCs w:val="20"/>
        </w:rPr>
        <w:t>position in attracting foreign investment.</w:t>
      </w:r>
    </w:p>
    <w:p w14:paraId="0F6C8FEE">
      <w:pPr>
        <w:spacing w:line="273" w:lineRule="auto"/>
        <w:rPr>
          <w:sz w:val="20"/>
          <w:szCs w:val="20"/>
        </w:rPr>
        <w:sectPr>
          <w:footerReference r:id="rId52" w:type="default"/>
          <w:pgSz w:w="11906" w:h="16838"/>
          <w:pgMar w:top="400" w:right="490" w:bottom="883" w:left="490" w:header="0" w:footer="0" w:gutter="0"/>
          <w:cols w:space="720" w:num="1"/>
        </w:sectPr>
      </w:pPr>
    </w:p>
    <w:p w14:paraId="46DC8379">
      <w:pPr>
        <w:pStyle w:val="4"/>
        <w:spacing w:before="73" w:line="241" w:lineRule="auto"/>
        <w:ind w:left="7372"/>
        <w:rPr>
          <w:sz w:val="20"/>
          <w:szCs w:val="20"/>
        </w:rPr>
      </w:pPr>
      <w:r>
        <w:drawing>
          <wp:anchor distT="0" distB="0" distL="0" distR="0" simplePos="0" relativeHeight="25186713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68160" behindDoc="0" locked="0" layoutInCell="0" allowOverlap="1">
            <wp:simplePos x="0" y="0"/>
            <wp:positionH relativeFrom="page">
              <wp:posOffset>311150</wp:posOffset>
            </wp:positionH>
            <wp:positionV relativeFrom="page">
              <wp:posOffset>0</wp:posOffset>
            </wp:positionV>
            <wp:extent cx="19050" cy="814070"/>
            <wp:effectExtent l="0" t="0" r="0" b="0"/>
            <wp:wrapNone/>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6D7D997">
      <w:pPr>
        <w:pStyle w:val="4"/>
        <w:spacing w:line="278" w:lineRule="auto"/>
      </w:pPr>
    </w:p>
    <w:p w14:paraId="2D8E0CC9">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E19EB77">
      <w:pPr>
        <w:pStyle w:val="4"/>
        <w:spacing w:line="437" w:lineRule="auto"/>
      </w:pPr>
    </w:p>
    <w:p w14:paraId="1C30BF5E">
      <w:pPr>
        <w:pStyle w:val="4"/>
        <w:spacing w:before="69" w:line="234" w:lineRule="auto"/>
        <w:ind w:left="3472"/>
        <w:outlineLvl w:val="1"/>
        <w:rPr>
          <w:sz w:val="24"/>
          <w:szCs w:val="24"/>
        </w:rPr>
      </w:pPr>
      <w:r>
        <w:rPr>
          <w:color w:val="174174"/>
          <w:spacing w:val="-11"/>
          <w:sz w:val="24"/>
          <w:szCs w:val="24"/>
        </w:rPr>
        <w:t xml:space="preserve">Guyana Outperforms </w:t>
      </w:r>
      <w:r>
        <w:rPr>
          <w:color w:val="174174"/>
          <w:spacing w:val="-12"/>
          <w:sz w:val="24"/>
          <w:szCs w:val="24"/>
        </w:rPr>
        <w:t>In Industry Rewards</w:t>
      </w:r>
    </w:p>
    <w:p w14:paraId="113CB779">
      <w:pPr>
        <w:pStyle w:val="4"/>
        <w:spacing w:before="32" w:line="231" w:lineRule="auto"/>
        <w:ind w:left="2280"/>
        <w:outlineLvl w:val="1"/>
        <w:rPr>
          <w:sz w:val="20"/>
          <w:szCs w:val="20"/>
        </w:rPr>
      </w:pPr>
      <w:r>
        <w:rPr>
          <w:color w:val="333333"/>
          <w:spacing w:val="-15"/>
          <w:sz w:val="20"/>
          <w:szCs w:val="20"/>
        </w:rPr>
        <w:t>Guyana, Colombia &amp; Ecuador Vs Latin America Average - RRI Scor</w:t>
      </w:r>
      <w:r>
        <w:rPr>
          <w:color w:val="333333"/>
          <w:spacing w:val="-16"/>
          <w:sz w:val="20"/>
          <w:szCs w:val="20"/>
        </w:rPr>
        <w:t>e, By Component</w:t>
      </w:r>
    </w:p>
    <w:p w14:paraId="4F10FB26">
      <w:pPr>
        <w:spacing w:before="96" w:line="4500" w:lineRule="exact"/>
        <w:ind w:firstLine="1862"/>
      </w:pPr>
      <w:r>
        <w:rPr>
          <w:position w:val="-89"/>
        </w:rPr>
        <w:drawing>
          <wp:inline distT="0" distB="0" distL="0" distR="0">
            <wp:extent cx="4572000" cy="2856865"/>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36"/>
                    <a:stretch>
                      <a:fillRect/>
                    </a:stretch>
                  </pic:blipFill>
                  <pic:spPr>
                    <a:xfrm>
                      <a:off x="0" y="0"/>
                      <a:ext cx="4572000" cy="2857499"/>
                    </a:xfrm>
                    <a:prstGeom prst="rect">
                      <a:avLst/>
                    </a:prstGeom>
                  </pic:spPr>
                </pic:pic>
              </a:graphicData>
            </a:graphic>
          </wp:inline>
        </w:drawing>
      </w:r>
    </w:p>
    <w:p w14:paraId="49200C95">
      <w:pPr>
        <w:pStyle w:val="4"/>
        <w:spacing w:before="149" w:line="177" w:lineRule="exact"/>
        <w:ind w:left="1874"/>
        <w:rPr>
          <w:sz w:val="15"/>
          <w:szCs w:val="15"/>
        </w:rPr>
      </w:pPr>
      <w:r>
        <w:drawing>
          <wp:anchor distT="0" distB="0" distL="0" distR="0" simplePos="0" relativeHeight="251865088"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5"/>
          <w:position w:val="1"/>
          <w:sz w:val="15"/>
          <w:szCs w:val="15"/>
        </w:rPr>
        <w:t>Note: Scores out</w:t>
      </w:r>
      <w:r>
        <w:rPr>
          <w:i/>
          <w:iCs/>
          <w:color w:val="333333"/>
          <w:spacing w:val="-11"/>
          <w:position w:val="1"/>
          <w:sz w:val="15"/>
          <w:szCs w:val="15"/>
        </w:rPr>
        <w:t xml:space="preserve"> </w:t>
      </w:r>
      <w:r>
        <w:rPr>
          <w:i/>
          <w:iCs/>
          <w:color w:val="333333"/>
          <w:spacing w:val="-5"/>
          <w:w w:val="95"/>
          <w:position w:val="1"/>
          <w:sz w:val="15"/>
          <w:szCs w:val="15"/>
        </w:rPr>
        <w:t>of</w:t>
      </w:r>
      <w:r>
        <w:rPr>
          <w:i/>
          <w:iCs/>
          <w:color w:val="333333"/>
          <w:spacing w:val="-10"/>
          <w:position w:val="1"/>
          <w:sz w:val="15"/>
          <w:szCs w:val="15"/>
        </w:rPr>
        <w:t xml:space="preserve"> </w:t>
      </w:r>
      <w:r>
        <w:rPr>
          <w:i/>
          <w:iCs/>
          <w:color w:val="333333"/>
          <w:spacing w:val="-5"/>
          <w:w w:val="95"/>
          <w:position w:val="1"/>
          <w:sz w:val="15"/>
          <w:szCs w:val="15"/>
        </w:rPr>
        <w:t>100;</w:t>
      </w:r>
      <w:r>
        <w:rPr>
          <w:i/>
          <w:iCs/>
          <w:color w:val="333333"/>
          <w:spacing w:val="-9"/>
          <w:position w:val="1"/>
          <w:sz w:val="15"/>
          <w:szCs w:val="15"/>
        </w:rPr>
        <w:t xml:space="preserve"> </w:t>
      </w:r>
      <w:r>
        <w:rPr>
          <w:i/>
          <w:iCs/>
          <w:color w:val="333333"/>
          <w:spacing w:val="-5"/>
          <w:w w:val="95"/>
          <w:position w:val="1"/>
          <w:sz w:val="15"/>
          <w:szCs w:val="15"/>
        </w:rPr>
        <w:t>lower</w:t>
      </w:r>
      <w:r>
        <w:rPr>
          <w:i/>
          <w:iCs/>
          <w:color w:val="333333"/>
          <w:spacing w:val="-19"/>
          <w:position w:val="1"/>
          <w:sz w:val="15"/>
          <w:szCs w:val="15"/>
        </w:rPr>
        <w:t xml:space="preserve"> </w:t>
      </w:r>
      <w:r>
        <w:rPr>
          <w:i/>
          <w:iCs/>
          <w:color w:val="333333"/>
          <w:spacing w:val="-5"/>
          <w:w w:val="95"/>
          <w:position w:val="1"/>
          <w:sz w:val="15"/>
          <w:szCs w:val="15"/>
        </w:rPr>
        <w:t>score =</w:t>
      </w:r>
      <w:r>
        <w:rPr>
          <w:i/>
          <w:iCs/>
          <w:color w:val="333333"/>
          <w:spacing w:val="-6"/>
          <w:w w:val="95"/>
          <w:position w:val="1"/>
          <w:sz w:val="15"/>
          <w:szCs w:val="15"/>
        </w:rPr>
        <w:t xml:space="preserve"> more attractive market. Source: BMI</w:t>
      </w:r>
    </w:p>
    <w:p w14:paraId="48946880">
      <w:pPr>
        <w:pStyle w:val="4"/>
        <w:spacing w:line="255" w:lineRule="auto"/>
      </w:pPr>
    </w:p>
    <w:p w14:paraId="017A84DB">
      <w:pPr>
        <w:pStyle w:val="4"/>
        <w:spacing w:line="256" w:lineRule="auto"/>
      </w:pPr>
    </w:p>
    <w:p w14:paraId="78E7277E">
      <w:pPr>
        <w:pStyle w:val="4"/>
        <w:spacing w:before="70" w:line="236" w:lineRule="auto"/>
        <w:ind w:left="427"/>
        <w:rPr>
          <w:sz w:val="24"/>
          <w:szCs w:val="24"/>
        </w:rPr>
      </w:pPr>
      <w:r>
        <w:rPr>
          <w:color w:val="174174"/>
          <w:spacing w:val="-10"/>
          <w:sz w:val="24"/>
          <w:szCs w:val="24"/>
        </w:rPr>
        <w:t>Latin</w:t>
      </w:r>
      <w:r>
        <w:rPr>
          <w:color w:val="174174"/>
          <w:spacing w:val="-24"/>
          <w:sz w:val="24"/>
          <w:szCs w:val="24"/>
        </w:rPr>
        <w:t xml:space="preserve"> </w:t>
      </w:r>
      <w:r>
        <w:rPr>
          <w:color w:val="174174"/>
          <w:spacing w:val="-10"/>
          <w:sz w:val="24"/>
          <w:szCs w:val="24"/>
        </w:rPr>
        <w:t>America Upstream Risk/Re</w:t>
      </w:r>
      <w:r>
        <w:rPr>
          <w:color w:val="174174"/>
          <w:spacing w:val="-11"/>
          <w:sz w:val="24"/>
          <w:szCs w:val="24"/>
        </w:rPr>
        <w:t>ward Index</w:t>
      </w:r>
    </w:p>
    <w:p w14:paraId="78B91238">
      <w:pPr>
        <w:spacing w:line="39"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020"/>
        <w:gridCol w:w="1020"/>
        <w:gridCol w:w="1021"/>
        <w:gridCol w:w="1021"/>
        <w:gridCol w:w="1020"/>
        <w:gridCol w:w="1020"/>
        <w:gridCol w:w="1021"/>
        <w:gridCol w:w="1020"/>
        <w:gridCol w:w="1021"/>
        <w:gridCol w:w="1020"/>
      </w:tblGrid>
      <w:tr w14:paraId="2C8A0D3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1020" w:type="dxa"/>
            <w:tcBorders>
              <w:left w:val="nil"/>
            </w:tcBorders>
            <w:vAlign w:val="top"/>
          </w:tcPr>
          <w:p w14:paraId="60543551">
            <w:pPr>
              <w:pStyle w:val="8"/>
              <w:rPr>
                <w:sz w:val="21"/>
              </w:rPr>
            </w:pPr>
          </w:p>
        </w:tc>
        <w:tc>
          <w:tcPr>
            <w:tcW w:w="1020" w:type="dxa"/>
            <w:tcBorders>
              <w:right w:val="nil"/>
            </w:tcBorders>
            <w:shd w:val="clear" w:color="auto" w:fill="A1D7EF"/>
            <w:vAlign w:val="top"/>
          </w:tcPr>
          <w:p w14:paraId="037E73F1">
            <w:pPr>
              <w:pStyle w:val="8"/>
              <w:spacing w:before="70" w:line="241" w:lineRule="auto"/>
              <w:ind w:left="182"/>
            </w:pPr>
            <w:r>
              <w:rPr>
                <w:b/>
                <w:bCs/>
                <w:color w:val="5F6A72"/>
                <w:spacing w:val="-6"/>
              </w:rPr>
              <w:t>Industry</w:t>
            </w:r>
          </w:p>
          <w:p w14:paraId="68566863">
            <w:pPr>
              <w:pStyle w:val="8"/>
              <w:spacing w:before="42" w:line="243" w:lineRule="exact"/>
              <w:ind w:left="183"/>
            </w:pPr>
            <w:r>
              <w:rPr>
                <w:b/>
                <w:bCs/>
                <w:color w:val="5F6A72"/>
                <w:spacing w:val="-11"/>
                <w:position w:val="1"/>
              </w:rPr>
              <w:t>Rewards</w:t>
            </w:r>
          </w:p>
        </w:tc>
        <w:tc>
          <w:tcPr>
            <w:tcW w:w="1021" w:type="dxa"/>
            <w:tcBorders>
              <w:left w:val="nil"/>
              <w:right w:val="nil"/>
            </w:tcBorders>
            <w:shd w:val="clear" w:color="auto" w:fill="A1D7EF"/>
            <w:vAlign w:val="top"/>
          </w:tcPr>
          <w:p w14:paraId="332819A1">
            <w:pPr>
              <w:pStyle w:val="8"/>
              <w:spacing w:before="112" w:line="184" w:lineRule="auto"/>
              <w:ind w:left="196"/>
            </w:pPr>
            <w:r>
              <w:rPr>
                <w:b/>
                <w:bCs/>
                <w:color w:val="5F6A72"/>
                <w:spacing w:val="-7"/>
              </w:rPr>
              <w:t>Country</w:t>
            </w:r>
          </w:p>
          <w:p w14:paraId="1739E890">
            <w:pPr>
              <w:pStyle w:val="8"/>
              <w:spacing w:before="49" w:line="243" w:lineRule="exact"/>
              <w:ind w:left="187"/>
            </w:pPr>
            <w:r>
              <w:rPr>
                <w:b/>
                <w:bCs/>
                <w:color w:val="5F6A72"/>
                <w:spacing w:val="-11"/>
                <w:position w:val="1"/>
              </w:rPr>
              <w:t>Rewards</w:t>
            </w:r>
          </w:p>
        </w:tc>
        <w:tc>
          <w:tcPr>
            <w:tcW w:w="1021" w:type="dxa"/>
            <w:tcBorders>
              <w:left w:val="nil"/>
              <w:right w:val="nil"/>
            </w:tcBorders>
            <w:shd w:val="clear" w:color="auto" w:fill="A1D7EF"/>
            <w:vAlign w:val="top"/>
          </w:tcPr>
          <w:p w14:paraId="724F7052">
            <w:pPr>
              <w:pStyle w:val="8"/>
              <w:spacing w:before="195" w:line="243" w:lineRule="exact"/>
              <w:ind w:left="186"/>
            </w:pPr>
            <w:r>
              <w:rPr>
                <w:b/>
                <w:bCs/>
                <w:color w:val="5F6A72"/>
                <w:spacing w:val="-11"/>
                <w:position w:val="1"/>
              </w:rPr>
              <w:t>Rewards</w:t>
            </w:r>
          </w:p>
        </w:tc>
        <w:tc>
          <w:tcPr>
            <w:tcW w:w="1020" w:type="dxa"/>
            <w:tcBorders>
              <w:left w:val="nil"/>
              <w:right w:val="nil"/>
            </w:tcBorders>
            <w:shd w:val="clear" w:color="auto" w:fill="E5819D"/>
            <w:vAlign w:val="top"/>
          </w:tcPr>
          <w:p w14:paraId="55F2586B">
            <w:pPr>
              <w:pStyle w:val="8"/>
              <w:spacing w:before="70" w:line="241" w:lineRule="auto"/>
              <w:ind w:left="186"/>
            </w:pPr>
            <w:r>
              <w:rPr>
                <w:b/>
                <w:bCs/>
                <w:color w:val="5F6A72"/>
                <w:spacing w:val="-6"/>
              </w:rPr>
              <w:t>Industry</w:t>
            </w:r>
          </w:p>
          <w:p w14:paraId="2E59BE9C">
            <w:pPr>
              <w:pStyle w:val="8"/>
              <w:spacing w:before="84" w:line="185" w:lineRule="auto"/>
              <w:ind w:left="310"/>
            </w:pPr>
            <w:r>
              <w:rPr>
                <w:b/>
                <w:bCs/>
                <w:color w:val="5F6A72"/>
                <w:spacing w:val="-11"/>
              </w:rPr>
              <w:t>Risks</w:t>
            </w:r>
          </w:p>
        </w:tc>
        <w:tc>
          <w:tcPr>
            <w:tcW w:w="1020" w:type="dxa"/>
            <w:tcBorders>
              <w:left w:val="nil"/>
              <w:right w:val="nil"/>
            </w:tcBorders>
            <w:shd w:val="clear" w:color="auto" w:fill="E5819D"/>
            <w:vAlign w:val="top"/>
          </w:tcPr>
          <w:p w14:paraId="721C7B92">
            <w:pPr>
              <w:pStyle w:val="8"/>
              <w:spacing w:before="112" w:line="184" w:lineRule="auto"/>
              <w:ind w:left="195"/>
            </w:pPr>
            <w:r>
              <w:rPr>
                <w:b/>
                <w:bCs/>
                <w:color w:val="5F6A72"/>
                <w:spacing w:val="-7"/>
              </w:rPr>
              <w:t>Country</w:t>
            </w:r>
          </w:p>
          <w:p w14:paraId="2C0D88F6">
            <w:pPr>
              <w:pStyle w:val="8"/>
              <w:spacing w:before="92" w:line="185" w:lineRule="auto"/>
              <w:ind w:left="310"/>
            </w:pPr>
            <w:r>
              <w:rPr>
                <w:b/>
                <w:bCs/>
                <w:color w:val="5F6A72"/>
                <w:spacing w:val="-11"/>
              </w:rPr>
              <w:t>Risks</w:t>
            </w:r>
          </w:p>
        </w:tc>
        <w:tc>
          <w:tcPr>
            <w:tcW w:w="1021" w:type="dxa"/>
            <w:tcBorders>
              <w:left w:val="nil"/>
              <w:right w:val="nil"/>
            </w:tcBorders>
            <w:shd w:val="clear" w:color="auto" w:fill="E5819D"/>
            <w:vAlign w:val="top"/>
          </w:tcPr>
          <w:p w14:paraId="3668AA27">
            <w:pPr>
              <w:pStyle w:val="8"/>
              <w:spacing w:before="237" w:line="185" w:lineRule="auto"/>
              <w:ind w:left="311"/>
            </w:pPr>
            <w:r>
              <w:rPr>
                <w:b/>
                <w:bCs/>
                <w:color w:val="5F6A72"/>
                <w:spacing w:val="-11"/>
              </w:rPr>
              <w:t>Risks</w:t>
            </w:r>
          </w:p>
        </w:tc>
        <w:tc>
          <w:tcPr>
            <w:tcW w:w="1020" w:type="dxa"/>
            <w:tcBorders>
              <w:left w:val="nil"/>
              <w:right w:val="nil"/>
            </w:tcBorders>
            <w:vAlign w:val="top"/>
          </w:tcPr>
          <w:p w14:paraId="4A61B211">
            <w:pPr>
              <w:pStyle w:val="8"/>
              <w:spacing w:before="239" w:line="183" w:lineRule="auto"/>
              <w:ind w:left="386"/>
            </w:pPr>
            <w:r>
              <w:rPr>
                <w:b/>
                <w:bCs/>
                <w:color w:val="5F6A72"/>
                <w:spacing w:val="-15"/>
              </w:rPr>
              <w:t>RRI</w:t>
            </w:r>
          </w:p>
        </w:tc>
        <w:tc>
          <w:tcPr>
            <w:tcW w:w="1021" w:type="dxa"/>
            <w:tcBorders>
              <w:left w:val="nil"/>
              <w:right w:val="nil"/>
            </w:tcBorders>
            <w:vAlign w:val="top"/>
          </w:tcPr>
          <w:p w14:paraId="1C419D33">
            <w:pPr>
              <w:pStyle w:val="8"/>
              <w:spacing w:before="70" w:line="241" w:lineRule="auto"/>
              <w:ind w:left="179"/>
            </w:pPr>
            <w:r>
              <w:rPr>
                <w:b/>
                <w:bCs/>
                <w:color w:val="5F6A72"/>
                <w:spacing w:val="-10"/>
              </w:rPr>
              <w:t>Regional</w:t>
            </w:r>
          </w:p>
          <w:p w14:paraId="617F9062">
            <w:pPr>
              <w:pStyle w:val="8"/>
              <w:spacing w:before="86" w:line="183" w:lineRule="auto"/>
              <w:ind w:left="323"/>
            </w:pPr>
            <w:r>
              <w:rPr>
                <w:b/>
                <w:bCs/>
                <w:color w:val="5F6A72"/>
                <w:spacing w:val="-10"/>
              </w:rPr>
              <w:t>Rank</w:t>
            </w:r>
          </w:p>
        </w:tc>
        <w:tc>
          <w:tcPr>
            <w:tcW w:w="1020" w:type="dxa"/>
            <w:tcBorders>
              <w:left w:val="nil"/>
              <w:right w:val="nil"/>
            </w:tcBorders>
            <w:vAlign w:val="top"/>
          </w:tcPr>
          <w:p w14:paraId="01D351C6">
            <w:pPr>
              <w:pStyle w:val="8"/>
              <w:spacing w:before="111" w:line="187" w:lineRule="auto"/>
              <w:ind w:left="269"/>
            </w:pPr>
            <w:r>
              <w:rPr>
                <w:b/>
                <w:bCs/>
                <w:color w:val="5F6A72"/>
                <w:spacing w:val="-11"/>
              </w:rPr>
              <w:t>Global</w:t>
            </w:r>
          </w:p>
          <w:p w14:paraId="23336427">
            <w:pPr>
              <w:pStyle w:val="8"/>
              <w:spacing w:before="91" w:line="183" w:lineRule="auto"/>
              <w:ind w:left="322"/>
            </w:pPr>
            <w:r>
              <w:rPr>
                <w:b/>
                <w:bCs/>
                <w:color w:val="5F6A72"/>
                <w:spacing w:val="-10"/>
              </w:rPr>
              <w:t>Rank</w:t>
            </w:r>
          </w:p>
        </w:tc>
      </w:tr>
      <w:tr w14:paraId="6807C01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vAlign w:val="top"/>
          </w:tcPr>
          <w:p w14:paraId="3A12D418">
            <w:pPr>
              <w:pStyle w:val="8"/>
              <w:spacing w:before="65" w:line="237" w:lineRule="exact"/>
              <w:ind w:left="18"/>
            </w:pPr>
            <w:r>
              <w:rPr>
                <w:color w:val="2A8ABF"/>
                <w:spacing w:val="-12"/>
                <w:position w:val="1"/>
              </w:rPr>
              <w:t>Brazil</w:t>
            </w:r>
          </w:p>
        </w:tc>
        <w:tc>
          <w:tcPr>
            <w:tcW w:w="1020" w:type="dxa"/>
            <w:tcBorders>
              <w:right w:val="nil"/>
            </w:tcBorders>
            <w:shd w:val="clear" w:color="auto" w:fill="A1D7EF"/>
            <w:vAlign w:val="top"/>
          </w:tcPr>
          <w:p w14:paraId="2E5EB231">
            <w:pPr>
              <w:pStyle w:val="8"/>
              <w:spacing w:before="65" w:line="237" w:lineRule="exact"/>
              <w:ind w:left="357"/>
            </w:pPr>
            <w:r>
              <w:rPr>
                <w:color w:val="5F6A72"/>
                <w:spacing w:val="-7"/>
                <w:position w:val="1"/>
              </w:rPr>
              <w:t>18.6</w:t>
            </w:r>
          </w:p>
        </w:tc>
        <w:tc>
          <w:tcPr>
            <w:tcW w:w="1021" w:type="dxa"/>
            <w:tcBorders>
              <w:left w:val="nil"/>
              <w:right w:val="nil"/>
            </w:tcBorders>
            <w:shd w:val="clear" w:color="auto" w:fill="A1D7EF"/>
            <w:vAlign w:val="top"/>
          </w:tcPr>
          <w:p w14:paraId="14481841">
            <w:pPr>
              <w:pStyle w:val="8"/>
              <w:spacing w:before="65" w:line="237" w:lineRule="exact"/>
              <w:ind w:left="354"/>
            </w:pPr>
            <w:r>
              <w:rPr>
                <w:color w:val="5F6A72"/>
                <w:spacing w:val="-6"/>
                <w:position w:val="1"/>
              </w:rPr>
              <w:t>41.8</w:t>
            </w:r>
          </w:p>
        </w:tc>
        <w:tc>
          <w:tcPr>
            <w:tcW w:w="1021" w:type="dxa"/>
            <w:tcBorders>
              <w:left w:val="nil"/>
              <w:right w:val="nil"/>
            </w:tcBorders>
            <w:shd w:val="clear" w:color="auto" w:fill="A1D7EF"/>
            <w:vAlign w:val="top"/>
          </w:tcPr>
          <w:p w14:paraId="2ACE5557">
            <w:pPr>
              <w:pStyle w:val="8"/>
              <w:spacing w:before="65" w:line="237" w:lineRule="exact"/>
              <w:ind w:left="356"/>
            </w:pPr>
            <w:r>
              <w:rPr>
                <w:color w:val="5F6A72"/>
                <w:spacing w:val="-6"/>
                <w:position w:val="1"/>
              </w:rPr>
              <w:t>27.9</w:t>
            </w:r>
          </w:p>
        </w:tc>
        <w:tc>
          <w:tcPr>
            <w:tcW w:w="1020" w:type="dxa"/>
            <w:tcBorders>
              <w:left w:val="nil"/>
              <w:right w:val="nil"/>
            </w:tcBorders>
            <w:shd w:val="clear" w:color="auto" w:fill="E5819D"/>
            <w:vAlign w:val="top"/>
          </w:tcPr>
          <w:p w14:paraId="63DB7D60">
            <w:pPr>
              <w:pStyle w:val="8"/>
              <w:spacing w:before="65" w:line="237" w:lineRule="exact"/>
              <w:ind w:left="358"/>
            </w:pPr>
            <w:r>
              <w:rPr>
                <w:color w:val="5F6A72"/>
                <w:spacing w:val="-7"/>
                <w:position w:val="1"/>
              </w:rPr>
              <w:t>57.6</w:t>
            </w:r>
          </w:p>
        </w:tc>
        <w:tc>
          <w:tcPr>
            <w:tcW w:w="1020" w:type="dxa"/>
            <w:tcBorders>
              <w:left w:val="nil"/>
              <w:right w:val="nil"/>
            </w:tcBorders>
            <w:shd w:val="clear" w:color="auto" w:fill="E5819D"/>
            <w:vAlign w:val="top"/>
          </w:tcPr>
          <w:p w14:paraId="2CF4C57C">
            <w:pPr>
              <w:pStyle w:val="8"/>
              <w:spacing w:before="65" w:line="237" w:lineRule="exact"/>
              <w:ind w:left="353"/>
            </w:pPr>
            <w:r>
              <w:rPr>
                <w:color w:val="5F6A72"/>
                <w:spacing w:val="-6"/>
                <w:position w:val="1"/>
              </w:rPr>
              <w:t>40.6</w:t>
            </w:r>
          </w:p>
        </w:tc>
        <w:tc>
          <w:tcPr>
            <w:tcW w:w="1021" w:type="dxa"/>
            <w:tcBorders>
              <w:left w:val="nil"/>
              <w:right w:val="nil"/>
            </w:tcBorders>
            <w:shd w:val="clear" w:color="auto" w:fill="E5819D"/>
            <w:vAlign w:val="top"/>
          </w:tcPr>
          <w:p w14:paraId="67A4878E">
            <w:pPr>
              <w:pStyle w:val="8"/>
              <w:spacing w:before="65" w:line="237" w:lineRule="exact"/>
              <w:ind w:left="358"/>
            </w:pPr>
            <w:r>
              <w:rPr>
                <w:color w:val="5F6A72"/>
                <w:spacing w:val="-7"/>
                <w:position w:val="1"/>
              </w:rPr>
              <w:t>54.2</w:t>
            </w:r>
          </w:p>
        </w:tc>
        <w:tc>
          <w:tcPr>
            <w:tcW w:w="1020" w:type="dxa"/>
            <w:tcBorders>
              <w:left w:val="nil"/>
              <w:right w:val="nil"/>
            </w:tcBorders>
            <w:vAlign w:val="top"/>
          </w:tcPr>
          <w:p w14:paraId="4BAC0D94">
            <w:pPr>
              <w:pStyle w:val="8"/>
              <w:spacing w:before="65" w:line="237" w:lineRule="exact"/>
              <w:ind w:left="353"/>
            </w:pPr>
            <w:r>
              <w:rPr>
                <w:color w:val="5F6A72"/>
                <w:spacing w:val="-6"/>
                <w:position w:val="1"/>
              </w:rPr>
              <w:t>30.5</w:t>
            </w:r>
          </w:p>
        </w:tc>
        <w:tc>
          <w:tcPr>
            <w:tcW w:w="1021" w:type="dxa"/>
            <w:tcBorders>
              <w:left w:val="nil"/>
              <w:right w:val="nil"/>
            </w:tcBorders>
            <w:vAlign w:val="top"/>
          </w:tcPr>
          <w:p w14:paraId="44889DAA">
            <w:pPr>
              <w:pStyle w:val="8"/>
              <w:spacing w:before="65" w:line="239" w:lineRule="exact"/>
              <w:ind w:left="476"/>
            </w:pPr>
            <w:r>
              <w:rPr>
                <w:color w:val="5F6A72"/>
                <w:position w:val="1"/>
              </w:rPr>
              <w:t>1</w:t>
            </w:r>
          </w:p>
        </w:tc>
        <w:tc>
          <w:tcPr>
            <w:tcW w:w="1020" w:type="dxa"/>
            <w:tcBorders>
              <w:left w:val="nil"/>
              <w:right w:val="nil"/>
            </w:tcBorders>
            <w:vAlign w:val="top"/>
          </w:tcPr>
          <w:p w14:paraId="57342F13">
            <w:pPr>
              <w:pStyle w:val="8"/>
              <w:spacing w:before="65" w:line="237" w:lineRule="exact"/>
              <w:ind w:left="473"/>
            </w:pPr>
            <w:r>
              <w:rPr>
                <w:color w:val="5F6A72"/>
                <w:position w:val="1"/>
              </w:rPr>
              <w:t>5</w:t>
            </w:r>
          </w:p>
        </w:tc>
      </w:tr>
      <w:tr w14:paraId="7387040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125D08CA">
            <w:pPr>
              <w:pStyle w:val="8"/>
              <w:spacing w:before="65" w:line="234" w:lineRule="auto"/>
              <w:ind w:left="3"/>
            </w:pPr>
            <w:r>
              <w:rPr>
                <w:color w:val="2A8ABF"/>
                <w:spacing w:val="-4"/>
              </w:rPr>
              <w:t>Argentina</w:t>
            </w:r>
          </w:p>
        </w:tc>
        <w:tc>
          <w:tcPr>
            <w:tcW w:w="1020" w:type="dxa"/>
            <w:tcBorders>
              <w:right w:val="nil"/>
            </w:tcBorders>
            <w:shd w:val="clear" w:color="auto" w:fill="A1D7EF"/>
            <w:vAlign w:val="top"/>
          </w:tcPr>
          <w:p w14:paraId="4EA4B02F">
            <w:pPr>
              <w:pStyle w:val="8"/>
              <w:spacing w:before="65" w:line="237" w:lineRule="exact"/>
              <w:ind w:left="350"/>
            </w:pPr>
            <w:r>
              <w:rPr>
                <w:color w:val="5F6A72"/>
                <w:spacing w:val="-6"/>
                <w:position w:val="1"/>
              </w:rPr>
              <w:t>31.0</w:t>
            </w:r>
          </w:p>
        </w:tc>
        <w:tc>
          <w:tcPr>
            <w:tcW w:w="1021" w:type="dxa"/>
            <w:tcBorders>
              <w:left w:val="nil"/>
              <w:right w:val="nil"/>
            </w:tcBorders>
            <w:shd w:val="clear" w:color="auto" w:fill="A1D7EF"/>
            <w:vAlign w:val="top"/>
          </w:tcPr>
          <w:p w14:paraId="49B3A669">
            <w:pPr>
              <w:pStyle w:val="8"/>
              <w:spacing w:before="65" w:line="237" w:lineRule="exact"/>
              <w:ind w:left="354"/>
            </w:pPr>
            <w:r>
              <w:rPr>
                <w:color w:val="5F6A72"/>
                <w:spacing w:val="-6"/>
                <w:position w:val="1"/>
              </w:rPr>
              <w:t>34.7</w:t>
            </w:r>
          </w:p>
        </w:tc>
        <w:tc>
          <w:tcPr>
            <w:tcW w:w="1021" w:type="dxa"/>
            <w:tcBorders>
              <w:left w:val="nil"/>
              <w:right w:val="nil"/>
            </w:tcBorders>
            <w:shd w:val="clear" w:color="auto" w:fill="A1D7EF"/>
            <w:vAlign w:val="top"/>
          </w:tcPr>
          <w:p w14:paraId="07C07817">
            <w:pPr>
              <w:pStyle w:val="8"/>
              <w:spacing w:before="65" w:line="237" w:lineRule="exact"/>
              <w:ind w:left="353"/>
            </w:pPr>
            <w:r>
              <w:rPr>
                <w:color w:val="5F6A72"/>
                <w:spacing w:val="-6"/>
                <w:position w:val="1"/>
              </w:rPr>
              <w:t>32.5</w:t>
            </w:r>
          </w:p>
        </w:tc>
        <w:tc>
          <w:tcPr>
            <w:tcW w:w="1020" w:type="dxa"/>
            <w:tcBorders>
              <w:left w:val="nil"/>
              <w:right w:val="nil"/>
            </w:tcBorders>
            <w:shd w:val="clear" w:color="auto" w:fill="E5819D"/>
            <w:vAlign w:val="top"/>
          </w:tcPr>
          <w:p w14:paraId="096B6FFC">
            <w:pPr>
              <w:pStyle w:val="8"/>
              <w:spacing w:before="65" w:line="237" w:lineRule="exact"/>
              <w:ind w:left="358"/>
            </w:pPr>
            <w:r>
              <w:rPr>
                <w:color w:val="5F6A72"/>
                <w:spacing w:val="-7"/>
                <w:position w:val="1"/>
              </w:rPr>
              <w:t>56.5</w:t>
            </w:r>
          </w:p>
        </w:tc>
        <w:tc>
          <w:tcPr>
            <w:tcW w:w="1020" w:type="dxa"/>
            <w:tcBorders>
              <w:left w:val="nil"/>
              <w:right w:val="nil"/>
            </w:tcBorders>
            <w:shd w:val="clear" w:color="auto" w:fill="E5819D"/>
            <w:vAlign w:val="top"/>
          </w:tcPr>
          <w:p w14:paraId="048DBF87">
            <w:pPr>
              <w:pStyle w:val="8"/>
              <w:spacing w:before="65" w:line="237" w:lineRule="exact"/>
              <w:ind w:left="353"/>
            </w:pPr>
            <w:r>
              <w:rPr>
                <w:color w:val="5F6A72"/>
                <w:spacing w:val="-6"/>
                <w:position w:val="1"/>
              </w:rPr>
              <w:t>49.3</w:t>
            </w:r>
          </w:p>
        </w:tc>
        <w:tc>
          <w:tcPr>
            <w:tcW w:w="1021" w:type="dxa"/>
            <w:tcBorders>
              <w:left w:val="nil"/>
              <w:right w:val="nil"/>
            </w:tcBorders>
            <w:shd w:val="clear" w:color="auto" w:fill="E5819D"/>
            <w:vAlign w:val="top"/>
          </w:tcPr>
          <w:p w14:paraId="2BCC56BB">
            <w:pPr>
              <w:pStyle w:val="8"/>
              <w:spacing w:before="65" w:line="237" w:lineRule="exact"/>
              <w:ind w:left="358"/>
            </w:pPr>
            <w:r>
              <w:rPr>
                <w:color w:val="5F6A72"/>
                <w:spacing w:val="-7"/>
                <w:position w:val="1"/>
              </w:rPr>
              <w:t>55.0</w:t>
            </w:r>
          </w:p>
        </w:tc>
        <w:tc>
          <w:tcPr>
            <w:tcW w:w="1020" w:type="dxa"/>
            <w:tcBorders>
              <w:left w:val="nil"/>
              <w:right w:val="nil"/>
            </w:tcBorders>
            <w:shd w:val="clear" w:color="auto" w:fill="EAF9FF"/>
            <w:vAlign w:val="top"/>
          </w:tcPr>
          <w:p w14:paraId="6FB71653">
            <w:pPr>
              <w:pStyle w:val="8"/>
              <w:spacing w:before="65" w:line="237" w:lineRule="exact"/>
              <w:ind w:left="353"/>
            </w:pPr>
            <w:r>
              <w:rPr>
                <w:color w:val="5F6A72"/>
                <w:spacing w:val="-6"/>
                <w:position w:val="1"/>
              </w:rPr>
              <w:t>34.7</w:t>
            </w:r>
          </w:p>
        </w:tc>
        <w:tc>
          <w:tcPr>
            <w:tcW w:w="1021" w:type="dxa"/>
            <w:tcBorders>
              <w:left w:val="nil"/>
              <w:right w:val="nil"/>
            </w:tcBorders>
            <w:shd w:val="clear" w:color="auto" w:fill="EAF9FF"/>
            <w:vAlign w:val="top"/>
          </w:tcPr>
          <w:p w14:paraId="0FEEB417">
            <w:pPr>
              <w:pStyle w:val="8"/>
              <w:spacing w:before="65" w:line="239" w:lineRule="exact"/>
              <w:ind w:left="472"/>
            </w:pPr>
            <w:r>
              <w:rPr>
                <w:color w:val="5F6A72"/>
                <w:position w:val="1"/>
              </w:rPr>
              <w:t>2</w:t>
            </w:r>
          </w:p>
        </w:tc>
        <w:tc>
          <w:tcPr>
            <w:tcW w:w="1020" w:type="dxa"/>
            <w:tcBorders>
              <w:left w:val="nil"/>
              <w:right w:val="nil"/>
            </w:tcBorders>
            <w:shd w:val="clear" w:color="auto" w:fill="EAF9FF"/>
            <w:vAlign w:val="top"/>
          </w:tcPr>
          <w:p w14:paraId="2886E539">
            <w:pPr>
              <w:pStyle w:val="8"/>
              <w:spacing w:before="65" w:line="237" w:lineRule="exact"/>
              <w:ind w:left="473"/>
            </w:pPr>
            <w:r>
              <w:rPr>
                <w:color w:val="5F6A72"/>
                <w:position w:val="1"/>
              </w:rPr>
              <w:t>9</w:t>
            </w:r>
          </w:p>
        </w:tc>
      </w:tr>
      <w:tr w14:paraId="4F990F6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vAlign w:val="top"/>
          </w:tcPr>
          <w:p w14:paraId="70D43B23">
            <w:pPr>
              <w:pStyle w:val="8"/>
              <w:spacing w:before="105" w:line="184" w:lineRule="auto"/>
              <w:ind w:left="12"/>
            </w:pPr>
            <w:r>
              <w:rPr>
                <w:color w:val="2A8ABF"/>
                <w:spacing w:val="-13"/>
              </w:rPr>
              <w:t>Guyana</w:t>
            </w:r>
          </w:p>
        </w:tc>
        <w:tc>
          <w:tcPr>
            <w:tcW w:w="1020" w:type="dxa"/>
            <w:tcBorders>
              <w:right w:val="nil"/>
            </w:tcBorders>
            <w:shd w:val="clear" w:color="auto" w:fill="A1D7EF"/>
            <w:vAlign w:val="top"/>
          </w:tcPr>
          <w:p w14:paraId="7AACBAA6">
            <w:pPr>
              <w:pStyle w:val="8"/>
              <w:spacing w:before="65" w:line="238" w:lineRule="exact"/>
              <w:ind w:left="353"/>
            </w:pPr>
            <w:r>
              <w:rPr>
                <w:color w:val="5F6A72"/>
                <w:spacing w:val="-6"/>
                <w:position w:val="1"/>
              </w:rPr>
              <w:t>26.2</w:t>
            </w:r>
          </w:p>
        </w:tc>
        <w:tc>
          <w:tcPr>
            <w:tcW w:w="1021" w:type="dxa"/>
            <w:tcBorders>
              <w:left w:val="nil"/>
              <w:right w:val="nil"/>
            </w:tcBorders>
            <w:shd w:val="clear" w:color="auto" w:fill="A1D7EF"/>
            <w:vAlign w:val="top"/>
          </w:tcPr>
          <w:p w14:paraId="0EA8E403">
            <w:pPr>
              <w:pStyle w:val="8"/>
              <w:spacing w:before="65" w:line="238" w:lineRule="exact"/>
              <w:ind w:left="359"/>
            </w:pPr>
            <w:r>
              <w:rPr>
                <w:color w:val="5F6A72"/>
                <w:spacing w:val="-7"/>
                <w:position w:val="1"/>
              </w:rPr>
              <w:t>60.6</w:t>
            </w:r>
          </w:p>
        </w:tc>
        <w:tc>
          <w:tcPr>
            <w:tcW w:w="1021" w:type="dxa"/>
            <w:tcBorders>
              <w:left w:val="nil"/>
              <w:right w:val="nil"/>
            </w:tcBorders>
            <w:shd w:val="clear" w:color="auto" w:fill="A1D7EF"/>
            <w:vAlign w:val="top"/>
          </w:tcPr>
          <w:p w14:paraId="7122C3A1">
            <w:pPr>
              <w:pStyle w:val="8"/>
              <w:spacing w:before="65" w:line="238" w:lineRule="exact"/>
              <w:ind w:left="353"/>
            </w:pPr>
            <w:r>
              <w:rPr>
                <w:color w:val="5F6A72"/>
                <w:spacing w:val="-6"/>
                <w:position w:val="1"/>
              </w:rPr>
              <w:t>39.9</w:t>
            </w:r>
          </w:p>
        </w:tc>
        <w:tc>
          <w:tcPr>
            <w:tcW w:w="1020" w:type="dxa"/>
            <w:tcBorders>
              <w:left w:val="nil"/>
              <w:right w:val="nil"/>
            </w:tcBorders>
            <w:shd w:val="clear" w:color="auto" w:fill="E5819D"/>
            <w:vAlign w:val="top"/>
          </w:tcPr>
          <w:p w14:paraId="69AA76C2">
            <w:pPr>
              <w:pStyle w:val="8"/>
              <w:spacing w:before="65" w:line="238" w:lineRule="exact"/>
              <w:ind w:left="353"/>
            </w:pPr>
            <w:r>
              <w:rPr>
                <w:color w:val="5F6A72"/>
                <w:spacing w:val="-6"/>
                <w:position w:val="1"/>
              </w:rPr>
              <w:t>48.6</w:t>
            </w:r>
          </w:p>
        </w:tc>
        <w:tc>
          <w:tcPr>
            <w:tcW w:w="1020" w:type="dxa"/>
            <w:tcBorders>
              <w:left w:val="nil"/>
              <w:right w:val="nil"/>
            </w:tcBorders>
            <w:shd w:val="clear" w:color="auto" w:fill="E5819D"/>
            <w:vAlign w:val="top"/>
          </w:tcPr>
          <w:p w14:paraId="0CD08107">
            <w:pPr>
              <w:pStyle w:val="8"/>
              <w:spacing w:before="65" w:line="238" w:lineRule="exact"/>
              <w:ind w:left="359"/>
            </w:pPr>
            <w:r>
              <w:rPr>
                <w:color w:val="5F6A72"/>
                <w:spacing w:val="-7"/>
                <w:position w:val="1"/>
              </w:rPr>
              <w:t>63.1</w:t>
            </w:r>
          </w:p>
        </w:tc>
        <w:tc>
          <w:tcPr>
            <w:tcW w:w="1021" w:type="dxa"/>
            <w:tcBorders>
              <w:left w:val="nil"/>
              <w:right w:val="nil"/>
            </w:tcBorders>
            <w:shd w:val="clear" w:color="auto" w:fill="E5819D"/>
            <w:vAlign w:val="top"/>
          </w:tcPr>
          <w:p w14:paraId="5532261F">
            <w:pPr>
              <w:pStyle w:val="8"/>
              <w:spacing w:before="65" w:line="238" w:lineRule="exact"/>
              <w:ind w:left="358"/>
            </w:pPr>
            <w:r>
              <w:rPr>
                <w:color w:val="5F6A72"/>
                <w:spacing w:val="-7"/>
                <w:position w:val="1"/>
              </w:rPr>
              <w:t>51.5</w:t>
            </w:r>
          </w:p>
        </w:tc>
        <w:tc>
          <w:tcPr>
            <w:tcW w:w="1020" w:type="dxa"/>
            <w:tcBorders>
              <w:left w:val="nil"/>
              <w:right w:val="nil"/>
            </w:tcBorders>
            <w:vAlign w:val="top"/>
          </w:tcPr>
          <w:p w14:paraId="5C6330C3">
            <w:pPr>
              <w:pStyle w:val="8"/>
              <w:spacing w:before="65" w:line="240" w:lineRule="exact"/>
              <w:ind w:left="353"/>
            </w:pPr>
            <w:r>
              <w:rPr>
                <w:color w:val="5F6A72"/>
                <w:spacing w:val="-6"/>
                <w:position w:val="1"/>
              </w:rPr>
              <w:t>41.1</w:t>
            </w:r>
          </w:p>
        </w:tc>
        <w:tc>
          <w:tcPr>
            <w:tcW w:w="1021" w:type="dxa"/>
            <w:tcBorders>
              <w:left w:val="nil"/>
              <w:right w:val="nil"/>
            </w:tcBorders>
            <w:vAlign w:val="top"/>
          </w:tcPr>
          <w:p w14:paraId="2B008A9A">
            <w:pPr>
              <w:pStyle w:val="8"/>
              <w:spacing w:before="65" w:line="238" w:lineRule="exact"/>
              <w:ind w:left="469"/>
            </w:pPr>
            <w:r>
              <w:rPr>
                <w:color w:val="5F6A72"/>
                <w:position w:val="1"/>
              </w:rPr>
              <w:t>3</w:t>
            </w:r>
          </w:p>
        </w:tc>
        <w:tc>
          <w:tcPr>
            <w:tcW w:w="1020" w:type="dxa"/>
            <w:tcBorders>
              <w:left w:val="nil"/>
              <w:right w:val="nil"/>
            </w:tcBorders>
            <w:vAlign w:val="top"/>
          </w:tcPr>
          <w:p w14:paraId="726F423B">
            <w:pPr>
              <w:pStyle w:val="8"/>
              <w:spacing w:before="65" w:line="238" w:lineRule="exact"/>
              <w:ind w:left="427"/>
            </w:pPr>
            <w:r>
              <w:rPr>
                <w:color w:val="5F6A72"/>
                <w:spacing w:val="-6"/>
                <w:position w:val="1"/>
              </w:rPr>
              <w:t>19</w:t>
            </w:r>
          </w:p>
        </w:tc>
      </w:tr>
      <w:tr w14:paraId="256792E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37A27542">
            <w:pPr>
              <w:pStyle w:val="8"/>
              <w:spacing w:before="66" w:line="237" w:lineRule="exact"/>
              <w:ind w:left="18"/>
            </w:pPr>
            <w:r>
              <w:rPr>
                <w:color w:val="2A8ABF"/>
                <w:spacing w:val="-11"/>
                <w:position w:val="1"/>
              </w:rPr>
              <w:t>Mexico</w:t>
            </w:r>
          </w:p>
        </w:tc>
        <w:tc>
          <w:tcPr>
            <w:tcW w:w="1020" w:type="dxa"/>
            <w:tcBorders>
              <w:right w:val="nil"/>
            </w:tcBorders>
            <w:shd w:val="clear" w:color="auto" w:fill="A1D7EF"/>
            <w:vAlign w:val="top"/>
          </w:tcPr>
          <w:p w14:paraId="2E8F3434">
            <w:pPr>
              <w:pStyle w:val="8"/>
              <w:spacing w:before="66" w:line="237" w:lineRule="exact"/>
              <w:ind w:left="350"/>
            </w:pPr>
            <w:r>
              <w:rPr>
                <w:color w:val="5F6A72"/>
                <w:spacing w:val="-6"/>
                <w:position w:val="1"/>
              </w:rPr>
              <w:t>34.4</w:t>
            </w:r>
          </w:p>
        </w:tc>
        <w:tc>
          <w:tcPr>
            <w:tcW w:w="1021" w:type="dxa"/>
            <w:tcBorders>
              <w:left w:val="nil"/>
              <w:right w:val="nil"/>
            </w:tcBorders>
            <w:shd w:val="clear" w:color="auto" w:fill="A1D7EF"/>
            <w:vAlign w:val="top"/>
          </w:tcPr>
          <w:p w14:paraId="259F856B">
            <w:pPr>
              <w:pStyle w:val="8"/>
              <w:spacing w:before="66" w:line="237" w:lineRule="exact"/>
              <w:ind w:left="359"/>
            </w:pPr>
            <w:r>
              <w:rPr>
                <w:color w:val="5F6A72"/>
                <w:spacing w:val="-7"/>
                <w:position w:val="1"/>
              </w:rPr>
              <w:t>56.3</w:t>
            </w:r>
          </w:p>
        </w:tc>
        <w:tc>
          <w:tcPr>
            <w:tcW w:w="1021" w:type="dxa"/>
            <w:tcBorders>
              <w:left w:val="nil"/>
              <w:right w:val="nil"/>
            </w:tcBorders>
            <w:shd w:val="clear" w:color="auto" w:fill="A1D7EF"/>
            <w:vAlign w:val="top"/>
          </w:tcPr>
          <w:p w14:paraId="302A9AB1">
            <w:pPr>
              <w:pStyle w:val="8"/>
              <w:spacing w:before="66" w:line="237" w:lineRule="exact"/>
              <w:ind w:left="354"/>
            </w:pPr>
            <w:r>
              <w:rPr>
                <w:color w:val="5F6A72"/>
                <w:spacing w:val="-6"/>
                <w:position w:val="1"/>
              </w:rPr>
              <w:t>43.2</w:t>
            </w:r>
          </w:p>
        </w:tc>
        <w:tc>
          <w:tcPr>
            <w:tcW w:w="1020" w:type="dxa"/>
            <w:tcBorders>
              <w:left w:val="nil"/>
              <w:right w:val="nil"/>
            </w:tcBorders>
            <w:shd w:val="clear" w:color="auto" w:fill="E5819D"/>
            <w:vAlign w:val="top"/>
          </w:tcPr>
          <w:p w14:paraId="2464D361">
            <w:pPr>
              <w:pStyle w:val="8"/>
              <w:spacing w:before="66" w:line="237" w:lineRule="exact"/>
              <w:ind w:left="353"/>
            </w:pPr>
            <w:r>
              <w:rPr>
                <w:color w:val="5F6A72"/>
                <w:spacing w:val="-6"/>
                <w:position w:val="1"/>
              </w:rPr>
              <w:t>45.9</w:t>
            </w:r>
          </w:p>
        </w:tc>
        <w:tc>
          <w:tcPr>
            <w:tcW w:w="1020" w:type="dxa"/>
            <w:tcBorders>
              <w:left w:val="nil"/>
              <w:right w:val="nil"/>
            </w:tcBorders>
            <w:shd w:val="clear" w:color="auto" w:fill="E5819D"/>
            <w:vAlign w:val="top"/>
          </w:tcPr>
          <w:p w14:paraId="7279B977">
            <w:pPr>
              <w:pStyle w:val="8"/>
              <w:spacing w:before="66" w:line="237" w:lineRule="exact"/>
              <w:ind w:left="353"/>
            </w:pPr>
            <w:r>
              <w:rPr>
                <w:color w:val="5F6A72"/>
                <w:spacing w:val="-6"/>
                <w:position w:val="1"/>
              </w:rPr>
              <w:t>44.8</w:t>
            </w:r>
          </w:p>
        </w:tc>
        <w:tc>
          <w:tcPr>
            <w:tcW w:w="1021" w:type="dxa"/>
            <w:tcBorders>
              <w:left w:val="nil"/>
              <w:right w:val="nil"/>
            </w:tcBorders>
            <w:shd w:val="clear" w:color="auto" w:fill="E5819D"/>
            <w:vAlign w:val="top"/>
          </w:tcPr>
          <w:p w14:paraId="79AB903F">
            <w:pPr>
              <w:pStyle w:val="8"/>
              <w:spacing w:before="66" w:line="237" w:lineRule="exact"/>
              <w:ind w:left="354"/>
            </w:pPr>
            <w:r>
              <w:rPr>
                <w:color w:val="5F6A72"/>
                <w:spacing w:val="-6"/>
                <w:position w:val="1"/>
              </w:rPr>
              <w:t>45.7</w:t>
            </w:r>
          </w:p>
        </w:tc>
        <w:tc>
          <w:tcPr>
            <w:tcW w:w="1020" w:type="dxa"/>
            <w:tcBorders>
              <w:left w:val="nil"/>
              <w:right w:val="nil"/>
            </w:tcBorders>
            <w:shd w:val="clear" w:color="auto" w:fill="EAF9FF"/>
            <w:vAlign w:val="top"/>
          </w:tcPr>
          <w:p w14:paraId="5A749074">
            <w:pPr>
              <w:pStyle w:val="8"/>
              <w:spacing w:before="66" w:line="237" w:lineRule="exact"/>
              <w:ind w:left="353"/>
            </w:pPr>
            <w:r>
              <w:rPr>
                <w:color w:val="5F6A72"/>
                <w:spacing w:val="-6"/>
                <w:position w:val="1"/>
              </w:rPr>
              <w:t>43.4</w:t>
            </w:r>
          </w:p>
        </w:tc>
        <w:tc>
          <w:tcPr>
            <w:tcW w:w="1021" w:type="dxa"/>
            <w:tcBorders>
              <w:left w:val="nil"/>
              <w:right w:val="nil"/>
            </w:tcBorders>
            <w:shd w:val="clear" w:color="auto" w:fill="EAF9FF"/>
            <w:vAlign w:val="top"/>
          </w:tcPr>
          <w:p w14:paraId="177E49B9">
            <w:pPr>
              <w:pStyle w:val="8"/>
              <w:spacing w:before="66" w:line="239" w:lineRule="exact"/>
              <w:ind w:left="469"/>
            </w:pPr>
            <w:r>
              <w:rPr>
                <w:color w:val="5F6A72"/>
                <w:position w:val="1"/>
              </w:rPr>
              <w:t>4</w:t>
            </w:r>
          </w:p>
        </w:tc>
        <w:tc>
          <w:tcPr>
            <w:tcW w:w="1020" w:type="dxa"/>
            <w:tcBorders>
              <w:left w:val="nil"/>
              <w:right w:val="nil"/>
            </w:tcBorders>
            <w:shd w:val="clear" w:color="auto" w:fill="EAF9FF"/>
            <w:vAlign w:val="top"/>
          </w:tcPr>
          <w:p w14:paraId="6287CE01">
            <w:pPr>
              <w:pStyle w:val="8"/>
              <w:spacing w:before="66" w:line="237" w:lineRule="exact"/>
              <w:ind w:left="358"/>
            </w:pPr>
            <w:r>
              <w:rPr>
                <w:color w:val="5F6A72"/>
                <w:spacing w:val="-7"/>
                <w:position w:val="1"/>
              </w:rPr>
              <w:t>59.9</w:t>
            </w:r>
          </w:p>
        </w:tc>
      </w:tr>
      <w:tr w14:paraId="7AD2759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20" w:type="dxa"/>
            <w:tcBorders>
              <w:left w:val="nil"/>
            </w:tcBorders>
            <w:vAlign w:val="top"/>
          </w:tcPr>
          <w:p w14:paraId="14150CD8">
            <w:pPr>
              <w:pStyle w:val="8"/>
              <w:spacing w:before="65" w:line="271" w:lineRule="auto"/>
              <w:ind w:left="5" w:right="95"/>
            </w:pPr>
            <w:r>
              <w:rPr>
                <w:color w:val="2A8ABF"/>
                <w:spacing w:val="-9"/>
              </w:rPr>
              <w:t>Trinidad</w:t>
            </w:r>
            <w:r>
              <w:rPr>
                <w:color w:val="2A8ABF"/>
                <w:spacing w:val="-11"/>
              </w:rPr>
              <w:t xml:space="preserve"> </w:t>
            </w:r>
            <w:r>
              <w:rPr>
                <w:color w:val="2A8ABF"/>
                <w:spacing w:val="-9"/>
              </w:rPr>
              <w:t>And</w:t>
            </w:r>
            <w:r>
              <w:rPr>
                <w:color w:val="2A8ABF"/>
              </w:rPr>
              <w:t xml:space="preserve"> </w:t>
            </w:r>
            <w:r>
              <w:rPr>
                <w:color w:val="2A8ABF"/>
                <w:spacing w:val="-11"/>
              </w:rPr>
              <w:t>Tobago</w:t>
            </w:r>
          </w:p>
        </w:tc>
        <w:tc>
          <w:tcPr>
            <w:tcW w:w="1020" w:type="dxa"/>
            <w:tcBorders>
              <w:right w:val="nil"/>
            </w:tcBorders>
            <w:shd w:val="clear" w:color="auto" w:fill="A1D7EF"/>
            <w:vAlign w:val="top"/>
          </w:tcPr>
          <w:p w14:paraId="24EAA668">
            <w:pPr>
              <w:pStyle w:val="8"/>
              <w:spacing w:before="191" w:line="237" w:lineRule="exact"/>
              <w:ind w:left="354"/>
            </w:pPr>
            <w:r>
              <w:rPr>
                <w:color w:val="5F6A72"/>
                <w:spacing w:val="-7"/>
                <w:position w:val="1"/>
              </w:rPr>
              <w:t>52.3</w:t>
            </w:r>
          </w:p>
        </w:tc>
        <w:tc>
          <w:tcPr>
            <w:tcW w:w="1021" w:type="dxa"/>
            <w:tcBorders>
              <w:left w:val="nil"/>
              <w:right w:val="nil"/>
            </w:tcBorders>
            <w:shd w:val="clear" w:color="auto" w:fill="A1D7EF"/>
            <w:vAlign w:val="top"/>
          </w:tcPr>
          <w:p w14:paraId="653CD9EF">
            <w:pPr>
              <w:pStyle w:val="8"/>
              <w:spacing w:before="191" w:line="237" w:lineRule="exact"/>
              <w:ind w:left="354"/>
            </w:pPr>
            <w:r>
              <w:rPr>
                <w:color w:val="5F6A72"/>
                <w:spacing w:val="-6"/>
                <w:position w:val="1"/>
              </w:rPr>
              <w:t>45.3</w:t>
            </w:r>
          </w:p>
        </w:tc>
        <w:tc>
          <w:tcPr>
            <w:tcW w:w="1021" w:type="dxa"/>
            <w:tcBorders>
              <w:left w:val="nil"/>
              <w:right w:val="nil"/>
            </w:tcBorders>
            <w:shd w:val="clear" w:color="auto" w:fill="A1D7EF"/>
            <w:vAlign w:val="top"/>
          </w:tcPr>
          <w:p w14:paraId="0AF7EF1B">
            <w:pPr>
              <w:pStyle w:val="8"/>
              <w:spacing w:before="191" w:line="237" w:lineRule="exact"/>
              <w:ind w:left="354"/>
            </w:pPr>
            <w:r>
              <w:rPr>
                <w:color w:val="5F6A72"/>
                <w:spacing w:val="-6"/>
                <w:position w:val="1"/>
              </w:rPr>
              <w:t>49.5</w:t>
            </w:r>
          </w:p>
        </w:tc>
        <w:tc>
          <w:tcPr>
            <w:tcW w:w="1020" w:type="dxa"/>
            <w:tcBorders>
              <w:left w:val="nil"/>
              <w:right w:val="nil"/>
            </w:tcBorders>
            <w:shd w:val="clear" w:color="auto" w:fill="E5819D"/>
            <w:vAlign w:val="top"/>
          </w:tcPr>
          <w:p w14:paraId="0B804A30">
            <w:pPr>
              <w:pStyle w:val="8"/>
              <w:spacing w:before="191" w:line="237" w:lineRule="exact"/>
              <w:ind w:left="358"/>
            </w:pPr>
            <w:r>
              <w:rPr>
                <w:color w:val="5F6A72"/>
                <w:spacing w:val="-7"/>
                <w:position w:val="1"/>
              </w:rPr>
              <w:t>54.2</w:t>
            </w:r>
          </w:p>
        </w:tc>
        <w:tc>
          <w:tcPr>
            <w:tcW w:w="1020" w:type="dxa"/>
            <w:tcBorders>
              <w:left w:val="nil"/>
              <w:right w:val="nil"/>
            </w:tcBorders>
            <w:shd w:val="clear" w:color="auto" w:fill="E5819D"/>
            <w:vAlign w:val="top"/>
          </w:tcPr>
          <w:p w14:paraId="1D5FDBD1">
            <w:pPr>
              <w:pStyle w:val="8"/>
              <w:spacing w:before="191" w:line="237" w:lineRule="exact"/>
              <w:ind w:left="353"/>
            </w:pPr>
            <w:r>
              <w:rPr>
                <w:color w:val="5F6A72"/>
                <w:spacing w:val="-6"/>
                <w:position w:val="1"/>
              </w:rPr>
              <w:t>33.3</w:t>
            </w:r>
          </w:p>
        </w:tc>
        <w:tc>
          <w:tcPr>
            <w:tcW w:w="1021" w:type="dxa"/>
            <w:tcBorders>
              <w:left w:val="nil"/>
              <w:right w:val="nil"/>
            </w:tcBorders>
            <w:shd w:val="clear" w:color="auto" w:fill="E5819D"/>
            <w:vAlign w:val="top"/>
          </w:tcPr>
          <w:p w14:paraId="2EE762D2">
            <w:pPr>
              <w:pStyle w:val="8"/>
              <w:spacing w:before="191" w:line="237" w:lineRule="exact"/>
              <w:ind w:left="358"/>
            </w:pPr>
            <w:r>
              <w:rPr>
                <w:color w:val="5F6A72"/>
                <w:spacing w:val="-7"/>
                <w:position w:val="1"/>
              </w:rPr>
              <w:t>50.0</w:t>
            </w:r>
          </w:p>
        </w:tc>
        <w:tc>
          <w:tcPr>
            <w:tcW w:w="1020" w:type="dxa"/>
            <w:tcBorders>
              <w:left w:val="nil"/>
              <w:right w:val="nil"/>
            </w:tcBorders>
            <w:vAlign w:val="top"/>
          </w:tcPr>
          <w:p w14:paraId="668154FE">
            <w:pPr>
              <w:pStyle w:val="8"/>
              <w:spacing w:before="191" w:line="237" w:lineRule="exact"/>
              <w:ind w:left="353"/>
            </w:pPr>
            <w:r>
              <w:rPr>
                <w:color w:val="5F6A72"/>
                <w:spacing w:val="-6"/>
                <w:position w:val="1"/>
              </w:rPr>
              <w:t>49.5</w:t>
            </w:r>
          </w:p>
        </w:tc>
        <w:tc>
          <w:tcPr>
            <w:tcW w:w="1021" w:type="dxa"/>
            <w:tcBorders>
              <w:left w:val="nil"/>
              <w:right w:val="nil"/>
            </w:tcBorders>
            <w:vAlign w:val="top"/>
          </w:tcPr>
          <w:p w14:paraId="26C1FFB1">
            <w:pPr>
              <w:pStyle w:val="8"/>
              <w:spacing w:before="191" w:line="237" w:lineRule="exact"/>
              <w:ind w:left="473"/>
            </w:pPr>
            <w:r>
              <w:rPr>
                <w:color w:val="5F6A72"/>
                <w:position w:val="1"/>
              </w:rPr>
              <w:t>5</w:t>
            </w:r>
          </w:p>
        </w:tc>
        <w:tc>
          <w:tcPr>
            <w:tcW w:w="1020" w:type="dxa"/>
            <w:tcBorders>
              <w:left w:val="nil"/>
              <w:right w:val="nil"/>
            </w:tcBorders>
            <w:vAlign w:val="top"/>
          </w:tcPr>
          <w:p w14:paraId="3035DE75">
            <w:pPr>
              <w:pStyle w:val="8"/>
              <w:spacing w:before="191" w:line="237" w:lineRule="exact"/>
              <w:ind w:left="420"/>
            </w:pPr>
            <w:r>
              <w:rPr>
                <w:color w:val="5F6A72"/>
                <w:spacing w:val="-4"/>
                <w:position w:val="1"/>
              </w:rPr>
              <w:t>33</w:t>
            </w:r>
          </w:p>
        </w:tc>
      </w:tr>
      <w:tr w14:paraId="62C5BEE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shd w:val="clear" w:color="auto" w:fill="EAF9FF"/>
            <w:vAlign w:val="top"/>
          </w:tcPr>
          <w:p w14:paraId="1B828347">
            <w:pPr>
              <w:pStyle w:val="8"/>
              <w:spacing w:before="67" w:line="237" w:lineRule="exact"/>
              <w:ind w:left="18"/>
            </w:pPr>
            <w:r>
              <w:rPr>
                <w:color w:val="2A8ABF"/>
                <w:spacing w:val="-8"/>
                <w:position w:val="1"/>
              </w:rPr>
              <w:t>Bolivia</w:t>
            </w:r>
          </w:p>
        </w:tc>
        <w:tc>
          <w:tcPr>
            <w:tcW w:w="1020" w:type="dxa"/>
            <w:tcBorders>
              <w:right w:val="nil"/>
            </w:tcBorders>
            <w:shd w:val="clear" w:color="auto" w:fill="A1D7EF"/>
            <w:vAlign w:val="top"/>
          </w:tcPr>
          <w:p w14:paraId="1BBDD8C4">
            <w:pPr>
              <w:pStyle w:val="8"/>
              <w:spacing w:before="67" w:line="237" w:lineRule="exact"/>
              <w:ind w:left="354"/>
            </w:pPr>
            <w:r>
              <w:rPr>
                <w:color w:val="5F6A72"/>
                <w:spacing w:val="-7"/>
                <w:position w:val="1"/>
              </w:rPr>
              <w:t>59.6</w:t>
            </w:r>
          </w:p>
        </w:tc>
        <w:tc>
          <w:tcPr>
            <w:tcW w:w="1021" w:type="dxa"/>
            <w:tcBorders>
              <w:left w:val="nil"/>
              <w:right w:val="nil"/>
            </w:tcBorders>
            <w:shd w:val="clear" w:color="auto" w:fill="A1D7EF"/>
            <w:vAlign w:val="top"/>
          </w:tcPr>
          <w:p w14:paraId="75E5366A">
            <w:pPr>
              <w:pStyle w:val="8"/>
              <w:spacing w:before="67" w:line="237" w:lineRule="exact"/>
              <w:ind w:left="354"/>
            </w:pPr>
            <w:r>
              <w:rPr>
                <w:color w:val="5F6A72"/>
                <w:spacing w:val="-6"/>
                <w:position w:val="1"/>
              </w:rPr>
              <w:t>45.5</w:t>
            </w:r>
          </w:p>
        </w:tc>
        <w:tc>
          <w:tcPr>
            <w:tcW w:w="1021" w:type="dxa"/>
            <w:tcBorders>
              <w:left w:val="nil"/>
              <w:right w:val="nil"/>
            </w:tcBorders>
            <w:shd w:val="clear" w:color="auto" w:fill="A1D7EF"/>
            <w:vAlign w:val="top"/>
          </w:tcPr>
          <w:p w14:paraId="587C00F9">
            <w:pPr>
              <w:pStyle w:val="8"/>
              <w:spacing w:before="67" w:line="237" w:lineRule="exact"/>
              <w:ind w:left="358"/>
            </w:pPr>
            <w:r>
              <w:rPr>
                <w:color w:val="5F6A72"/>
                <w:spacing w:val="-7"/>
                <w:position w:val="1"/>
              </w:rPr>
              <w:t>54.0</w:t>
            </w:r>
          </w:p>
        </w:tc>
        <w:tc>
          <w:tcPr>
            <w:tcW w:w="1020" w:type="dxa"/>
            <w:tcBorders>
              <w:left w:val="nil"/>
              <w:right w:val="nil"/>
            </w:tcBorders>
            <w:shd w:val="clear" w:color="auto" w:fill="E5819D"/>
            <w:vAlign w:val="top"/>
          </w:tcPr>
          <w:p w14:paraId="20F2EC47">
            <w:pPr>
              <w:pStyle w:val="8"/>
              <w:spacing w:before="67" w:line="237" w:lineRule="exact"/>
              <w:ind w:left="358"/>
            </w:pPr>
            <w:r>
              <w:rPr>
                <w:color w:val="5F6A72"/>
                <w:spacing w:val="-7"/>
                <w:position w:val="1"/>
              </w:rPr>
              <w:t>62.7</w:t>
            </w:r>
          </w:p>
        </w:tc>
        <w:tc>
          <w:tcPr>
            <w:tcW w:w="1020" w:type="dxa"/>
            <w:tcBorders>
              <w:left w:val="nil"/>
              <w:right w:val="nil"/>
            </w:tcBorders>
            <w:shd w:val="clear" w:color="auto" w:fill="E5819D"/>
            <w:vAlign w:val="top"/>
          </w:tcPr>
          <w:p w14:paraId="64DDE9F4">
            <w:pPr>
              <w:pStyle w:val="8"/>
              <w:spacing w:before="67" w:line="237" w:lineRule="exact"/>
              <w:ind w:left="353"/>
            </w:pPr>
            <w:r>
              <w:rPr>
                <w:color w:val="5F6A72"/>
                <w:spacing w:val="-6"/>
                <w:position w:val="1"/>
              </w:rPr>
              <w:t>79.8</w:t>
            </w:r>
          </w:p>
        </w:tc>
        <w:tc>
          <w:tcPr>
            <w:tcW w:w="1021" w:type="dxa"/>
            <w:tcBorders>
              <w:left w:val="nil"/>
              <w:right w:val="nil"/>
            </w:tcBorders>
            <w:shd w:val="clear" w:color="auto" w:fill="E5819D"/>
            <w:vAlign w:val="top"/>
          </w:tcPr>
          <w:p w14:paraId="7EC06375">
            <w:pPr>
              <w:pStyle w:val="8"/>
              <w:spacing w:before="67" w:line="237" w:lineRule="exact"/>
              <w:ind w:left="359"/>
            </w:pPr>
            <w:r>
              <w:rPr>
                <w:color w:val="5F6A72"/>
                <w:spacing w:val="-7"/>
                <w:position w:val="1"/>
              </w:rPr>
              <w:t>66.1</w:t>
            </w:r>
          </w:p>
        </w:tc>
        <w:tc>
          <w:tcPr>
            <w:tcW w:w="1020" w:type="dxa"/>
            <w:tcBorders>
              <w:left w:val="nil"/>
              <w:right w:val="nil"/>
            </w:tcBorders>
            <w:shd w:val="clear" w:color="auto" w:fill="EAF9FF"/>
            <w:vAlign w:val="top"/>
          </w:tcPr>
          <w:p w14:paraId="4F4D163D">
            <w:pPr>
              <w:pStyle w:val="8"/>
              <w:spacing w:before="67" w:line="237" w:lineRule="exact"/>
              <w:ind w:left="358"/>
            </w:pPr>
            <w:r>
              <w:rPr>
                <w:color w:val="5F6A72"/>
                <w:spacing w:val="-7"/>
                <w:position w:val="1"/>
              </w:rPr>
              <w:t>55.2</w:t>
            </w:r>
          </w:p>
        </w:tc>
        <w:tc>
          <w:tcPr>
            <w:tcW w:w="1021" w:type="dxa"/>
            <w:tcBorders>
              <w:left w:val="nil"/>
              <w:right w:val="nil"/>
            </w:tcBorders>
            <w:shd w:val="clear" w:color="auto" w:fill="EAF9FF"/>
            <w:vAlign w:val="top"/>
          </w:tcPr>
          <w:p w14:paraId="322F8FCB">
            <w:pPr>
              <w:pStyle w:val="8"/>
              <w:spacing w:before="67" w:line="237" w:lineRule="exact"/>
              <w:ind w:left="474"/>
            </w:pPr>
            <w:r>
              <w:rPr>
                <w:color w:val="5F6A72"/>
                <w:position w:val="1"/>
              </w:rPr>
              <w:t>6</w:t>
            </w:r>
          </w:p>
        </w:tc>
        <w:tc>
          <w:tcPr>
            <w:tcW w:w="1020" w:type="dxa"/>
            <w:tcBorders>
              <w:left w:val="nil"/>
              <w:right w:val="nil"/>
            </w:tcBorders>
            <w:shd w:val="clear" w:color="auto" w:fill="EAF9FF"/>
            <w:vAlign w:val="top"/>
          </w:tcPr>
          <w:p w14:paraId="28B74AE2">
            <w:pPr>
              <w:pStyle w:val="8"/>
              <w:spacing w:before="67" w:line="237" w:lineRule="exact"/>
              <w:ind w:left="420"/>
            </w:pPr>
            <w:r>
              <w:rPr>
                <w:color w:val="5F6A72"/>
                <w:spacing w:val="-4"/>
                <w:position w:val="1"/>
              </w:rPr>
              <w:t>45</w:t>
            </w:r>
          </w:p>
        </w:tc>
      </w:tr>
      <w:tr w14:paraId="201E02F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vAlign w:val="top"/>
          </w:tcPr>
          <w:p w14:paraId="6B5A4466">
            <w:pPr>
              <w:pStyle w:val="8"/>
              <w:spacing w:before="108" w:line="183" w:lineRule="auto"/>
              <w:ind w:left="18"/>
            </w:pPr>
            <w:r>
              <w:rPr>
                <w:color w:val="2A8ABF"/>
                <w:spacing w:val="-13"/>
              </w:rPr>
              <w:t>Peru</w:t>
            </w:r>
          </w:p>
        </w:tc>
        <w:tc>
          <w:tcPr>
            <w:tcW w:w="1020" w:type="dxa"/>
            <w:tcBorders>
              <w:right w:val="nil"/>
            </w:tcBorders>
            <w:shd w:val="clear" w:color="auto" w:fill="A1D7EF"/>
            <w:vAlign w:val="top"/>
          </w:tcPr>
          <w:p w14:paraId="7DA16E78">
            <w:pPr>
              <w:pStyle w:val="8"/>
              <w:spacing w:before="66" w:line="237" w:lineRule="exact"/>
              <w:ind w:left="355"/>
            </w:pPr>
            <w:r>
              <w:rPr>
                <w:color w:val="5F6A72"/>
                <w:spacing w:val="-7"/>
                <w:position w:val="1"/>
              </w:rPr>
              <w:t>60.7</w:t>
            </w:r>
          </w:p>
        </w:tc>
        <w:tc>
          <w:tcPr>
            <w:tcW w:w="1021" w:type="dxa"/>
            <w:tcBorders>
              <w:left w:val="nil"/>
              <w:right w:val="nil"/>
            </w:tcBorders>
            <w:shd w:val="clear" w:color="auto" w:fill="A1D7EF"/>
            <w:vAlign w:val="top"/>
          </w:tcPr>
          <w:p w14:paraId="193D8432">
            <w:pPr>
              <w:pStyle w:val="8"/>
              <w:spacing w:before="66" w:line="237" w:lineRule="exact"/>
              <w:ind w:left="359"/>
            </w:pPr>
            <w:r>
              <w:rPr>
                <w:color w:val="5F6A72"/>
                <w:spacing w:val="-7"/>
                <w:position w:val="1"/>
              </w:rPr>
              <w:t>51.2</w:t>
            </w:r>
          </w:p>
        </w:tc>
        <w:tc>
          <w:tcPr>
            <w:tcW w:w="1021" w:type="dxa"/>
            <w:tcBorders>
              <w:left w:val="nil"/>
              <w:right w:val="nil"/>
            </w:tcBorders>
            <w:shd w:val="clear" w:color="auto" w:fill="A1D7EF"/>
            <w:vAlign w:val="top"/>
          </w:tcPr>
          <w:p w14:paraId="1A72B2B1">
            <w:pPr>
              <w:pStyle w:val="8"/>
              <w:spacing w:before="66" w:line="237" w:lineRule="exact"/>
              <w:ind w:left="358"/>
            </w:pPr>
            <w:r>
              <w:rPr>
                <w:color w:val="5F6A72"/>
                <w:spacing w:val="-7"/>
                <w:position w:val="1"/>
              </w:rPr>
              <w:t>56.9</w:t>
            </w:r>
          </w:p>
        </w:tc>
        <w:tc>
          <w:tcPr>
            <w:tcW w:w="1020" w:type="dxa"/>
            <w:tcBorders>
              <w:left w:val="nil"/>
              <w:right w:val="nil"/>
            </w:tcBorders>
            <w:shd w:val="clear" w:color="auto" w:fill="E5819D"/>
            <w:vAlign w:val="top"/>
          </w:tcPr>
          <w:p w14:paraId="00046CFB">
            <w:pPr>
              <w:pStyle w:val="8"/>
              <w:spacing w:before="66" w:line="237" w:lineRule="exact"/>
              <w:ind w:left="358"/>
            </w:pPr>
            <w:r>
              <w:rPr>
                <w:color w:val="5F6A72"/>
                <w:spacing w:val="-7"/>
                <w:position w:val="1"/>
              </w:rPr>
              <w:t>52.0</w:t>
            </w:r>
          </w:p>
        </w:tc>
        <w:tc>
          <w:tcPr>
            <w:tcW w:w="1020" w:type="dxa"/>
            <w:tcBorders>
              <w:left w:val="nil"/>
              <w:right w:val="nil"/>
            </w:tcBorders>
            <w:shd w:val="clear" w:color="auto" w:fill="E5819D"/>
            <w:vAlign w:val="top"/>
          </w:tcPr>
          <w:p w14:paraId="110520E1">
            <w:pPr>
              <w:pStyle w:val="8"/>
              <w:spacing w:before="66" w:line="237" w:lineRule="exact"/>
              <w:ind w:left="353"/>
            </w:pPr>
            <w:r>
              <w:rPr>
                <w:color w:val="5F6A72"/>
                <w:spacing w:val="-6"/>
                <w:position w:val="1"/>
              </w:rPr>
              <w:t>43.2</w:t>
            </w:r>
          </w:p>
        </w:tc>
        <w:tc>
          <w:tcPr>
            <w:tcW w:w="1021" w:type="dxa"/>
            <w:tcBorders>
              <w:left w:val="nil"/>
              <w:right w:val="nil"/>
            </w:tcBorders>
            <w:shd w:val="clear" w:color="auto" w:fill="E5819D"/>
            <w:vAlign w:val="top"/>
          </w:tcPr>
          <w:p w14:paraId="675D0A70">
            <w:pPr>
              <w:pStyle w:val="8"/>
              <w:spacing w:before="66" w:line="237" w:lineRule="exact"/>
              <w:ind w:left="358"/>
            </w:pPr>
            <w:r>
              <w:rPr>
                <w:color w:val="5F6A72"/>
                <w:spacing w:val="-7"/>
                <w:position w:val="1"/>
              </w:rPr>
              <w:t>50.2</w:t>
            </w:r>
          </w:p>
        </w:tc>
        <w:tc>
          <w:tcPr>
            <w:tcW w:w="1020" w:type="dxa"/>
            <w:tcBorders>
              <w:left w:val="nil"/>
              <w:right w:val="nil"/>
            </w:tcBorders>
            <w:vAlign w:val="top"/>
          </w:tcPr>
          <w:p w14:paraId="1C638AD1">
            <w:pPr>
              <w:pStyle w:val="8"/>
              <w:spacing w:before="66" w:line="237" w:lineRule="exact"/>
              <w:ind w:left="358"/>
            </w:pPr>
            <w:r>
              <w:rPr>
                <w:color w:val="5F6A72"/>
                <w:spacing w:val="-7"/>
                <w:position w:val="1"/>
              </w:rPr>
              <w:t>56.2</w:t>
            </w:r>
          </w:p>
        </w:tc>
        <w:tc>
          <w:tcPr>
            <w:tcW w:w="1021" w:type="dxa"/>
            <w:tcBorders>
              <w:left w:val="nil"/>
              <w:right w:val="nil"/>
            </w:tcBorders>
            <w:vAlign w:val="top"/>
          </w:tcPr>
          <w:p w14:paraId="4A72CD71">
            <w:pPr>
              <w:pStyle w:val="8"/>
              <w:spacing w:before="66" w:line="239" w:lineRule="exact"/>
              <w:ind w:left="469"/>
            </w:pPr>
            <w:r>
              <w:rPr>
                <w:color w:val="5F6A72"/>
                <w:position w:val="1"/>
              </w:rPr>
              <w:t>7</w:t>
            </w:r>
          </w:p>
        </w:tc>
        <w:tc>
          <w:tcPr>
            <w:tcW w:w="1020" w:type="dxa"/>
            <w:tcBorders>
              <w:left w:val="nil"/>
              <w:right w:val="nil"/>
            </w:tcBorders>
            <w:vAlign w:val="top"/>
          </w:tcPr>
          <w:p w14:paraId="0D1B03F6">
            <w:pPr>
              <w:pStyle w:val="8"/>
              <w:spacing w:before="66" w:line="239" w:lineRule="exact"/>
              <w:ind w:left="420"/>
            </w:pPr>
            <w:r>
              <w:rPr>
                <w:color w:val="5F6A72"/>
                <w:spacing w:val="-4"/>
                <w:position w:val="1"/>
              </w:rPr>
              <w:t>47</w:t>
            </w:r>
          </w:p>
        </w:tc>
      </w:tr>
      <w:tr w14:paraId="2D57E1D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36ABD308">
            <w:pPr>
              <w:pStyle w:val="8"/>
              <w:spacing w:before="65" w:line="238" w:lineRule="exact"/>
              <w:ind w:left="12"/>
            </w:pPr>
            <w:r>
              <w:rPr>
                <w:color w:val="2A8ABF"/>
                <w:spacing w:val="-7"/>
                <w:position w:val="1"/>
              </w:rPr>
              <w:t>Colombia</w:t>
            </w:r>
          </w:p>
        </w:tc>
        <w:tc>
          <w:tcPr>
            <w:tcW w:w="1020" w:type="dxa"/>
            <w:tcBorders>
              <w:right w:val="nil"/>
            </w:tcBorders>
            <w:shd w:val="clear" w:color="auto" w:fill="A1D7EF"/>
            <w:vAlign w:val="top"/>
          </w:tcPr>
          <w:p w14:paraId="7F44C10D">
            <w:pPr>
              <w:pStyle w:val="8"/>
              <w:spacing w:before="65" w:line="238" w:lineRule="exact"/>
              <w:ind w:left="355"/>
            </w:pPr>
            <w:r>
              <w:rPr>
                <w:color w:val="5F6A72"/>
                <w:spacing w:val="-7"/>
                <w:position w:val="1"/>
              </w:rPr>
              <w:t>61.4</w:t>
            </w:r>
          </w:p>
        </w:tc>
        <w:tc>
          <w:tcPr>
            <w:tcW w:w="1021" w:type="dxa"/>
            <w:tcBorders>
              <w:left w:val="nil"/>
              <w:right w:val="nil"/>
            </w:tcBorders>
            <w:shd w:val="clear" w:color="auto" w:fill="A1D7EF"/>
            <w:vAlign w:val="top"/>
          </w:tcPr>
          <w:p w14:paraId="513B8CC3">
            <w:pPr>
              <w:pStyle w:val="8"/>
              <w:spacing w:before="65" w:line="238" w:lineRule="exact"/>
              <w:ind w:left="359"/>
            </w:pPr>
            <w:r>
              <w:rPr>
                <w:color w:val="5F6A72"/>
                <w:spacing w:val="-7"/>
                <w:position w:val="1"/>
              </w:rPr>
              <w:t>51.2</w:t>
            </w:r>
          </w:p>
        </w:tc>
        <w:tc>
          <w:tcPr>
            <w:tcW w:w="1021" w:type="dxa"/>
            <w:tcBorders>
              <w:left w:val="nil"/>
              <w:right w:val="nil"/>
            </w:tcBorders>
            <w:shd w:val="clear" w:color="auto" w:fill="A1D7EF"/>
            <w:vAlign w:val="top"/>
          </w:tcPr>
          <w:p w14:paraId="45E6C364">
            <w:pPr>
              <w:pStyle w:val="8"/>
              <w:spacing w:before="65" w:line="238" w:lineRule="exact"/>
              <w:ind w:left="358"/>
            </w:pPr>
            <w:r>
              <w:rPr>
                <w:color w:val="5F6A72"/>
                <w:spacing w:val="-7"/>
                <w:position w:val="1"/>
              </w:rPr>
              <w:t>57.3</w:t>
            </w:r>
          </w:p>
        </w:tc>
        <w:tc>
          <w:tcPr>
            <w:tcW w:w="1020" w:type="dxa"/>
            <w:tcBorders>
              <w:left w:val="nil"/>
              <w:right w:val="nil"/>
            </w:tcBorders>
            <w:shd w:val="clear" w:color="auto" w:fill="E5819D"/>
            <w:vAlign w:val="top"/>
          </w:tcPr>
          <w:p w14:paraId="53F113C2">
            <w:pPr>
              <w:pStyle w:val="8"/>
              <w:spacing w:before="65" w:line="238" w:lineRule="exact"/>
              <w:ind w:left="358"/>
            </w:pPr>
            <w:r>
              <w:rPr>
                <w:color w:val="5F6A72"/>
                <w:spacing w:val="-7"/>
                <w:position w:val="1"/>
              </w:rPr>
              <w:t>57.7</w:t>
            </w:r>
          </w:p>
        </w:tc>
        <w:tc>
          <w:tcPr>
            <w:tcW w:w="1020" w:type="dxa"/>
            <w:tcBorders>
              <w:left w:val="nil"/>
              <w:right w:val="nil"/>
            </w:tcBorders>
            <w:shd w:val="clear" w:color="auto" w:fill="E5819D"/>
            <w:vAlign w:val="top"/>
          </w:tcPr>
          <w:p w14:paraId="502995E8">
            <w:pPr>
              <w:pStyle w:val="8"/>
              <w:spacing w:before="65" w:line="238" w:lineRule="exact"/>
              <w:ind w:left="358"/>
            </w:pPr>
            <w:r>
              <w:rPr>
                <w:color w:val="5F6A72"/>
                <w:spacing w:val="-7"/>
                <w:position w:val="1"/>
              </w:rPr>
              <w:t>51.2</w:t>
            </w:r>
          </w:p>
        </w:tc>
        <w:tc>
          <w:tcPr>
            <w:tcW w:w="1021" w:type="dxa"/>
            <w:tcBorders>
              <w:left w:val="nil"/>
              <w:right w:val="nil"/>
            </w:tcBorders>
            <w:shd w:val="clear" w:color="auto" w:fill="E5819D"/>
            <w:vAlign w:val="top"/>
          </w:tcPr>
          <w:p w14:paraId="488B05C4">
            <w:pPr>
              <w:pStyle w:val="8"/>
              <w:spacing w:before="65" w:line="238" w:lineRule="exact"/>
              <w:ind w:left="358"/>
            </w:pPr>
            <w:r>
              <w:rPr>
                <w:color w:val="5F6A72"/>
                <w:spacing w:val="-7"/>
                <w:position w:val="1"/>
              </w:rPr>
              <w:t>56.4</w:t>
            </w:r>
          </w:p>
        </w:tc>
        <w:tc>
          <w:tcPr>
            <w:tcW w:w="1020" w:type="dxa"/>
            <w:tcBorders>
              <w:left w:val="nil"/>
              <w:right w:val="nil"/>
            </w:tcBorders>
            <w:shd w:val="clear" w:color="auto" w:fill="EAF9FF"/>
            <w:vAlign w:val="top"/>
          </w:tcPr>
          <w:p w14:paraId="41D0C436">
            <w:pPr>
              <w:pStyle w:val="8"/>
              <w:spacing w:before="65" w:line="238" w:lineRule="exact"/>
              <w:ind w:left="358"/>
            </w:pPr>
            <w:r>
              <w:rPr>
                <w:color w:val="5F6A72"/>
                <w:spacing w:val="-7"/>
                <w:position w:val="1"/>
              </w:rPr>
              <w:t>57.2</w:t>
            </w:r>
          </w:p>
        </w:tc>
        <w:tc>
          <w:tcPr>
            <w:tcW w:w="1021" w:type="dxa"/>
            <w:tcBorders>
              <w:left w:val="nil"/>
              <w:right w:val="nil"/>
            </w:tcBorders>
            <w:shd w:val="clear" w:color="auto" w:fill="EAF9FF"/>
            <w:vAlign w:val="top"/>
          </w:tcPr>
          <w:p w14:paraId="5D15D1E5">
            <w:pPr>
              <w:pStyle w:val="8"/>
              <w:spacing w:before="65" w:line="238" w:lineRule="exact"/>
              <w:ind w:left="473"/>
            </w:pPr>
            <w:r>
              <w:rPr>
                <w:color w:val="5F6A72"/>
                <w:position w:val="1"/>
              </w:rPr>
              <w:t>8</w:t>
            </w:r>
          </w:p>
        </w:tc>
        <w:tc>
          <w:tcPr>
            <w:tcW w:w="1020" w:type="dxa"/>
            <w:tcBorders>
              <w:left w:val="nil"/>
              <w:right w:val="nil"/>
            </w:tcBorders>
            <w:shd w:val="clear" w:color="auto" w:fill="EAF9FF"/>
            <w:vAlign w:val="top"/>
          </w:tcPr>
          <w:p w14:paraId="634654FE">
            <w:pPr>
              <w:pStyle w:val="8"/>
              <w:spacing w:before="65" w:line="238" w:lineRule="exact"/>
              <w:ind w:left="424"/>
            </w:pPr>
            <w:r>
              <w:rPr>
                <w:color w:val="5F6A72"/>
                <w:spacing w:val="-5"/>
                <w:position w:val="1"/>
              </w:rPr>
              <w:t>51</w:t>
            </w:r>
          </w:p>
        </w:tc>
      </w:tr>
      <w:tr w14:paraId="64AE9E1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vAlign w:val="top"/>
          </w:tcPr>
          <w:p w14:paraId="21BFC108">
            <w:pPr>
              <w:pStyle w:val="8"/>
              <w:spacing w:before="66" w:line="237" w:lineRule="exact"/>
              <w:ind w:left="3"/>
            </w:pPr>
            <w:r>
              <w:rPr>
                <w:color w:val="2A8ABF"/>
                <w:spacing w:val="-8"/>
                <w:position w:val="1"/>
              </w:rPr>
              <w:t>Venezuela</w:t>
            </w:r>
          </w:p>
        </w:tc>
        <w:tc>
          <w:tcPr>
            <w:tcW w:w="1020" w:type="dxa"/>
            <w:tcBorders>
              <w:right w:val="nil"/>
            </w:tcBorders>
            <w:shd w:val="clear" w:color="auto" w:fill="A1D7EF"/>
            <w:vAlign w:val="top"/>
          </w:tcPr>
          <w:p w14:paraId="2D575EB8">
            <w:pPr>
              <w:pStyle w:val="8"/>
              <w:spacing w:before="66" w:line="237" w:lineRule="exact"/>
              <w:ind w:left="350"/>
            </w:pPr>
            <w:r>
              <w:rPr>
                <w:color w:val="5F6A72"/>
                <w:spacing w:val="-6"/>
                <w:position w:val="1"/>
              </w:rPr>
              <w:t>32.5</w:t>
            </w:r>
          </w:p>
        </w:tc>
        <w:tc>
          <w:tcPr>
            <w:tcW w:w="1021" w:type="dxa"/>
            <w:tcBorders>
              <w:left w:val="nil"/>
              <w:right w:val="nil"/>
            </w:tcBorders>
            <w:shd w:val="clear" w:color="auto" w:fill="A1D7EF"/>
            <w:vAlign w:val="top"/>
          </w:tcPr>
          <w:p w14:paraId="1EFC77CC">
            <w:pPr>
              <w:pStyle w:val="8"/>
              <w:spacing w:before="66" w:line="237" w:lineRule="exact"/>
              <w:ind w:left="358"/>
            </w:pPr>
            <w:r>
              <w:rPr>
                <w:color w:val="5F6A72"/>
                <w:spacing w:val="-7"/>
                <w:position w:val="1"/>
              </w:rPr>
              <w:t>94.1</w:t>
            </w:r>
          </w:p>
        </w:tc>
        <w:tc>
          <w:tcPr>
            <w:tcW w:w="1021" w:type="dxa"/>
            <w:tcBorders>
              <w:left w:val="nil"/>
              <w:right w:val="nil"/>
            </w:tcBorders>
            <w:shd w:val="clear" w:color="auto" w:fill="A1D7EF"/>
            <w:vAlign w:val="top"/>
          </w:tcPr>
          <w:p w14:paraId="3E7EDF79">
            <w:pPr>
              <w:pStyle w:val="8"/>
              <w:spacing w:before="66" w:line="237" w:lineRule="exact"/>
              <w:ind w:left="358"/>
            </w:pPr>
            <w:r>
              <w:rPr>
                <w:color w:val="5F6A72"/>
                <w:spacing w:val="-7"/>
                <w:position w:val="1"/>
              </w:rPr>
              <w:t>57.2</w:t>
            </w:r>
          </w:p>
        </w:tc>
        <w:tc>
          <w:tcPr>
            <w:tcW w:w="1020" w:type="dxa"/>
            <w:tcBorders>
              <w:left w:val="nil"/>
              <w:right w:val="nil"/>
            </w:tcBorders>
            <w:shd w:val="clear" w:color="auto" w:fill="E5819D"/>
            <w:vAlign w:val="top"/>
          </w:tcPr>
          <w:p w14:paraId="48C2D33E">
            <w:pPr>
              <w:pStyle w:val="8"/>
              <w:spacing w:before="66" w:line="237" w:lineRule="exact"/>
              <w:ind w:left="357"/>
            </w:pPr>
            <w:r>
              <w:rPr>
                <w:color w:val="5F6A72"/>
                <w:spacing w:val="-7"/>
                <w:position w:val="1"/>
              </w:rPr>
              <w:t>95.8</w:t>
            </w:r>
          </w:p>
        </w:tc>
        <w:tc>
          <w:tcPr>
            <w:tcW w:w="1020" w:type="dxa"/>
            <w:tcBorders>
              <w:left w:val="nil"/>
              <w:right w:val="nil"/>
            </w:tcBorders>
            <w:shd w:val="clear" w:color="auto" w:fill="E5819D"/>
            <w:vAlign w:val="top"/>
          </w:tcPr>
          <w:p w14:paraId="28E09EC7">
            <w:pPr>
              <w:pStyle w:val="8"/>
              <w:spacing w:before="66" w:line="237" w:lineRule="exact"/>
              <w:ind w:left="358"/>
            </w:pPr>
            <w:r>
              <w:rPr>
                <w:color w:val="5F6A72"/>
                <w:spacing w:val="-7"/>
                <w:position w:val="1"/>
              </w:rPr>
              <w:t>94.6</w:t>
            </w:r>
          </w:p>
        </w:tc>
        <w:tc>
          <w:tcPr>
            <w:tcW w:w="1021" w:type="dxa"/>
            <w:tcBorders>
              <w:left w:val="nil"/>
              <w:right w:val="nil"/>
            </w:tcBorders>
            <w:shd w:val="clear" w:color="auto" w:fill="E5819D"/>
            <w:vAlign w:val="top"/>
          </w:tcPr>
          <w:p w14:paraId="05B759D6">
            <w:pPr>
              <w:pStyle w:val="8"/>
              <w:spacing w:before="66" w:line="237" w:lineRule="exact"/>
              <w:ind w:left="358"/>
            </w:pPr>
            <w:r>
              <w:rPr>
                <w:color w:val="5F6A72"/>
                <w:spacing w:val="-7"/>
                <w:position w:val="1"/>
              </w:rPr>
              <w:t>95.5</w:t>
            </w:r>
          </w:p>
        </w:tc>
        <w:tc>
          <w:tcPr>
            <w:tcW w:w="1020" w:type="dxa"/>
            <w:tcBorders>
              <w:left w:val="nil"/>
              <w:right w:val="nil"/>
            </w:tcBorders>
            <w:vAlign w:val="top"/>
          </w:tcPr>
          <w:p w14:paraId="493DB073">
            <w:pPr>
              <w:pStyle w:val="8"/>
              <w:spacing w:before="66" w:line="237" w:lineRule="exact"/>
              <w:ind w:left="359"/>
            </w:pPr>
            <w:r>
              <w:rPr>
                <w:color w:val="5F6A72"/>
                <w:spacing w:val="-7"/>
                <w:position w:val="1"/>
              </w:rPr>
              <w:t>61.0</w:t>
            </w:r>
          </w:p>
        </w:tc>
        <w:tc>
          <w:tcPr>
            <w:tcW w:w="1021" w:type="dxa"/>
            <w:tcBorders>
              <w:left w:val="nil"/>
              <w:right w:val="nil"/>
            </w:tcBorders>
            <w:vAlign w:val="top"/>
          </w:tcPr>
          <w:p w14:paraId="71E593E6">
            <w:pPr>
              <w:pStyle w:val="8"/>
              <w:spacing w:before="66" w:line="237" w:lineRule="exact"/>
              <w:ind w:left="473"/>
            </w:pPr>
            <w:r>
              <w:rPr>
                <w:color w:val="5F6A72"/>
                <w:position w:val="1"/>
              </w:rPr>
              <w:t>9</w:t>
            </w:r>
          </w:p>
        </w:tc>
        <w:tc>
          <w:tcPr>
            <w:tcW w:w="1020" w:type="dxa"/>
            <w:tcBorders>
              <w:left w:val="nil"/>
              <w:right w:val="nil"/>
            </w:tcBorders>
            <w:vAlign w:val="top"/>
          </w:tcPr>
          <w:p w14:paraId="1BE81855">
            <w:pPr>
              <w:pStyle w:val="8"/>
              <w:spacing w:before="66" w:line="237" w:lineRule="exact"/>
              <w:ind w:left="424"/>
            </w:pPr>
            <w:r>
              <w:rPr>
                <w:color w:val="5F6A72"/>
                <w:spacing w:val="-5"/>
                <w:position w:val="1"/>
              </w:rPr>
              <w:t>57</w:t>
            </w:r>
          </w:p>
        </w:tc>
      </w:tr>
      <w:tr w14:paraId="72D4C48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shd w:val="clear" w:color="auto" w:fill="EAF9FF"/>
            <w:vAlign w:val="top"/>
          </w:tcPr>
          <w:p w14:paraId="2AAE5829">
            <w:pPr>
              <w:pStyle w:val="8"/>
              <w:spacing w:before="65" w:line="238" w:lineRule="exact"/>
              <w:ind w:left="18"/>
            </w:pPr>
            <w:r>
              <w:rPr>
                <w:color w:val="2A8ABF"/>
                <w:spacing w:val="-12"/>
                <w:position w:val="1"/>
              </w:rPr>
              <w:t>Ecuador</w:t>
            </w:r>
          </w:p>
        </w:tc>
        <w:tc>
          <w:tcPr>
            <w:tcW w:w="1020" w:type="dxa"/>
            <w:tcBorders>
              <w:right w:val="nil"/>
            </w:tcBorders>
            <w:shd w:val="clear" w:color="auto" w:fill="A1D7EF"/>
            <w:vAlign w:val="top"/>
          </w:tcPr>
          <w:p w14:paraId="7012D0A0">
            <w:pPr>
              <w:pStyle w:val="8"/>
              <w:spacing w:before="65" w:line="237" w:lineRule="exact"/>
              <w:ind w:left="355"/>
            </w:pPr>
            <w:r>
              <w:rPr>
                <w:color w:val="5F6A72"/>
                <w:spacing w:val="-7"/>
                <w:position w:val="1"/>
              </w:rPr>
              <w:t>64.4</w:t>
            </w:r>
          </w:p>
        </w:tc>
        <w:tc>
          <w:tcPr>
            <w:tcW w:w="1021" w:type="dxa"/>
            <w:tcBorders>
              <w:left w:val="nil"/>
              <w:right w:val="nil"/>
            </w:tcBorders>
            <w:shd w:val="clear" w:color="auto" w:fill="A1D7EF"/>
            <w:vAlign w:val="top"/>
          </w:tcPr>
          <w:p w14:paraId="13E2BED1">
            <w:pPr>
              <w:pStyle w:val="8"/>
              <w:spacing w:before="65" w:line="237" w:lineRule="exact"/>
              <w:ind w:left="359"/>
            </w:pPr>
            <w:r>
              <w:rPr>
                <w:color w:val="5F6A72"/>
                <w:spacing w:val="-7"/>
                <w:position w:val="1"/>
              </w:rPr>
              <w:t>63.4</w:t>
            </w:r>
          </w:p>
        </w:tc>
        <w:tc>
          <w:tcPr>
            <w:tcW w:w="1021" w:type="dxa"/>
            <w:tcBorders>
              <w:left w:val="nil"/>
              <w:right w:val="nil"/>
            </w:tcBorders>
            <w:shd w:val="clear" w:color="auto" w:fill="A1D7EF"/>
            <w:vAlign w:val="top"/>
          </w:tcPr>
          <w:p w14:paraId="59508FFE">
            <w:pPr>
              <w:pStyle w:val="8"/>
              <w:spacing w:before="65" w:line="237" w:lineRule="exact"/>
              <w:ind w:left="359"/>
            </w:pPr>
            <w:r>
              <w:rPr>
                <w:color w:val="5F6A72"/>
                <w:spacing w:val="-7"/>
                <w:position w:val="1"/>
              </w:rPr>
              <w:t>64.0</w:t>
            </w:r>
          </w:p>
        </w:tc>
        <w:tc>
          <w:tcPr>
            <w:tcW w:w="1020" w:type="dxa"/>
            <w:tcBorders>
              <w:left w:val="nil"/>
              <w:right w:val="nil"/>
            </w:tcBorders>
            <w:shd w:val="clear" w:color="auto" w:fill="E5819D"/>
            <w:vAlign w:val="top"/>
          </w:tcPr>
          <w:p w14:paraId="083180C5">
            <w:pPr>
              <w:pStyle w:val="8"/>
              <w:spacing w:before="65" w:line="237" w:lineRule="exact"/>
              <w:ind w:left="353"/>
            </w:pPr>
            <w:r>
              <w:rPr>
                <w:color w:val="5F6A72"/>
                <w:spacing w:val="-6"/>
                <w:position w:val="1"/>
              </w:rPr>
              <w:t>70.0</w:t>
            </w:r>
          </w:p>
        </w:tc>
        <w:tc>
          <w:tcPr>
            <w:tcW w:w="1020" w:type="dxa"/>
            <w:tcBorders>
              <w:left w:val="nil"/>
              <w:right w:val="nil"/>
            </w:tcBorders>
            <w:shd w:val="clear" w:color="auto" w:fill="E5819D"/>
            <w:vAlign w:val="top"/>
          </w:tcPr>
          <w:p w14:paraId="414D105B">
            <w:pPr>
              <w:pStyle w:val="8"/>
              <w:spacing w:before="65" w:line="237" w:lineRule="exact"/>
              <w:ind w:left="358"/>
            </w:pPr>
            <w:r>
              <w:rPr>
                <w:color w:val="5F6A72"/>
                <w:spacing w:val="-7"/>
                <w:position w:val="1"/>
              </w:rPr>
              <w:t>53.4</w:t>
            </w:r>
          </w:p>
        </w:tc>
        <w:tc>
          <w:tcPr>
            <w:tcW w:w="1021" w:type="dxa"/>
            <w:tcBorders>
              <w:left w:val="nil"/>
              <w:right w:val="nil"/>
            </w:tcBorders>
            <w:shd w:val="clear" w:color="auto" w:fill="E5819D"/>
            <w:vAlign w:val="top"/>
          </w:tcPr>
          <w:p w14:paraId="2ADF7DD7">
            <w:pPr>
              <w:pStyle w:val="8"/>
              <w:spacing w:before="65" w:line="237" w:lineRule="exact"/>
              <w:ind w:left="359"/>
            </w:pPr>
            <w:r>
              <w:rPr>
                <w:color w:val="5F6A72"/>
                <w:spacing w:val="-7"/>
                <w:position w:val="1"/>
              </w:rPr>
              <w:t>66.7</w:t>
            </w:r>
          </w:p>
        </w:tc>
        <w:tc>
          <w:tcPr>
            <w:tcW w:w="1020" w:type="dxa"/>
            <w:tcBorders>
              <w:left w:val="nil"/>
              <w:right w:val="nil"/>
            </w:tcBorders>
            <w:shd w:val="clear" w:color="auto" w:fill="EAF9FF"/>
            <w:vAlign w:val="top"/>
          </w:tcPr>
          <w:p w14:paraId="4DF73905">
            <w:pPr>
              <w:pStyle w:val="8"/>
              <w:spacing w:before="65" w:line="237" w:lineRule="exact"/>
              <w:ind w:left="359"/>
            </w:pPr>
            <w:r>
              <w:rPr>
                <w:color w:val="5F6A72"/>
                <w:spacing w:val="-7"/>
                <w:position w:val="1"/>
              </w:rPr>
              <w:t>64.2</w:t>
            </w:r>
          </w:p>
        </w:tc>
        <w:tc>
          <w:tcPr>
            <w:tcW w:w="1021" w:type="dxa"/>
            <w:tcBorders>
              <w:left w:val="nil"/>
              <w:right w:val="nil"/>
            </w:tcBorders>
            <w:shd w:val="clear" w:color="auto" w:fill="EAF9FF"/>
            <w:vAlign w:val="top"/>
          </w:tcPr>
          <w:p w14:paraId="6F4000C3">
            <w:pPr>
              <w:pStyle w:val="8"/>
              <w:spacing w:before="65" w:line="237" w:lineRule="exact"/>
              <w:ind w:left="428"/>
            </w:pPr>
            <w:r>
              <w:rPr>
                <w:color w:val="5F6A72"/>
                <w:spacing w:val="-6"/>
                <w:position w:val="1"/>
              </w:rPr>
              <w:t>10</w:t>
            </w:r>
          </w:p>
        </w:tc>
        <w:tc>
          <w:tcPr>
            <w:tcW w:w="1020" w:type="dxa"/>
            <w:tcBorders>
              <w:left w:val="nil"/>
              <w:right w:val="nil"/>
            </w:tcBorders>
            <w:shd w:val="clear" w:color="auto" w:fill="EAF9FF"/>
            <w:vAlign w:val="top"/>
          </w:tcPr>
          <w:p w14:paraId="2516D977">
            <w:pPr>
              <w:pStyle w:val="8"/>
              <w:spacing w:before="65" w:line="237" w:lineRule="exact"/>
              <w:ind w:left="425"/>
            </w:pPr>
            <w:r>
              <w:rPr>
                <w:color w:val="5F6A72"/>
                <w:spacing w:val="-5"/>
                <w:position w:val="1"/>
              </w:rPr>
              <w:t>62</w:t>
            </w:r>
          </w:p>
        </w:tc>
      </w:tr>
      <w:tr w14:paraId="5E9E596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vAlign w:val="top"/>
          </w:tcPr>
          <w:p w14:paraId="785A70BE">
            <w:pPr>
              <w:pStyle w:val="8"/>
              <w:rPr>
                <w:sz w:val="21"/>
              </w:rPr>
            </w:pPr>
          </w:p>
        </w:tc>
        <w:tc>
          <w:tcPr>
            <w:tcW w:w="1020" w:type="dxa"/>
            <w:tcBorders>
              <w:right w:val="nil"/>
            </w:tcBorders>
            <w:shd w:val="clear" w:color="auto" w:fill="A1D7EF"/>
            <w:vAlign w:val="top"/>
          </w:tcPr>
          <w:p w14:paraId="42BF3451">
            <w:pPr>
              <w:pStyle w:val="8"/>
              <w:rPr>
                <w:sz w:val="21"/>
              </w:rPr>
            </w:pPr>
          </w:p>
        </w:tc>
        <w:tc>
          <w:tcPr>
            <w:tcW w:w="1021" w:type="dxa"/>
            <w:tcBorders>
              <w:left w:val="nil"/>
              <w:right w:val="nil"/>
            </w:tcBorders>
            <w:shd w:val="clear" w:color="auto" w:fill="A1D7EF"/>
            <w:vAlign w:val="top"/>
          </w:tcPr>
          <w:p w14:paraId="4EE66B01">
            <w:pPr>
              <w:pStyle w:val="8"/>
              <w:rPr>
                <w:sz w:val="21"/>
              </w:rPr>
            </w:pPr>
          </w:p>
        </w:tc>
        <w:tc>
          <w:tcPr>
            <w:tcW w:w="1021" w:type="dxa"/>
            <w:tcBorders>
              <w:left w:val="nil"/>
              <w:right w:val="nil"/>
            </w:tcBorders>
            <w:shd w:val="clear" w:color="auto" w:fill="A1D7EF"/>
            <w:vAlign w:val="top"/>
          </w:tcPr>
          <w:p w14:paraId="03FEEB09">
            <w:pPr>
              <w:pStyle w:val="8"/>
              <w:rPr>
                <w:sz w:val="21"/>
              </w:rPr>
            </w:pPr>
          </w:p>
        </w:tc>
        <w:tc>
          <w:tcPr>
            <w:tcW w:w="1020" w:type="dxa"/>
            <w:tcBorders>
              <w:left w:val="nil"/>
              <w:right w:val="nil"/>
            </w:tcBorders>
            <w:shd w:val="clear" w:color="auto" w:fill="E5819D"/>
            <w:vAlign w:val="top"/>
          </w:tcPr>
          <w:p w14:paraId="4069358D">
            <w:pPr>
              <w:pStyle w:val="8"/>
              <w:rPr>
                <w:sz w:val="21"/>
              </w:rPr>
            </w:pPr>
          </w:p>
        </w:tc>
        <w:tc>
          <w:tcPr>
            <w:tcW w:w="1020" w:type="dxa"/>
            <w:tcBorders>
              <w:left w:val="nil"/>
              <w:right w:val="nil"/>
            </w:tcBorders>
            <w:shd w:val="clear" w:color="auto" w:fill="E5819D"/>
            <w:vAlign w:val="top"/>
          </w:tcPr>
          <w:p w14:paraId="321ACC6D">
            <w:pPr>
              <w:pStyle w:val="8"/>
              <w:rPr>
                <w:sz w:val="21"/>
              </w:rPr>
            </w:pPr>
          </w:p>
        </w:tc>
        <w:tc>
          <w:tcPr>
            <w:tcW w:w="1021" w:type="dxa"/>
            <w:tcBorders>
              <w:left w:val="nil"/>
              <w:right w:val="nil"/>
            </w:tcBorders>
            <w:shd w:val="clear" w:color="auto" w:fill="E5819D"/>
            <w:vAlign w:val="top"/>
          </w:tcPr>
          <w:p w14:paraId="0E44D073">
            <w:pPr>
              <w:pStyle w:val="8"/>
              <w:rPr>
                <w:sz w:val="21"/>
              </w:rPr>
            </w:pPr>
          </w:p>
        </w:tc>
        <w:tc>
          <w:tcPr>
            <w:tcW w:w="1020" w:type="dxa"/>
            <w:tcBorders>
              <w:left w:val="nil"/>
              <w:right w:val="nil"/>
            </w:tcBorders>
            <w:vAlign w:val="top"/>
          </w:tcPr>
          <w:p w14:paraId="5AFE6FC4">
            <w:pPr>
              <w:pStyle w:val="8"/>
              <w:rPr>
                <w:sz w:val="21"/>
              </w:rPr>
            </w:pPr>
          </w:p>
        </w:tc>
        <w:tc>
          <w:tcPr>
            <w:tcW w:w="1021" w:type="dxa"/>
            <w:tcBorders>
              <w:left w:val="nil"/>
              <w:right w:val="nil"/>
            </w:tcBorders>
            <w:vAlign w:val="top"/>
          </w:tcPr>
          <w:p w14:paraId="6642169E">
            <w:pPr>
              <w:pStyle w:val="8"/>
              <w:rPr>
                <w:sz w:val="21"/>
              </w:rPr>
            </w:pPr>
          </w:p>
        </w:tc>
        <w:tc>
          <w:tcPr>
            <w:tcW w:w="1020" w:type="dxa"/>
            <w:tcBorders>
              <w:left w:val="nil"/>
              <w:right w:val="nil"/>
            </w:tcBorders>
            <w:vAlign w:val="top"/>
          </w:tcPr>
          <w:p w14:paraId="46C1EDE3">
            <w:pPr>
              <w:pStyle w:val="8"/>
              <w:rPr>
                <w:sz w:val="21"/>
              </w:rPr>
            </w:pPr>
          </w:p>
        </w:tc>
      </w:tr>
      <w:tr w14:paraId="6C99783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20" w:type="dxa"/>
            <w:tcBorders>
              <w:left w:val="nil"/>
            </w:tcBorders>
            <w:shd w:val="clear" w:color="auto" w:fill="EAF9FF"/>
            <w:vAlign w:val="top"/>
          </w:tcPr>
          <w:p w14:paraId="613C9DF9">
            <w:pPr>
              <w:pStyle w:val="8"/>
              <w:spacing w:before="65" w:line="237" w:lineRule="exact"/>
              <w:ind w:left="12"/>
            </w:pPr>
            <w:r>
              <w:rPr>
                <w:color w:val="2A8ABF"/>
                <w:spacing w:val="-12"/>
                <w:position w:val="1"/>
              </w:rPr>
              <w:t>Global</w:t>
            </w:r>
          </w:p>
          <w:p w14:paraId="1A1CED5B">
            <w:pPr>
              <w:pStyle w:val="8"/>
              <w:spacing w:before="54" w:line="181" w:lineRule="auto"/>
              <w:ind w:left="3"/>
            </w:pPr>
            <w:r>
              <w:rPr>
                <w:color w:val="2A8ABF"/>
                <w:spacing w:val="-10"/>
              </w:rPr>
              <w:t>Average</w:t>
            </w:r>
          </w:p>
        </w:tc>
        <w:tc>
          <w:tcPr>
            <w:tcW w:w="1020" w:type="dxa"/>
            <w:tcBorders>
              <w:right w:val="nil"/>
            </w:tcBorders>
            <w:shd w:val="clear" w:color="auto" w:fill="A1D7EF"/>
            <w:vAlign w:val="top"/>
          </w:tcPr>
          <w:p w14:paraId="6554C1C0">
            <w:pPr>
              <w:pStyle w:val="8"/>
              <w:spacing w:before="190" w:line="237" w:lineRule="exact"/>
              <w:ind w:left="354"/>
            </w:pPr>
            <w:r>
              <w:rPr>
                <w:color w:val="5F6A72"/>
                <w:spacing w:val="-7"/>
                <w:position w:val="1"/>
              </w:rPr>
              <w:t>50.0</w:t>
            </w:r>
          </w:p>
        </w:tc>
        <w:tc>
          <w:tcPr>
            <w:tcW w:w="1021" w:type="dxa"/>
            <w:tcBorders>
              <w:left w:val="nil"/>
              <w:right w:val="nil"/>
            </w:tcBorders>
            <w:shd w:val="clear" w:color="auto" w:fill="A1D7EF"/>
            <w:vAlign w:val="top"/>
          </w:tcPr>
          <w:p w14:paraId="04472F95">
            <w:pPr>
              <w:pStyle w:val="8"/>
              <w:spacing w:before="190" w:line="237" w:lineRule="exact"/>
              <w:ind w:left="359"/>
            </w:pPr>
            <w:r>
              <w:rPr>
                <w:color w:val="5F6A72"/>
                <w:spacing w:val="-7"/>
                <w:position w:val="1"/>
              </w:rPr>
              <w:t>50.0</w:t>
            </w:r>
          </w:p>
        </w:tc>
        <w:tc>
          <w:tcPr>
            <w:tcW w:w="1021" w:type="dxa"/>
            <w:tcBorders>
              <w:left w:val="nil"/>
              <w:right w:val="nil"/>
            </w:tcBorders>
            <w:shd w:val="clear" w:color="auto" w:fill="A1D7EF"/>
            <w:vAlign w:val="top"/>
          </w:tcPr>
          <w:p w14:paraId="2839D3C7">
            <w:pPr>
              <w:pStyle w:val="8"/>
              <w:spacing w:before="190" w:line="237" w:lineRule="exact"/>
              <w:ind w:left="358"/>
            </w:pPr>
            <w:r>
              <w:rPr>
                <w:color w:val="5F6A72"/>
                <w:spacing w:val="-7"/>
                <w:position w:val="1"/>
              </w:rPr>
              <w:t>50.0</w:t>
            </w:r>
          </w:p>
        </w:tc>
        <w:tc>
          <w:tcPr>
            <w:tcW w:w="1020" w:type="dxa"/>
            <w:tcBorders>
              <w:left w:val="nil"/>
              <w:right w:val="nil"/>
            </w:tcBorders>
            <w:shd w:val="clear" w:color="auto" w:fill="E5819D"/>
            <w:vAlign w:val="top"/>
          </w:tcPr>
          <w:p w14:paraId="108A9B4C">
            <w:pPr>
              <w:pStyle w:val="8"/>
              <w:spacing w:before="190" w:line="237" w:lineRule="exact"/>
              <w:ind w:left="358"/>
            </w:pPr>
            <w:r>
              <w:rPr>
                <w:color w:val="5F6A72"/>
                <w:spacing w:val="-7"/>
                <w:position w:val="1"/>
              </w:rPr>
              <w:t>50.0</w:t>
            </w:r>
          </w:p>
        </w:tc>
        <w:tc>
          <w:tcPr>
            <w:tcW w:w="1020" w:type="dxa"/>
            <w:tcBorders>
              <w:left w:val="nil"/>
              <w:right w:val="nil"/>
            </w:tcBorders>
            <w:shd w:val="clear" w:color="auto" w:fill="E5819D"/>
            <w:vAlign w:val="top"/>
          </w:tcPr>
          <w:p w14:paraId="79F278C4">
            <w:pPr>
              <w:pStyle w:val="8"/>
              <w:spacing w:before="190" w:line="237" w:lineRule="exact"/>
              <w:ind w:left="358"/>
            </w:pPr>
            <w:r>
              <w:rPr>
                <w:color w:val="5F6A72"/>
                <w:spacing w:val="-7"/>
                <w:position w:val="1"/>
              </w:rPr>
              <w:t>50.0</w:t>
            </w:r>
          </w:p>
        </w:tc>
        <w:tc>
          <w:tcPr>
            <w:tcW w:w="1021" w:type="dxa"/>
            <w:tcBorders>
              <w:left w:val="nil"/>
              <w:right w:val="nil"/>
            </w:tcBorders>
            <w:shd w:val="clear" w:color="auto" w:fill="E5819D"/>
            <w:vAlign w:val="top"/>
          </w:tcPr>
          <w:p w14:paraId="448B48A5">
            <w:pPr>
              <w:pStyle w:val="8"/>
              <w:spacing w:before="190" w:line="237" w:lineRule="exact"/>
              <w:ind w:left="358"/>
            </w:pPr>
            <w:r>
              <w:rPr>
                <w:color w:val="5F6A72"/>
                <w:spacing w:val="-7"/>
                <w:position w:val="1"/>
              </w:rPr>
              <w:t>50.0</w:t>
            </w:r>
          </w:p>
        </w:tc>
        <w:tc>
          <w:tcPr>
            <w:tcW w:w="1020" w:type="dxa"/>
            <w:tcBorders>
              <w:left w:val="nil"/>
              <w:right w:val="nil"/>
            </w:tcBorders>
            <w:shd w:val="clear" w:color="auto" w:fill="EAF9FF"/>
            <w:vAlign w:val="top"/>
          </w:tcPr>
          <w:p w14:paraId="14B9002B">
            <w:pPr>
              <w:pStyle w:val="8"/>
              <w:spacing w:before="190" w:line="237" w:lineRule="exact"/>
              <w:ind w:left="358"/>
            </w:pPr>
            <w:r>
              <w:rPr>
                <w:color w:val="5F6A72"/>
                <w:spacing w:val="-7"/>
                <w:position w:val="1"/>
              </w:rPr>
              <w:t>50.0</w:t>
            </w:r>
          </w:p>
        </w:tc>
        <w:tc>
          <w:tcPr>
            <w:tcW w:w="1021" w:type="dxa"/>
            <w:tcBorders>
              <w:left w:val="nil"/>
              <w:right w:val="nil"/>
            </w:tcBorders>
            <w:shd w:val="clear" w:color="auto" w:fill="EAF9FF"/>
            <w:vAlign w:val="top"/>
          </w:tcPr>
          <w:p w14:paraId="55A23E10">
            <w:pPr>
              <w:pStyle w:val="8"/>
              <w:spacing w:before="234" w:line="114" w:lineRule="exact"/>
              <w:ind w:left="470"/>
            </w:pPr>
            <w:r>
              <w:rPr>
                <w:color w:val="5F6A72"/>
                <w:position w:val="-7"/>
              </w:rPr>
              <w:t>~</w:t>
            </w:r>
          </w:p>
        </w:tc>
        <w:tc>
          <w:tcPr>
            <w:tcW w:w="1020" w:type="dxa"/>
            <w:tcBorders>
              <w:left w:val="nil"/>
              <w:right w:val="nil"/>
            </w:tcBorders>
            <w:shd w:val="clear" w:color="auto" w:fill="EAF9FF"/>
            <w:vAlign w:val="top"/>
          </w:tcPr>
          <w:p w14:paraId="353CE72C">
            <w:pPr>
              <w:pStyle w:val="8"/>
              <w:spacing w:before="234" w:line="114" w:lineRule="exact"/>
              <w:ind w:left="470"/>
            </w:pPr>
            <w:r>
              <w:rPr>
                <w:color w:val="5F6A72"/>
                <w:position w:val="-7"/>
              </w:rPr>
              <w:t>~</w:t>
            </w:r>
          </w:p>
        </w:tc>
      </w:tr>
      <w:tr w14:paraId="5521621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79" w:hRule="atLeast"/>
        </w:trPr>
        <w:tc>
          <w:tcPr>
            <w:tcW w:w="1020" w:type="dxa"/>
            <w:tcBorders>
              <w:left w:val="nil"/>
              <w:bottom w:val="nil"/>
            </w:tcBorders>
            <w:vAlign w:val="top"/>
          </w:tcPr>
          <w:p w14:paraId="0679CEA9">
            <w:pPr>
              <w:pStyle w:val="8"/>
              <w:spacing w:before="65" w:line="234" w:lineRule="auto"/>
              <w:ind w:left="18"/>
            </w:pPr>
            <w:r>
              <w:rPr>
                <w:color w:val="2A8ABF"/>
                <w:spacing w:val="-11"/>
              </w:rPr>
              <w:t>Regional</w:t>
            </w:r>
          </w:p>
          <w:p w14:paraId="1D962E34">
            <w:pPr>
              <w:pStyle w:val="8"/>
              <w:spacing w:before="90" w:line="181" w:lineRule="auto"/>
              <w:ind w:left="3"/>
            </w:pPr>
            <w:r>
              <w:rPr>
                <w:color w:val="2A8ABF"/>
                <w:spacing w:val="-10"/>
              </w:rPr>
              <w:t>Average</w:t>
            </w:r>
          </w:p>
        </w:tc>
        <w:tc>
          <w:tcPr>
            <w:tcW w:w="1020" w:type="dxa"/>
            <w:tcBorders>
              <w:bottom w:val="nil"/>
              <w:right w:val="nil"/>
            </w:tcBorders>
            <w:shd w:val="clear" w:color="auto" w:fill="A1D7EF"/>
            <w:vAlign w:val="top"/>
          </w:tcPr>
          <w:p w14:paraId="5B076774">
            <w:pPr>
              <w:pStyle w:val="8"/>
              <w:spacing w:before="190" w:line="240" w:lineRule="exact"/>
              <w:ind w:left="350"/>
            </w:pPr>
            <w:r>
              <w:rPr>
                <w:color w:val="5F6A72"/>
                <w:spacing w:val="-6"/>
                <w:position w:val="1"/>
              </w:rPr>
              <w:t>44.1</w:t>
            </w:r>
          </w:p>
        </w:tc>
        <w:tc>
          <w:tcPr>
            <w:tcW w:w="1021" w:type="dxa"/>
            <w:tcBorders>
              <w:left w:val="nil"/>
              <w:bottom w:val="nil"/>
              <w:right w:val="nil"/>
            </w:tcBorders>
            <w:shd w:val="clear" w:color="auto" w:fill="A1D7EF"/>
            <w:vAlign w:val="top"/>
          </w:tcPr>
          <w:p w14:paraId="4338787D">
            <w:pPr>
              <w:pStyle w:val="8"/>
              <w:spacing w:before="190" w:line="238" w:lineRule="exact"/>
              <w:ind w:left="359"/>
            </w:pPr>
            <w:r>
              <w:rPr>
                <w:color w:val="5F6A72"/>
                <w:spacing w:val="-7"/>
                <w:position w:val="1"/>
              </w:rPr>
              <w:t>54.4</w:t>
            </w:r>
          </w:p>
        </w:tc>
        <w:tc>
          <w:tcPr>
            <w:tcW w:w="1021" w:type="dxa"/>
            <w:tcBorders>
              <w:left w:val="nil"/>
              <w:bottom w:val="nil"/>
              <w:right w:val="nil"/>
            </w:tcBorders>
            <w:shd w:val="clear" w:color="auto" w:fill="A1D7EF"/>
            <w:vAlign w:val="top"/>
          </w:tcPr>
          <w:p w14:paraId="1AEB99CE">
            <w:pPr>
              <w:pStyle w:val="8"/>
              <w:spacing w:before="190" w:line="238" w:lineRule="exact"/>
              <w:ind w:left="354"/>
            </w:pPr>
            <w:r>
              <w:rPr>
                <w:color w:val="5F6A72"/>
                <w:spacing w:val="-6"/>
                <w:position w:val="1"/>
              </w:rPr>
              <w:t>48.2</w:t>
            </w:r>
          </w:p>
        </w:tc>
        <w:tc>
          <w:tcPr>
            <w:tcW w:w="1020" w:type="dxa"/>
            <w:tcBorders>
              <w:left w:val="nil"/>
              <w:bottom w:val="nil"/>
              <w:right w:val="nil"/>
            </w:tcBorders>
            <w:shd w:val="clear" w:color="auto" w:fill="E5819D"/>
            <w:vAlign w:val="top"/>
          </w:tcPr>
          <w:p w14:paraId="3E74E89C">
            <w:pPr>
              <w:pStyle w:val="8"/>
              <w:spacing w:before="190" w:line="238" w:lineRule="exact"/>
              <w:ind w:left="358"/>
            </w:pPr>
            <w:r>
              <w:rPr>
                <w:color w:val="5F6A72"/>
                <w:spacing w:val="-7"/>
                <w:position w:val="1"/>
              </w:rPr>
              <w:t>60.1</w:t>
            </w:r>
          </w:p>
        </w:tc>
        <w:tc>
          <w:tcPr>
            <w:tcW w:w="1020" w:type="dxa"/>
            <w:tcBorders>
              <w:left w:val="nil"/>
              <w:bottom w:val="nil"/>
              <w:right w:val="nil"/>
            </w:tcBorders>
            <w:shd w:val="clear" w:color="auto" w:fill="E5819D"/>
            <w:vAlign w:val="top"/>
          </w:tcPr>
          <w:p w14:paraId="69C886C6">
            <w:pPr>
              <w:pStyle w:val="8"/>
              <w:spacing w:before="190" w:line="238" w:lineRule="exact"/>
              <w:ind w:left="358"/>
            </w:pPr>
            <w:r>
              <w:rPr>
                <w:color w:val="5F6A72"/>
                <w:spacing w:val="-7"/>
                <w:position w:val="1"/>
              </w:rPr>
              <w:t>55.3</w:t>
            </w:r>
          </w:p>
        </w:tc>
        <w:tc>
          <w:tcPr>
            <w:tcW w:w="1021" w:type="dxa"/>
            <w:tcBorders>
              <w:left w:val="nil"/>
              <w:bottom w:val="nil"/>
              <w:right w:val="nil"/>
            </w:tcBorders>
            <w:shd w:val="clear" w:color="auto" w:fill="E5819D"/>
            <w:vAlign w:val="top"/>
          </w:tcPr>
          <w:p w14:paraId="74F43A2E">
            <w:pPr>
              <w:pStyle w:val="8"/>
              <w:spacing w:before="190" w:line="238" w:lineRule="exact"/>
              <w:ind w:left="358"/>
            </w:pPr>
            <w:r>
              <w:rPr>
                <w:color w:val="5F6A72"/>
                <w:spacing w:val="-7"/>
                <w:position w:val="1"/>
              </w:rPr>
              <w:t>59.1</w:t>
            </w:r>
          </w:p>
        </w:tc>
        <w:tc>
          <w:tcPr>
            <w:tcW w:w="1020" w:type="dxa"/>
            <w:tcBorders>
              <w:left w:val="nil"/>
              <w:bottom w:val="nil"/>
              <w:right w:val="nil"/>
            </w:tcBorders>
            <w:vAlign w:val="top"/>
          </w:tcPr>
          <w:p w14:paraId="3EDB1C4E">
            <w:pPr>
              <w:pStyle w:val="8"/>
              <w:spacing w:before="190" w:line="238" w:lineRule="exact"/>
              <w:ind w:left="353"/>
            </w:pPr>
            <w:r>
              <w:rPr>
                <w:color w:val="5F6A72"/>
                <w:spacing w:val="-6"/>
                <w:position w:val="1"/>
              </w:rPr>
              <w:t>49.3</w:t>
            </w:r>
          </w:p>
        </w:tc>
        <w:tc>
          <w:tcPr>
            <w:tcW w:w="1021" w:type="dxa"/>
            <w:tcBorders>
              <w:left w:val="nil"/>
              <w:bottom w:val="nil"/>
              <w:right w:val="nil"/>
            </w:tcBorders>
            <w:vAlign w:val="top"/>
          </w:tcPr>
          <w:p w14:paraId="4C366C65">
            <w:pPr>
              <w:pStyle w:val="8"/>
              <w:spacing w:before="235" w:line="114" w:lineRule="exact"/>
              <w:ind w:left="470"/>
            </w:pPr>
            <w:r>
              <w:rPr>
                <w:color w:val="5F6A72"/>
                <w:position w:val="-7"/>
              </w:rPr>
              <w:t>~</w:t>
            </w:r>
          </w:p>
        </w:tc>
        <w:tc>
          <w:tcPr>
            <w:tcW w:w="1020" w:type="dxa"/>
            <w:tcBorders>
              <w:left w:val="nil"/>
              <w:bottom w:val="nil"/>
              <w:right w:val="nil"/>
            </w:tcBorders>
            <w:vAlign w:val="top"/>
          </w:tcPr>
          <w:p w14:paraId="258D6AF1">
            <w:pPr>
              <w:pStyle w:val="8"/>
              <w:spacing w:before="235" w:line="114" w:lineRule="exact"/>
              <w:ind w:left="470"/>
            </w:pPr>
            <w:r>
              <w:rPr>
                <w:color w:val="5F6A72"/>
                <w:position w:val="-7"/>
              </w:rPr>
              <w:t>~</w:t>
            </w:r>
          </w:p>
        </w:tc>
      </w:tr>
    </w:tbl>
    <w:p w14:paraId="3226CF48">
      <w:pPr>
        <w:pStyle w:val="4"/>
        <w:spacing w:before="150" w:line="235" w:lineRule="auto"/>
        <w:ind w:left="372"/>
        <w:rPr>
          <w:sz w:val="15"/>
          <w:szCs w:val="15"/>
        </w:rPr>
      </w:pPr>
      <w:r>
        <w:drawing>
          <wp:anchor distT="0" distB="0" distL="0" distR="0" simplePos="0" relativeHeight="251866112"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0C635B6D">
      <w:pPr>
        <w:spacing w:line="235" w:lineRule="auto"/>
        <w:rPr>
          <w:sz w:val="15"/>
          <w:szCs w:val="15"/>
        </w:rPr>
        <w:sectPr>
          <w:footerReference r:id="rId53" w:type="default"/>
          <w:pgSz w:w="11906" w:h="16838"/>
          <w:pgMar w:top="400" w:right="490" w:bottom="883" w:left="490" w:header="0" w:footer="0" w:gutter="0"/>
          <w:cols w:space="720" w:num="1"/>
        </w:sectPr>
      </w:pPr>
    </w:p>
    <w:p w14:paraId="16CF7EB7">
      <w:pPr>
        <w:pStyle w:val="4"/>
        <w:spacing w:before="73" w:line="241" w:lineRule="auto"/>
        <w:ind w:left="7372"/>
        <w:rPr>
          <w:sz w:val="20"/>
          <w:szCs w:val="20"/>
        </w:rPr>
      </w:pPr>
      <w:r>
        <w:drawing>
          <wp:anchor distT="0" distB="0" distL="0" distR="0" simplePos="0" relativeHeight="25187123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72256" behindDoc="0" locked="0" layoutInCell="0" allowOverlap="1">
            <wp:simplePos x="0" y="0"/>
            <wp:positionH relativeFrom="page">
              <wp:posOffset>311150</wp:posOffset>
            </wp:positionH>
            <wp:positionV relativeFrom="page">
              <wp:posOffset>0</wp:posOffset>
            </wp:positionV>
            <wp:extent cx="19050" cy="814070"/>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DD28677">
      <w:pPr>
        <w:pStyle w:val="4"/>
        <w:spacing w:line="278" w:lineRule="auto"/>
      </w:pPr>
    </w:p>
    <w:p w14:paraId="7B5DA8B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7745CE9">
      <w:pPr>
        <w:pStyle w:val="4"/>
        <w:spacing w:line="311" w:lineRule="auto"/>
      </w:pPr>
    </w:p>
    <w:p w14:paraId="19B50B57">
      <w:pPr>
        <w:pStyle w:val="4"/>
        <w:spacing w:line="312" w:lineRule="auto"/>
      </w:pPr>
    </w:p>
    <w:p w14:paraId="6E48E0AD">
      <w:pPr>
        <w:pStyle w:val="4"/>
        <w:spacing w:before="69" w:line="234" w:lineRule="auto"/>
        <w:ind w:left="427"/>
        <w:rPr>
          <w:sz w:val="24"/>
          <w:szCs w:val="24"/>
        </w:rPr>
      </w:pPr>
      <w:r>
        <w:rPr>
          <w:color w:val="174174"/>
          <w:spacing w:val="-10"/>
          <w:sz w:val="24"/>
          <w:szCs w:val="24"/>
        </w:rPr>
        <w:t>Latin</w:t>
      </w:r>
      <w:r>
        <w:rPr>
          <w:color w:val="174174"/>
          <w:spacing w:val="-23"/>
          <w:sz w:val="24"/>
          <w:szCs w:val="24"/>
        </w:rPr>
        <w:t xml:space="preserve"> </w:t>
      </w:r>
      <w:r>
        <w:rPr>
          <w:color w:val="174174"/>
          <w:spacing w:val="-10"/>
          <w:sz w:val="24"/>
          <w:szCs w:val="24"/>
        </w:rPr>
        <w:t>America Upstream In</w:t>
      </w:r>
      <w:r>
        <w:rPr>
          <w:color w:val="174174"/>
          <w:spacing w:val="-11"/>
          <w:sz w:val="24"/>
          <w:szCs w:val="24"/>
        </w:rPr>
        <w:t>dustry Rewards</w:t>
      </w:r>
    </w:p>
    <w:p w14:paraId="52855845">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458"/>
        <w:gridCol w:w="1458"/>
        <w:gridCol w:w="1458"/>
        <w:gridCol w:w="1457"/>
        <w:gridCol w:w="1458"/>
        <w:gridCol w:w="1458"/>
        <w:gridCol w:w="1457"/>
      </w:tblGrid>
      <w:tr w14:paraId="722E161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844" w:hRule="atLeast"/>
        </w:trPr>
        <w:tc>
          <w:tcPr>
            <w:tcW w:w="1458" w:type="dxa"/>
            <w:tcBorders>
              <w:left w:val="nil"/>
            </w:tcBorders>
            <w:vAlign w:val="top"/>
          </w:tcPr>
          <w:p w14:paraId="0D70784F">
            <w:pPr>
              <w:pStyle w:val="8"/>
              <w:rPr>
                <w:sz w:val="21"/>
              </w:rPr>
            </w:pPr>
          </w:p>
        </w:tc>
        <w:tc>
          <w:tcPr>
            <w:tcW w:w="1458" w:type="dxa"/>
            <w:tcBorders>
              <w:right w:val="nil"/>
            </w:tcBorders>
            <w:vAlign w:val="top"/>
          </w:tcPr>
          <w:p w14:paraId="052E4BED">
            <w:pPr>
              <w:pStyle w:val="8"/>
              <w:spacing w:before="111" w:line="187" w:lineRule="auto"/>
              <w:ind w:left="240"/>
            </w:pPr>
            <w:r>
              <w:rPr>
                <w:b/>
                <w:bCs/>
                <w:color w:val="5F6A72"/>
                <w:spacing w:val="-9"/>
              </w:rPr>
              <w:t>Oil Reserves</w:t>
            </w:r>
          </w:p>
        </w:tc>
        <w:tc>
          <w:tcPr>
            <w:tcW w:w="1458" w:type="dxa"/>
            <w:tcBorders>
              <w:left w:val="nil"/>
              <w:right w:val="nil"/>
            </w:tcBorders>
            <w:vAlign w:val="top"/>
          </w:tcPr>
          <w:p w14:paraId="0F7665CE">
            <w:pPr>
              <w:pStyle w:val="8"/>
              <w:spacing w:before="111" w:line="187" w:lineRule="auto"/>
              <w:ind w:left="207"/>
            </w:pPr>
            <w:r>
              <w:rPr>
                <w:b/>
                <w:bCs/>
                <w:color w:val="5F6A72"/>
                <w:spacing w:val="-11"/>
              </w:rPr>
              <w:t>Gas Reserves</w:t>
            </w:r>
          </w:p>
        </w:tc>
        <w:tc>
          <w:tcPr>
            <w:tcW w:w="1457" w:type="dxa"/>
            <w:tcBorders>
              <w:left w:val="nil"/>
              <w:right w:val="nil"/>
            </w:tcBorders>
            <w:vAlign w:val="top"/>
          </w:tcPr>
          <w:p w14:paraId="07700311">
            <w:pPr>
              <w:pStyle w:val="8"/>
              <w:spacing w:before="70" w:line="243" w:lineRule="exact"/>
              <w:ind w:left="281"/>
            </w:pPr>
            <w:r>
              <w:rPr>
                <w:b/>
                <w:bCs/>
                <w:color w:val="5F6A72"/>
                <w:spacing w:val="-9"/>
                <w:position w:val="1"/>
              </w:rPr>
              <w:t>Discoveries</w:t>
            </w:r>
          </w:p>
          <w:p w14:paraId="3B6D68C5">
            <w:pPr>
              <w:pStyle w:val="8"/>
              <w:spacing w:before="50" w:line="183" w:lineRule="auto"/>
              <w:ind w:left="559"/>
            </w:pPr>
            <w:r>
              <w:rPr>
                <w:b/>
                <w:bCs/>
                <w:color w:val="5F6A72"/>
                <w:spacing w:val="-8"/>
              </w:rPr>
              <w:t>Rate</w:t>
            </w:r>
          </w:p>
        </w:tc>
        <w:tc>
          <w:tcPr>
            <w:tcW w:w="1458" w:type="dxa"/>
            <w:tcBorders>
              <w:left w:val="nil"/>
              <w:right w:val="nil"/>
            </w:tcBorders>
            <w:vAlign w:val="top"/>
          </w:tcPr>
          <w:p w14:paraId="4C576882">
            <w:pPr>
              <w:pStyle w:val="8"/>
              <w:spacing w:before="70" w:line="241" w:lineRule="auto"/>
              <w:ind w:left="226"/>
            </w:pPr>
            <w:r>
              <w:rPr>
                <w:b/>
                <w:bCs/>
                <w:color w:val="5F6A72"/>
                <w:spacing w:val="-9"/>
              </w:rPr>
              <w:t>Hydrocarbon</w:t>
            </w:r>
          </w:p>
          <w:p w14:paraId="07A8ADC5">
            <w:pPr>
              <w:pStyle w:val="8"/>
              <w:spacing w:before="42" w:line="243" w:lineRule="exact"/>
              <w:ind w:left="302"/>
            </w:pPr>
            <w:r>
              <w:rPr>
                <w:b/>
                <w:bCs/>
                <w:color w:val="5F6A72"/>
                <w:spacing w:val="-8"/>
                <w:position w:val="1"/>
              </w:rPr>
              <w:t>Production</w:t>
            </w:r>
          </w:p>
        </w:tc>
        <w:tc>
          <w:tcPr>
            <w:tcW w:w="1458" w:type="dxa"/>
            <w:tcBorders>
              <w:left w:val="nil"/>
              <w:right w:val="nil"/>
            </w:tcBorders>
            <w:vAlign w:val="top"/>
          </w:tcPr>
          <w:p w14:paraId="23AC0682">
            <w:pPr>
              <w:pStyle w:val="8"/>
              <w:spacing w:before="70" w:line="241" w:lineRule="auto"/>
              <w:ind w:left="225"/>
            </w:pPr>
            <w:r>
              <w:rPr>
                <w:b/>
                <w:bCs/>
                <w:color w:val="5F6A72"/>
                <w:spacing w:val="-9"/>
              </w:rPr>
              <w:t>Hydrocarbon</w:t>
            </w:r>
          </w:p>
          <w:p w14:paraId="163F263E">
            <w:pPr>
              <w:pStyle w:val="8"/>
              <w:spacing w:before="42" w:line="243" w:lineRule="exact"/>
              <w:ind w:left="302"/>
            </w:pPr>
            <w:r>
              <w:rPr>
                <w:b/>
                <w:bCs/>
                <w:color w:val="5F6A72"/>
                <w:spacing w:val="-8"/>
                <w:position w:val="1"/>
              </w:rPr>
              <w:t>Production</w:t>
            </w:r>
          </w:p>
          <w:p w14:paraId="622EED53">
            <w:pPr>
              <w:pStyle w:val="8"/>
              <w:spacing w:before="6" w:line="243" w:lineRule="exact"/>
              <w:ind w:left="448"/>
            </w:pPr>
            <w:r>
              <w:rPr>
                <w:b/>
                <w:bCs/>
                <w:color w:val="5F6A72"/>
                <w:spacing w:val="-10"/>
                <w:position w:val="1"/>
              </w:rPr>
              <w:t>Growth</w:t>
            </w:r>
          </w:p>
        </w:tc>
        <w:tc>
          <w:tcPr>
            <w:tcW w:w="1457" w:type="dxa"/>
            <w:tcBorders>
              <w:left w:val="nil"/>
              <w:right w:val="nil"/>
            </w:tcBorders>
            <w:shd w:val="clear" w:color="auto" w:fill="A1D7EF"/>
            <w:vAlign w:val="top"/>
          </w:tcPr>
          <w:p w14:paraId="4F8C431B">
            <w:pPr>
              <w:pStyle w:val="8"/>
              <w:spacing w:before="70" w:line="241" w:lineRule="auto"/>
              <w:ind w:left="404"/>
            </w:pPr>
            <w:r>
              <w:rPr>
                <w:b/>
                <w:bCs/>
                <w:color w:val="5F6A72"/>
                <w:spacing w:val="-6"/>
              </w:rPr>
              <w:t>Industry</w:t>
            </w:r>
          </w:p>
          <w:p w14:paraId="6C55E188">
            <w:pPr>
              <w:pStyle w:val="8"/>
              <w:spacing w:before="42" w:line="243" w:lineRule="exact"/>
              <w:ind w:left="404"/>
            </w:pPr>
            <w:r>
              <w:rPr>
                <w:b/>
                <w:bCs/>
                <w:color w:val="5F6A72"/>
                <w:spacing w:val="-11"/>
                <w:position w:val="1"/>
              </w:rPr>
              <w:t>Rewards</w:t>
            </w:r>
          </w:p>
        </w:tc>
      </w:tr>
      <w:tr w14:paraId="2B40F54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vAlign w:val="top"/>
          </w:tcPr>
          <w:p w14:paraId="774D07F9">
            <w:pPr>
              <w:pStyle w:val="8"/>
              <w:spacing w:before="65" w:line="237" w:lineRule="exact"/>
              <w:ind w:left="18"/>
            </w:pPr>
            <w:r>
              <w:rPr>
                <w:color w:val="2A8ABF"/>
                <w:spacing w:val="-12"/>
                <w:position w:val="1"/>
              </w:rPr>
              <w:t>Brazil</w:t>
            </w:r>
          </w:p>
        </w:tc>
        <w:tc>
          <w:tcPr>
            <w:tcW w:w="1458" w:type="dxa"/>
            <w:tcBorders>
              <w:right w:val="nil"/>
            </w:tcBorders>
            <w:vAlign w:val="top"/>
          </w:tcPr>
          <w:p w14:paraId="62CF8092">
            <w:pPr>
              <w:pStyle w:val="8"/>
              <w:spacing w:before="65" w:line="237" w:lineRule="exact"/>
              <w:ind w:left="575"/>
            </w:pPr>
            <w:r>
              <w:rPr>
                <w:color w:val="5F6A72"/>
                <w:spacing w:val="-7"/>
                <w:position w:val="1"/>
              </w:rPr>
              <w:t>19.7</w:t>
            </w:r>
          </w:p>
        </w:tc>
        <w:tc>
          <w:tcPr>
            <w:tcW w:w="1458" w:type="dxa"/>
            <w:tcBorders>
              <w:left w:val="nil"/>
              <w:right w:val="nil"/>
            </w:tcBorders>
            <w:vAlign w:val="top"/>
          </w:tcPr>
          <w:p w14:paraId="3DF96D08">
            <w:pPr>
              <w:pStyle w:val="8"/>
              <w:spacing w:before="65" w:line="237" w:lineRule="exact"/>
              <w:ind w:left="571"/>
            </w:pPr>
            <w:r>
              <w:rPr>
                <w:color w:val="5F6A72"/>
                <w:spacing w:val="-6"/>
                <w:position w:val="1"/>
              </w:rPr>
              <w:t>42.3</w:t>
            </w:r>
          </w:p>
        </w:tc>
        <w:tc>
          <w:tcPr>
            <w:tcW w:w="1457" w:type="dxa"/>
            <w:tcBorders>
              <w:left w:val="nil"/>
              <w:right w:val="nil"/>
            </w:tcBorders>
            <w:vAlign w:val="top"/>
          </w:tcPr>
          <w:p w14:paraId="15946C14">
            <w:pPr>
              <w:pStyle w:val="8"/>
              <w:spacing w:before="65" w:line="237" w:lineRule="exact"/>
              <w:ind w:left="623"/>
            </w:pPr>
            <w:r>
              <w:rPr>
                <w:color w:val="5F6A72"/>
                <w:spacing w:val="-6"/>
                <w:position w:val="1"/>
              </w:rPr>
              <w:t>2.8</w:t>
            </w:r>
          </w:p>
        </w:tc>
        <w:tc>
          <w:tcPr>
            <w:tcW w:w="1458" w:type="dxa"/>
            <w:tcBorders>
              <w:left w:val="nil"/>
              <w:right w:val="nil"/>
            </w:tcBorders>
            <w:vAlign w:val="top"/>
          </w:tcPr>
          <w:p w14:paraId="0B486B60">
            <w:pPr>
              <w:pStyle w:val="8"/>
              <w:spacing w:before="65" w:line="239" w:lineRule="exact"/>
              <w:ind w:left="579"/>
            </w:pPr>
            <w:r>
              <w:rPr>
                <w:color w:val="5F6A72"/>
                <w:spacing w:val="-7"/>
                <w:position w:val="1"/>
              </w:rPr>
              <w:t>12.7</w:t>
            </w:r>
          </w:p>
        </w:tc>
        <w:tc>
          <w:tcPr>
            <w:tcW w:w="1458" w:type="dxa"/>
            <w:tcBorders>
              <w:left w:val="nil"/>
              <w:right w:val="nil"/>
            </w:tcBorders>
            <w:vAlign w:val="top"/>
          </w:tcPr>
          <w:p w14:paraId="2AB4F1DC">
            <w:pPr>
              <w:pStyle w:val="8"/>
              <w:spacing w:before="65" w:line="237" w:lineRule="exact"/>
              <w:ind w:left="579"/>
            </w:pPr>
            <w:r>
              <w:rPr>
                <w:color w:val="5F6A72"/>
                <w:spacing w:val="-7"/>
                <w:position w:val="1"/>
              </w:rPr>
              <w:t>15.5</w:t>
            </w:r>
          </w:p>
        </w:tc>
        <w:tc>
          <w:tcPr>
            <w:tcW w:w="1457" w:type="dxa"/>
            <w:tcBorders>
              <w:left w:val="nil"/>
              <w:right w:val="nil"/>
            </w:tcBorders>
            <w:shd w:val="clear" w:color="auto" w:fill="A1D7EF"/>
            <w:vAlign w:val="top"/>
          </w:tcPr>
          <w:p w14:paraId="3E25D811">
            <w:pPr>
              <w:pStyle w:val="8"/>
              <w:spacing w:before="65" w:line="237" w:lineRule="exact"/>
              <w:ind w:left="579"/>
            </w:pPr>
            <w:r>
              <w:rPr>
                <w:color w:val="5F6A72"/>
                <w:spacing w:val="-7"/>
                <w:position w:val="1"/>
              </w:rPr>
              <w:t>18.6</w:t>
            </w:r>
          </w:p>
        </w:tc>
      </w:tr>
      <w:tr w14:paraId="4FB9E00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shd w:val="clear" w:color="auto" w:fill="EAF9FF"/>
            <w:vAlign w:val="top"/>
          </w:tcPr>
          <w:p w14:paraId="0D9307C1">
            <w:pPr>
              <w:pStyle w:val="8"/>
              <w:spacing w:before="65" w:line="234" w:lineRule="auto"/>
              <w:ind w:left="3"/>
            </w:pPr>
            <w:r>
              <w:rPr>
                <w:color w:val="2A8ABF"/>
                <w:spacing w:val="-4"/>
              </w:rPr>
              <w:t>Argentina</w:t>
            </w:r>
          </w:p>
        </w:tc>
        <w:tc>
          <w:tcPr>
            <w:tcW w:w="1458" w:type="dxa"/>
            <w:tcBorders>
              <w:right w:val="nil"/>
            </w:tcBorders>
            <w:shd w:val="clear" w:color="auto" w:fill="EAF9FF"/>
            <w:vAlign w:val="top"/>
          </w:tcPr>
          <w:p w14:paraId="347E12B0">
            <w:pPr>
              <w:pStyle w:val="8"/>
              <w:spacing w:before="65" w:line="237" w:lineRule="exact"/>
              <w:ind w:left="568"/>
            </w:pPr>
            <w:r>
              <w:rPr>
                <w:color w:val="5F6A72"/>
                <w:spacing w:val="-6"/>
                <w:position w:val="1"/>
              </w:rPr>
              <w:t>46.5</w:t>
            </w:r>
          </w:p>
        </w:tc>
        <w:tc>
          <w:tcPr>
            <w:tcW w:w="1458" w:type="dxa"/>
            <w:tcBorders>
              <w:left w:val="nil"/>
              <w:right w:val="nil"/>
            </w:tcBorders>
            <w:shd w:val="clear" w:color="auto" w:fill="EAF9FF"/>
            <w:vAlign w:val="top"/>
          </w:tcPr>
          <w:p w14:paraId="55601210">
            <w:pPr>
              <w:pStyle w:val="8"/>
              <w:spacing w:before="65" w:line="237" w:lineRule="exact"/>
              <w:ind w:left="571"/>
            </w:pPr>
            <w:r>
              <w:rPr>
                <w:color w:val="5F6A72"/>
                <w:spacing w:val="-6"/>
                <w:position w:val="1"/>
              </w:rPr>
              <w:t>45.1</w:t>
            </w:r>
          </w:p>
        </w:tc>
        <w:tc>
          <w:tcPr>
            <w:tcW w:w="1457" w:type="dxa"/>
            <w:tcBorders>
              <w:left w:val="nil"/>
              <w:right w:val="nil"/>
            </w:tcBorders>
            <w:shd w:val="clear" w:color="auto" w:fill="EAF9FF"/>
            <w:vAlign w:val="top"/>
          </w:tcPr>
          <w:p w14:paraId="68E735A3">
            <w:pPr>
              <w:pStyle w:val="8"/>
              <w:spacing w:before="65" w:line="237" w:lineRule="exact"/>
              <w:ind w:left="578"/>
            </w:pPr>
            <w:r>
              <w:rPr>
                <w:color w:val="5F6A72"/>
                <w:spacing w:val="-7"/>
                <w:position w:val="1"/>
              </w:rPr>
              <w:t>15.5</w:t>
            </w:r>
          </w:p>
        </w:tc>
        <w:tc>
          <w:tcPr>
            <w:tcW w:w="1458" w:type="dxa"/>
            <w:tcBorders>
              <w:left w:val="nil"/>
              <w:right w:val="nil"/>
            </w:tcBorders>
            <w:shd w:val="clear" w:color="auto" w:fill="EAF9FF"/>
            <w:vAlign w:val="top"/>
          </w:tcPr>
          <w:p w14:paraId="062C8539">
            <w:pPr>
              <w:pStyle w:val="8"/>
              <w:spacing w:before="65" w:line="237" w:lineRule="exact"/>
              <w:ind w:left="575"/>
            </w:pPr>
            <w:r>
              <w:rPr>
                <w:color w:val="5F6A72"/>
                <w:spacing w:val="-6"/>
                <w:position w:val="1"/>
              </w:rPr>
              <w:t>29.6</w:t>
            </w:r>
          </w:p>
        </w:tc>
        <w:tc>
          <w:tcPr>
            <w:tcW w:w="1458" w:type="dxa"/>
            <w:tcBorders>
              <w:left w:val="nil"/>
              <w:right w:val="nil"/>
            </w:tcBorders>
            <w:shd w:val="clear" w:color="auto" w:fill="EAF9FF"/>
            <w:vAlign w:val="top"/>
          </w:tcPr>
          <w:p w14:paraId="5C393DA6">
            <w:pPr>
              <w:pStyle w:val="8"/>
              <w:spacing w:before="65" w:line="237" w:lineRule="exact"/>
              <w:ind w:left="579"/>
            </w:pPr>
            <w:r>
              <w:rPr>
                <w:color w:val="5F6A72"/>
                <w:spacing w:val="-7"/>
                <w:position w:val="1"/>
              </w:rPr>
              <w:t>18.3</w:t>
            </w:r>
          </w:p>
        </w:tc>
        <w:tc>
          <w:tcPr>
            <w:tcW w:w="1457" w:type="dxa"/>
            <w:tcBorders>
              <w:left w:val="nil"/>
              <w:right w:val="nil"/>
            </w:tcBorders>
            <w:shd w:val="clear" w:color="auto" w:fill="A1D7EF"/>
            <w:vAlign w:val="top"/>
          </w:tcPr>
          <w:p w14:paraId="0C8596DF">
            <w:pPr>
              <w:pStyle w:val="8"/>
              <w:spacing w:before="65" w:line="237" w:lineRule="exact"/>
              <w:ind w:left="572"/>
            </w:pPr>
            <w:r>
              <w:rPr>
                <w:color w:val="5F6A72"/>
                <w:spacing w:val="-6"/>
                <w:position w:val="1"/>
              </w:rPr>
              <w:t>31.0</w:t>
            </w:r>
          </w:p>
        </w:tc>
      </w:tr>
      <w:tr w14:paraId="6D7CBEA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vAlign w:val="top"/>
          </w:tcPr>
          <w:p w14:paraId="2653D85B">
            <w:pPr>
              <w:pStyle w:val="8"/>
              <w:spacing w:before="105" w:line="184" w:lineRule="auto"/>
              <w:ind w:left="12"/>
            </w:pPr>
            <w:r>
              <w:rPr>
                <w:color w:val="2A8ABF"/>
                <w:spacing w:val="-13"/>
              </w:rPr>
              <w:t>Guyana</w:t>
            </w:r>
          </w:p>
        </w:tc>
        <w:tc>
          <w:tcPr>
            <w:tcW w:w="1458" w:type="dxa"/>
            <w:tcBorders>
              <w:right w:val="nil"/>
            </w:tcBorders>
            <w:vAlign w:val="top"/>
          </w:tcPr>
          <w:p w14:paraId="3E05DD87">
            <w:pPr>
              <w:pStyle w:val="8"/>
              <w:spacing w:before="65" w:line="238" w:lineRule="exact"/>
              <w:ind w:left="571"/>
            </w:pPr>
            <w:r>
              <w:rPr>
                <w:color w:val="5F6A72"/>
                <w:spacing w:val="-6"/>
                <w:position w:val="1"/>
              </w:rPr>
              <w:t>22.5</w:t>
            </w:r>
          </w:p>
        </w:tc>
        <w:tc>
          <w:tcPr>
            <w:tcW w:w="1458" w:type="dxa"/>
            <w:tcBorders>
              <w:left w:val="nil"/>
              <w:right w:val="nil"/>
            </w:tcBorders>
            <w:vAlign w:val="top"/>
          </w:tcPr>
          <w:p w14:paraId="127F19F9">
            <w:pPr>
              <w:pStyle w:val="8"/>
              <w:spacing w:before="65" w:line="238" w:lineRule="exact"/>
              <w:ind w:left="576"/>
            </w:pPr>
            <w:r>
              <w:rPr>
                <w:color w:val="5F6A72"/>
                <w:spacing w:val="-7"/>
                <w:position w:val="1"/>
              </w:rPr>
              <w:t>59.2</w:t>
            </w:r>
          </w:p>
        </w:tc>
        <w:tc>
          <w:tcPr>
            <w:tcW w:w="1457" w:type="dxa"/>
            <w:tcBorders>
              <w:left w:val="nil"/>
              <w:right w:val="nil"/>
            </w:tcBorders>
            <w:vAlign w:val="top"/>
          </w:tcPr>
          <w:p w14:paraId="33369842">
            <w:pPr>
              <w:pStyle w:val="8"/>
              <w:spacing w:before="65" w:line="238" w:lineRule="exact"/>
              <w:ind w:left="623"/>
            </w:pPr>
            <w:r>
              <w:rPr>
                <w:color w:val="5F6A72"/>
                <w:spacing w:val="-6"/>
                <w:position w:val="1"/>
              </w:rPr>
              <w:t>2.8</w:t>
            </w:r>
          </w:p>
        </w:tc>
        <w:tc>
          <w:tcPr>
            <w:tcW w:w="1458" w:type="dxa"/>
            <w:tcBorders>
              <w:left w:val="nil"/>
              <w:right w:val="nil"/>
            </w:tcBorders>
            <w:vAlign w:val="top"/>
          </w:tcPr>
          <w:p w14:paraId="789BC6C7">
            <w:pPr>
              <w:pStyle w:val="8"/>
              <w:spacing w:before="65" w:line="238" w:lineRule="exact"/>
              <w:ind w:left="572"/>
            </w:pPr>
            <w:r>
              <w:rPr>
                <w:color w:val="5F6A72"/>
                <w:spacing w:val="-6"/>
                <w:position w:val="1"/>
              </w:rPr>
              <w:t>43.7</w:t>
            </w:r>
          </w:p>
        </w:tc>
        <w:tc>
          <w:tcPr>
            <w:tcW w:w="1458" w:type="dxa"/>
            <w:tcBorders>
              <w:left w:val="nil"/>
              <w:right w:val="nil"/>
            </w:tcBorders>
            <w:vAlign w:val="top"/>
          </w:tcPr>
          <w:p w14:paraId="252DBCB3">
            <w:pPr>
              <w:pStyle w:val="8"/>
              <w:spacing w:before="65" w:line="238" w:lineRule="exact"/>
              <w:ind w:left="623"/>
            </w:pPr>
            <w:r>
              <w:rPr>
                <w:color w:val="5F6A72"/>
                <w:spacing w:val="-6"/>
                <w:position w:val="1"/>
              </w:rPr>
              <w:t>2.8</w:t>
            </w:r>
          </w:p>
        </w:tc>
        <w:tc>
          <w:tcPr>
            <w:tcW w:w="1457" w:type="dxa"/>
            <w:tcBorders>
              <w:left w:val="nil"/>
              <w:right w:val="nil"/>
            </w:tcBorders>
            <w:shd w:val="clear" w:color="auto" w:fill="A1D7EF"/>
            <w:vAlign w:val="top"/>
          </w:tcPr>
          <w:p w14:paraId="3E6B6FE0">
            <w:pPr>
              <w:pStyle w:val="8"/>
              <w:spacing w:before="65" w:line="238" w:lineRule="exact"/>
              <w:ind w:left="574"/>
            </w:pPr>
            <w:r>
              <w:rPr>
                <w:color w:val="5F6A72"/>
                <w:spacing w:val="-6"/>
                <w:position w:val="1"/>
              </w:rPr>
              <w:t>26.2</w:t>
            </w:r>
          </w:p>
        </w:tc>
      </w:tr>
      <w:tr w14:paraId="2439B7F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shd w:val="clear" w:color="auto" w:fill="EAF9FF"/>
            <w:vAlign w:val="top"/>
          </w:tcPr>
          <w:p w14:paraId="5AAD106C">
            <w:pPr>
              <w:pStyle w:val="8"/>
              <w:spacing w:before="66" w:line="237" w:lineRule="exact"/>
              <w:ind w:left="18"/>
            </w:pPr>
            <w:r>
              <w:rPr>
                <w:color w:val="2A8ABF"/>
                <w:spacing w:val="-11"/>
                <w:position w:val="1"/>
              </w:rPr>
              <w:t>Mexico</w:t>
            </w:r>
          </w:p>
        </w:tc>
        <w:tc>
          <w:tcPr>
            <w:tcW w:w="1458" w:type="dxa"/>
            <w:tcBorders>
              <w:right w:val="nil"/>
            </w:tcBorders>
            <w:shd w:val="clear" w:color="auto" w:fill="EAF9FF"/>
            <w:vAlign w:val="top"/>
          </w:tcPr>
          <w:p w14:paraId="1DD9FBE6">
            <w:pPr>
              <w:pStyle w:val="8"/>
              <w:spacing w:before="66" w:line="237" w:lineRule="exact"/>
              <w:ind w:left="571"/>
            </w:pPr>
            <w:r>
              <w:rPr>
                <w:color w:val="5F6A72"/>
                <w:spacing w:val="-6"/>
                <w:position w:val="1"/>
              </w:rPr>
              <w:t>28.2</w:t>
            </w:r>
          </w:p>
        </w:tc>
        <w:tc>
          <w:tcPr>
            <w:tcW w:w="1458" w:type="dxa"/>
            <w:tcBorders>
              <w:left w:val="nil"/>
              <w:right w:val="nil"/>
            </w:tcBorders>
            <w:shd w:val="clear" w:color="auto" w:fill="EAF9FF"/>
            <w:vAlign w:val="top"/>
          </w:tcPr>
          <w:p w14:paraId="2641F109">
            <w:pPr>
              <w:pStyle w:val="8"/>
              <w:spacing w:before="66" w:line="237" w:lineRule="exact"/>
              <w:ind w:left="576"/>
            </w:pPr>
            <w:r>
              <w:rPr>
                <w:color w:val="5F6A72"/>
                <w:spacing w:val="-7"/>
                <w:position w:val="1"/>
              </w:rPr>
              <w:t>52.1</w:t>
            </w:r>
          </w:p>
        </w:tc>
        <w:tc>
          <w:tcPr>
            <w:tcW w:w="1457" w:type="dxa"/>
            <w:tcBorders>
              <w:left w:val="nil"/>
              <w:right w:val="nil"/>
            </w:tcBorders>
            <w:shd w:val="clear" w:color="auto" w:fill="EAF9FF"/>
            <w:vAlign w:val="top"/>
          </w:tcPr>
          <w:p w14:paraId="78793858">
            <w:pPr>
              <w:pStyle w:val="8"/>
              <w:spacing w:before="66" w:line="237" w:lineRule="exact"/>
              <w:ind w:left="624"/>
            </w:pPr>
            <w:r>
              <w:rPr>
                <w:color w:val="5F6A72"/>
                <w:spacing w:val="-7"/>
                <w:position w:val="1"/>
              </w:rPr>
              <w:t>8.5</w:t>
            </w:r>
          </w:p>
        </w:tc>
        <w:tc>
          <w:tcPr>
            <w:tcW w:w="1458" w:type="dxa"/>
            <w:tcBorders>
              <w:left w:val="nil"/>
              <w:right w:val="nil"/>
            </w:tcBorders>
            <w:shd w:val="clear" w:color="auto" w:fill="EAF9FF"/>
            <w:vAlign w:val="top"/>
          </w:tcPr>
          <w:p w14:paraId="24E527F3">
            <w:pPr>
              <w:pStyle w:val="8"/>
              <w:spacing w:before="66" w:line="239" w:lineRule="exact"/>
              <w:ind w:left="575"/>
            </w:pPr>
            <w:r>
              <w:rPr>
                <w:color w:val="5F6A72"/>
                <w:spacing w:val="-6"/>
                <w:position w:val="1"/>
              </w:rPr>
              <w:t>21.1</w:t>
            </w:r>
          </w:p>
        </w:tc>
        <w:tc>
          <w:tcPr>
            <w:tcW w:w="1458" w:type="dxa"/>
            <w:tcBorders>
              <w:left w:val="nil"/>
              <w:right w:val="nil"/>
            </w:tcBorders>
            <w:shd w:val="clear" w:color="auto" w:fill="EAF9FF"/>
            <w:vAlign w:val="top"/>
          </w:tcPr>
          <w:p w14:paraId="33BB7E7D">
            <w:pPr>
              <w:pStyle w:val="8"/>
              <w:spacing w:before="66" w:line="237" w:lineRule="exact"/>
              <w:ind w:left="577"/>
            </w:pPr>
            <w:r>
              <w:rPr>
                <w:color w:val="5F6A72"/>
                <w:spacing w:val="-7"/>
                <w:position w:val="1"/>
              </w:rPr>
              <w:t>62.0</w:t>
            </w:r>
          </w:p>
        </w:tc>
        <w:tc>
          <w:tcPr>
            <w:tcW w:w="1457" w:type="dxa"/>
            <w:tcBorders>
              <w:left w:val="nil"/>
              <w:right w:val="nil"/>
            </w:tcBorders>
            <w:shd w:val="clear" w:color="auto" w:fill="A1D7EF"/>
            <w:vAlign w:val="top"/>
          </w:tcPr>
          <w:p w14:paraId="75ADCB6C">
            <w:pPr>
              <w:pStyle w:val="8"/>
              <w:spacing w:before="66" w:line="237" w:lineRule="exact"/>
              <w:ind w:left="572"/>
            </w:pPr>
            <w:r>
              <w:rPr>
                <w:color w:val="5F6A72"/>
                <w:spacing w:val="-6"/>
                <w:position w:val="1"/>
              </w:rPr>
              <w:t>34.4</w:t>
            </w:r>
          </w:p>
        </w:tc>
      </w:tr>
      <w:tr w14:paraId="55D520E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7" w:hRule="atLeast"/>
        </w:trPr>
        <w:tc>
          <w:tcPr>
            <w:tcW w:w="1458" w:type="dxa"/>
            <w:tcBorders>
              <w:left w:val="nil"/>
            </w:tcBorders>
            <w:vAlign w:val="top"/>
          </w:tcPr>
          <w:p w14:paraId="4C8CFF9C">
            <w:pPr>
              <w:pStyle w:val="8"/>
              <w:spacing w:before="65" w:line="271" w:lineRule="auto"/>
              <w:ind w:left="5" w:right="533"/>
            </w:pPr>
            <w:r>
              <w:rPr>
                <w:color w:val="2A8ABF"/>
                <w:spacing w:val="-9"/>
              </w:rPr>
              <w:t>Trinidad</w:t>
            </w:r>
            <w:r>
              <w:rPr>
                <w:color w:val="2A8ABF"/>
                <w:spacing w:val="-11"/>
              </w:rPr>
              <w:t xml:space="preserve"> </w:t>
            </w:r>
            <w:r>
              <w:rPr>
                <w:color w:val="2A8ABF"/>
                <w:spacing w:val="-9"/>
              </w:rPr>
              <w:t>And</w:t>
            </w:r>
            <w:r>
              <w:rPr>
                <w:color w:val="2A8ABF"/>
              </w:rPr>
              <w:t xml:space="preserve"> </w:t>
            </w:r>
            <w:r>
              <w:rPr>
                <w:color w:val="2A8ABF"/>
                <w:spacing w:val="-11"/>
              </w:rPr>
              <w:t>Tobago</w:t>
            </w:r>
          </w:p>
        </w:tc>
        <w:tc>
          <w:tcPr>
            <w:tcW w:w="1458" w:type="dxa"/>
            <w:tcBorders>
              <w:right w:val="nil"/>
            </w:tcBorders>
            <w:vAlign w:val="top"/>
          </w:tcPr>
          <w:p w14:paraId="5327D335">
            <w:pPr>
              <w:pStyle w:val="8"/>
              <w:spacing w:before="191" w:line="237" w:lineRule="exact"/>
              <w:ind w:left="568"/>
            </w:pPr>
            <w:r>
              <w:rPr>
                <w:color w:val="5F6A72"/>
                <w:spacing w:val="-6"/>
                <w:position w:val="1"/>
              </w:rPr>
              <w:t>70.4</w:t>
            </w:r>
          </w:p>
        </w:tc>
        <w:tc>
          <w:tcPr>
            <w:tcW w:w="1458" w:type="dxa"/>
            <w:tcBorders>
              <w:left w:val="nil"/>
              <w:right w:val="nil"/>
            </w:tcBorders>
            <w:vAlign w:val="top"/>
          </w:tcPr>
          <w:p w14:paraId="426CF089">
            <w:pPr>
              <w:pStyle w:val="8"/>
              <w:spacing w:before="191" w:line="237" w:lineRule="exact"/>
              <w:ind w:left="576"/>
            </w:pPr>
            <w:r>
              <w:rPr>
                <w:color w:val="5F6A72"/>
                <w:spacing w:val="-7"/>
                <w:position w:val="1"/>
              </w:rPr>
              <w:t>53.5</w:t>
            </w:r>
          </w:p>
        </w:tc>
        <w:tc>
          <w:tcPr>
            <w:tcW w:w="1457" w:type="dxa"/>
            <w:tcBorders>
              <w:left w:val="nil"/>
              <w:right w:val="nil"/>
            </w:tcBorders>
            <w:vAlign w:val="top"/>
          </w:tcPr>
          <w:p w14:paraId="7B2C9AD9">
            <w:pPr>
              <w:pStyle w:val="8"/>
              <w:spacing w:before="191" w:line="237" w:lineRule="exact"/>
              <w:ind w:left="576"/>
            </w:pPr>
            <w:r>
              <w:rPr>
                <w:color w:val="5F6A72"/>
                <w:spacing w:val="-7"/>
                <w:position w:val="1"/>
              </w:rPr>
              <w:t>51.4</w:t>
            </w:r>
          </w:p>
        </w:tc>
        <w:tc>
          <w:tcPr>
            <w:tcW w:w="1458" w:type="dxa"/>
            <w:tcBorders>
              <w:left w:val="nil"/>
              <w:right w:val="nil"/>
            </w:tcBorders>
            <w:vAlign w:val="top"/>
          </w:tcPr>
          <w:p w14:paraId="23838B07">
            <w:pPr>
              <w:pStyle w:val="8"/>
              <w:spacing w:before="191" w:line="237" w:lineRule="exact"/>
              <w:ind w:left="572"/>
            </w:pPr>
            <w:r>
              <w:rPr>
                <w:color w:val="5F6A72"/>
                <w:spacing w:val="-6"/>
                <w:position w:val="1"/>
              </w:rPr>
              <w:t>49.3</w:t>
            </w:r>
          </w:p>
        </w:tc>
        <w:tc>
          <w:tcPr>
            <w:tcW w:w="1458" w:type="dxa"/>
            <w:tcBorders>
              <w:left w:val="nil"/>
              <w:right w:val="nil"/>
            </w:tcBorders>
            <w:vAlign w:val="top"/>
          </w:tcPr>
          <w:p w14:paraId="7E41E6A6">
            <w:pPr>
              <w:pStyle w:val="8"/>
              <w:spacing w:before="191" w:line="237" w:lineRule="exact"/>
              <w:ind w:left="572"/>
            </w:pPr>
            <w:r>
              <w:rPr>
                <w:color w:val="5F6A72"/>
                <w:spacing w:val="-6"/>
                <w:position w:val="1"/>
              </w:rPr>
              <w:t>36.6</w:t>
            </w:r>
          </w:p>
        </w:tc>
        <w:tc>
          <w:tcPr>
            <w:tcW w:w="1457" w:type="dxa"/>
            <w:tcBorders>
              <w:left w:val="nil"/>
              <w:right w:val="nil"/>
            </w:tcBorders>
            <w:shd w:val="clear" w:color="auto" w:fill="A1D7EF"/>
            <w:vAlign w:val="top"/>
          </w:tcPr>
          <w:p w14:paraId="14323ACB">
            <w:pPr>
              <w:pStyle w:val="8"/>
              <w:spacing w:before="191" w:line="237" w:lineRule="exact"/>
              <w:ind w:left="576"/>
            </w:pPr>
            <w:r>
              <w:rPr>
                <w:color w:val="5F6A72"/>
                <w:spacing w:val="-7"/>
                <w:position w:val="1"/>
              </w:rPr>
              <w:t>52.3</w:t>
            </w:r>
          </w:p>
        </w:tc>
      </w:tr>
      <w:tr w14:paraId="0D6FD98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shd w:val="clear" w:color="auto" w:fill="EAF9FF"/>
            <w:vAlign w:val="top"/>
          </w:tcPr>
          <w:p w14:paraId="1296DE03">
            <w:pPr>
              <w:pStyle w:val="8"/>
              <w:spacing w:before="66" w:line="237" w:lineRule="exact"/>
              <w:ind w:left="18"/>
            </w:pPr>
            <w:r>
              <w:rPr>
                <w:color w:val="2A8ABF"/>
                <w:spacing w:val="-8"/>
                <w:position w:val="1"/>
              </w:rPr>
              <w:t>Bolivia</w:t>
            </w:r>
          </w:p>
        </w:tc>
        <w:tc>
          <w:tcPr>
            <w:tcW w:w="1458" w:type="dxa"/>
            <w:tcBorders>
              <w:right w:val="nil"/>
            </w:tcBorders>
            <w:shd w:val="clear" w:color="auto" w:fill="EAF9FF"/>
            <w:vAlign w:val="top"/>
          </w:tcPr>
          <w:p w14:paraId="5E4C0E38">
            <w:pPr>
              <w:pStyle w:val="8"/>
              <w:spacing w:before="66" w:line="237" w:lineRule="exact"/>
              <w:ind w:left="568"/>
            </w:pPr>
            <w:r>
              <w:rPr>
                <w:color w:val="5F6A72"/>
                <w:spacing w:val="-6"/>
                <w:position w:val="1"/>
              </w:rPr>
              <w:t>71.8</w:t>
            </w:r>
          </w:p>
        </w:tc>
        <w:tc>
          <w:tcPr>
            <w:tcW w:w="1458" w:type="dxa"/>
            <w:tcBorders>
              <w:left w:val="nil"/>
              <w:right w:val="nil"/>
            </w:tcBorders>
            <w:shd w:val="clear" w:color="auto" w:fill="EAF9FF"/>
            <w:vAlign w:val="top"/>
          </w:tcPr>
          <w:p w14:paraId="1F2F5E14">
            <w:pPr>
              <w:pStyle w:val="8"/>
              <w:spacing w:before="66" w:line="237" w:lineRule="exact"/>
              <w:ind w:left="571"/>
            </w:pPr>
            <w:r>
              <w:rPr>
                <w:color w:val="5F6A72"/>
                <w:spacing w:val="-6"/>
                <w:position w:val="1"/>
              </w:rPr>
              <w:t>47.9</w:t>
            </w:r>
          </w:p>
        </w:tc>
        <w:tc>
          <w:tcPr>
            <w:tcW w:w="1457" w:type="dxa"/>
            <w:tcBorders>
              <w:left w:val="nil"/>
              <w:right w:val="nil"/>
            </w:tcBorders>
            <w:shd w:val="clear" w:color="auto" w:fill="EAF9FF"/>
            <w:vAlign w:val="top"/>
          </w:tcPr>
          <w:p w14:paraId="0306B327">
            <w:pPr>
              <w:pStyle w:val="8"/>
              <w:spacing w:before="66" w:line="237" w:lineRule="exact"/>
              <w:ind w:left="571"/>
            </w:pPr>
            <w:r>
              <w:rPr>
                <w:color w:val="5F6A72"/>
                <w:spacing w:val="-6"/>
                <w:position w:val="1"/>
              </w:rPr>
              <w:t>38.7</w:t>
            </w:r>
          </w:p>
        </w:tc>
        <w:tc>
          <w:tcPr>
            <w:tcW w:w="1458" w:type="dxa"/>
            <w:tcBorders>
              <w:left w:val="nil"/>
              <w:right w:val="nil"/>
            </w:tcBorders>
            <w:shd w:val="clear" w:color="auto" w:fill="EAF9FF"/>
            <w:vAlign w:val="top"/>
          </w:tcPr>
          <w:p w14:paraId="77171812">
            <w:pPr>
              <w:pStyle w:val="8"/>
              <w:spacing w:before="66" w:line="237" w:lineRule="exact"/>
              <w:ind w:left="577"/>
            </w:pPr>
            <w:r>
              <w:rPr>
                <w:color w:val="5F6A72"/>
                <w:spacing w:val="-7"/>
                <w:position w:val="1"/>
              </w:rPr>
              <w:t>62.0</w:t>
            </w:r>
          </w:p>
        </w:tc>
        <w:tc>
          <w:tcPr>
            <w:tcW w:w="1458" w:type="dxa"/>
            <w:tcBorders>
              <w:left w:val="nil"/>
              <w:right w:val="nil"/>
            </w:tcBorders>
            <w:shd w:val="clear" w:color="auto" w:fill="EAF9FF"/>
            <w:vAlign w:val="top"/>
          </w:tcPr>
          <w:p w14:paraId="7EE88748">
            <w:pPr>
              <w:pStyle w:val="8"/>
              <w:spacing w:before="66" w:line="237" w:lineRule="exact"/>
              <w:ind w:left="572"/>
            </w:pPr>
            <w:r>
              <w:rPr>
                <w:color w:val="5F6A72"/>
                <w:spacing w:val="-6"/>
                <w:position w:val="1"/>
              </w:rPr>
              <w:t>77.5</w:t>
            </w:r>
          </w:p>
        </w:tc>
        <w:tc>
          <w:tcPr>
            <w:tcW w:w="1457" w:type="dxa"/>
            <w:tcBorders>
              <w:left w:val="nil"/>
              <w:right w:val="nil"/>
            </w:tcBorders>
            <w:shd w:val="clear" w:color="auto" w:fill="A1D7EF"/>
            <w:vAlign w:val="top"/>
          </w:tcPr>
          <w:p w14:paraId="434D46BF">
            <w:pPr>
              <w:pStyle w:val="8"/>
              <w:spacing w:before="66" w:line="237" w:lineRule="exact"/>
              <w:ind w:left="576"/>
            </w:pPr>
            <w:r>
              <w:rPr>
                <w:color w:val="5F6A72"/>
                <w:spacing w:val="-7"/>
                <w:position w:val="1"/>
              </w:rPr>
              <w:t>59.6</w:t>
            </w:r>
          </w:p>
        </w:tc>
      </w:tr>
      <w:tr w14:paraId="15FAF7A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vAlign w:val="top"/>
          </w:tcPr>
          <w:p w14:paraId="63EBE594">
            <w:pPr>
              <w:pStyle w:val="8"/>
              <w:spacing w:before="108" w:line="183" w:lineRule="auto"/>
              <w:ind w:left="18"/>
            </w:pPr>
            <w:r>
              <w:rPr>
                <w:color w:val="2A8ABF"/>
                <w:spacing w:val="-13"/>
              </w:rPr>
              <w:t>Peru</w:t>
            </w:r>
          </w:p>
        </w:tc>
        <w:tc>
          <w:tcPr>
            <w:tcW w:w="1458" w:type="dxa"/>
            <w:tcBorders>
              <w:right w:val="nil"/>
            </w:tcBorders>
            <w:vAlign w:val="top"/>
          </w:tcPr>
          <w:p w14:paraId="767C0572">
            <w:pPr>
              <w:pStyle w:val="8"/>
              <w:spacing w:before="66" w:line="237" w:lineRule="exact"/>
              <w:ind w:left="572"/>
            </w:pPr>
            <w:r>
              <w:rPr>
                <w:color w:val="5F6A72"/>
                <w:spacing w:val="-7"/>
                <w:position w:val="1"/>
              </w:rPr>
              <w:t>57.7</w:t>
            </w:r>
          </w:p>
        </w:tc>
        <w:tc>
          <w:tcPr>
            <w:tcW w:w="1458" w:type="dxa"/>
            <w:tcBorders>
              <w:left w:val="nil"/>
              <w:right w:val="nil"/>
            </w:tcBorders>
            <w:vAlign w:val="top"/>
          </w:tcPr>
          <w:p w14:paraId="70037C9C">
            <w:pPr>
              <w:pStyle w:val="8"/>
              <w:spacing w:before="66" w:line="237" w:lineRule="exact"/>
              <w:ind w:left="576"/>
            </w:pPr>
            <w:r>
              <w:rPr>
                <w:color w:val="5F6A72"/>
                <w:spacing w:val="-7"/>
                <w:position w:val="1"/>
              </w:rPr>
              <w:t>57.7</w:t>
            </w:r>
          </w:p>
        </w:tc>
        <w:tc>
          <w:tcPr>
            <w:tcW w:w="1457" w:type="dxa"/>
            <w:tcBorders>
              <w:left w:val="nil"/>
              <w:right w:val="nil"/>
            </w:tcBorders>
            <w:vAlign w:val="top"/>
          </w:tcPr>
          <w:p w14:paraId="715CCCCA">
            <w:pPr>
              <w:pStyle w:val="8"/>
              <w:spacing w:before="66" w:line="237" w:lineRule="exact"/>
              <w:ind w:left="575"/>
            </w:pPr>
            <w:r>
              <w:rPr>
                <w:color w:val="5F6A72"/>
                <w:spacing w:val="-7"/>
                <w:position w:val="1"/>
              </w:rPr>
              <w:t>85.2</w:t>
            </w:r>
          </w:p>
        </w:tc>
        <w:tc>
          <w:tcPr>
            <w:tcW w:w="1458" w:type="dxa"/>
            <w:tcBorders>
              <w:left w:val="nil"/>
              <w:right w:val="nil"/>
            </w:tcBorders>
            <w:vAlign w:val="top"/>
          </w:tcPr>
          <w:p w14:paraId="4B4B6FF4">
            <w:pPr>
              <w:pStyle w:val="8"/>
              <w:spacing w:before="66" w:line="237" w:lineRule="exact"/>
              <w:ind w:left="577"/>
            </w:pPr>
            <w:r>
              <w:rPr>
                <w:color w:val="5F6A72"/>
                <w:spacing w:val="-7"/>
                <w:position w:val="1"/>
              </w:rPr>
              <w:t>52.1</w:t>
            </w:r>
          </w:p>
        </w:tc>
        <w:tc>
          <w:tcPr>
            <w:tcW w:w="1458" w:type="dxa"/>
            <w:tcBorders>
              <w:left w:val="nil"/>
              <w:right w:val="nil"/>
            </w:tcBorders>
            <w:vAlign w:val="top"/>
          </w:tcPr>
          <w:p w14:paraId="446F8C75">
            <w:pPr>
              <w:pStyle w:val="8"/>
              <w:spacing w:before="66" w:line="237" w:lineRule="exact"/>
              <w:ind w:left="576"/>
            </w:pPr>
            <w:r>
              <w:rPr>
                <w:color w:val="5F6A72"/>
                <w:spacing w:val="-7"/>
                <w:position w:val="1"/>
              </w:rPr>
              <w:t>50.7</w:t>
            </w:r>
          </w:p>
        </w:tc>
        <w:tc>
          <w:tcPr>
            <w:tcW w:w="1457" w:type="dxa"/>
            <w:tcBorders>
              <w:left w:val="nil"/>
              <w:right w:val="nil"/>
            </w:tcBorders>
            <w:shd w:val="clear" w:color="auto" w:fill="A1D7EF"/>
            <w:vAlign w:val="top"/>
          </w:tcPr>
          <w:p w14:paraId="016C898D">
            <w:pPr>
              <w:pStyle w:val="8"/>
              <w:spacing w:before="66" w:line="237" w:lineRule="exact"/>
              <w:ind w:left="577"/>
            </w:pPr>
            <w:r>
              <w:rPr>
                <w:color w:val="5F6A72"/>
                <w:spacing w:val="-7"/>
                <w:position w:val="1"/>
              </w:rPr>
              <w:t>60.7</w:t>
            </w:r>
          </w:p>
        </w:tc>
      </w:tr>
      <w:tr w14:paraId="4E2CB17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shd w:val="clear" w:color="auto" w:fill="EAF9FF"/>
            <w:vAlign w:val="top"/>
          </w:tcPr>
          <w:p w14:paraId="3C3EB029">
            <w:pPr>
              <w:pStyle w:val="8"/>
              <w:spacing w:before="66" w:line="238" w:lineRule="exact"/>
              <w:ind w:left="12"/>
            </w:pPr>
            <w:r>
              <w:rPr>
                <w:color w:val="2A8ABF"/>
                <w:spacing w:val="-7"/>
                <w:position w:val="1"/>
              </w:rPr>
              <w:t>Colombia</w:t>
            </w:r>
          </w:p>
        </w:tc>
        <w:tc>
          <w:tcPr>
            <w:tcW w:w="1458" w:type="dxa"/>
            <w:tcBorders>
              <w:right w:val="nil"/>
            </w:tcBorders>
            <w:shd w:val="clear" w:color="auto" w:fill="EAF9FF"/>
            <w:vAlign w:val="top"/>
          </w:tcPr>
          <w:p w14:paraId="652B26BD">
            <w:pPr>
              <w:pStyle w:val="8"/>
              <w:spacing w:before="66" w:line="238" w:lineRule="exact"/>
              <w:ind w:left="572"/>
            </w:pPr>
            <w:r>
              <w:rPr>
                <w:color w:val="5F6A72"/>
                <w:spacing w:val="-7"/>
                <w:position w:val="1"/>
              </w:rPr>
              <w:t>50.7</w:t>
            </w:r>
          </w:p>
        </w:tc>
        <w:tc>
          <w:tcPr>
            <w:tcW w:w="1458" w:type="dxa"/>
            <w:tcBorders>
              <w:left w:val="nil"/>
              <w:right w:val="nil"/>
            </w:tcBorders>
            <w:shd w:val="clear" w:color="auto" w:fill="EAF9FF"/>
            <w:vAlign w:val="top"/>
          </w:tcPr>
          <w:p w14:paraId="2FA8B170">
            <w:pPr>
              <w:pStyle w:val="8"/>
              <w:spacing w:before="66" w:line="238" w:lineRule="exact"/>
              <w:ind w:left="571"/>
            </w:pPr>
            <w:r>
              <w:rPr>
                <w:color w:val="5F6A72"/>
                <w:spacing w:val="-6"/>
                <w:position w:val="1"/>
              </w:rPr>
              <w:t>73.2</w:t>
            </w:r>
          </w:p>
        </w:tc>
        <w:tc>
          <w:tcPr>
            <w:tcW w:w="1457" w:type="dxa"/>
            <w:tcBorders>
              <w:left w:val="nil"/>
              <w:right w:val="nil"/>
            </w:tcBorders>
            <w:shd w:val="clear" w:color="auto" w:fill="EAF9FF"/>
            <w:vAlign w:val="top"/>
          </w:tcPr>
          <w:p w14:paraId="5C4BD9FD">
            <w:pPr>
              <w:pStyle w:val="8"/>
              <w:spacing w:before="66" w:line="238" w:lineRule="exact"/>
              <w:ind w:left="576"/>
            </w:pPr>
            <w:r>
              <w:rPr>
                <w:color w:val="5F6A72"/>
                <w:spacing w:val="-7"/>
                <w:position w:val="1"/>
              </w:rPr>
              <w:t>57.7</w:t>
            </w:r>
          </w:p>
        </w:tc>
        <w:tc>
          <w:tcPr>
            <w:tcW w:w="1458" w:type="dxa"/>
            <w:tcBorders>
              <w:left w:val="nil"/>
              <w:right w:val="nil"/>
            </w:tcBorders>
            <w:shd w:val="clear" w:color="auto" w:fill="EAF9FF"/>
            <w:vAlign w:val="top"/>
          </w:tcPr>
          <w:p w14:paraId="5D36339B">
            <w:pPr>
              <w:pStyle w:val="8"/>
              <w:spacing w:before="66" w:line="238" w:lineRule="exact"/>
              <w:ind w:left="572"/>
            </w:pPr>
            <w:r>
              <w:rPr>
                <w:color w:val="5F6A72"/>
                <w:spacing w:val="-6"/>
                <w:position w:val="1"/>
              </w:rPr>
              <w:t>40.8</w:t>
            </w:r>
          </w:p>
        </w:tc>
        <w:tc>
          <w:tcPr>
            <w:tcW w:w="1458" w:type="dxa"/>
            <w:tcBorders>
              <w:left w:val="nil"/>
              <w:right w:val="nil"/>
            </w:tcBorders>
            <w:shd w:val="clear" w:color="auto" w:fill="EAF9FF"/>
            <w:vAlign w:val="top"/>
          </w:tcPr>
          <w:p w14:paraId="2090B1DF">
            <w:pPr>
              <w:pStyle w:val="8"/>
              <w:spacing w:before="66" w:line="238" w:lineRule="exact"/>
              <w:ind w:left="576"/>
            </w:pPr>
            <w:r>
              <w:rPr>
                <w:color w:val="5F6A72"/>
                <w:spacing w:val="-7"/>
                <w:position w:val="1"/>
              </w:rPr>
              <w:t>84.5</w:t>
            </w:r>
          </w:p>
        </w:tc>
        <w:tc>
          <w:tcPr>
            <w:tcW w:w="1457" w:type="dxa"/>
            <w:tcBorders>
              <w:left w:val="nil"/>
              <w:right w:val="nil"/>
            </w:tcBorders>
            <w:shd w:val="clear" w:color="auto" w:fill="A1D7EF"/>
            <w:vAlign w:val="top"/>
          </w:tcPr>
          <w:p w14:paraId="349F7FCF">
            <w:pPr>
              <w:pStyle w:val="8"/>
              <w:spacing w:before="66" w:line="238" w:lineRule="exact"/>
              <w:ind w:left="577"/>
            </w:pPr>
            <w:r>
              <w:rPr>
                <w:color w:val="5F6A72"/>
                <w:spacing w:val="-7"/>
                <w:position w:val="1"/>
              </w:rPr>
              <w:t>61.4</w:t>
            </w:r>
          </w:p>
        </w:tc>
      </w:tr>
      <w:tr w14:paraId="470E7A2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458" w:type="dxa"/>
            <w:tcBorders>
              <w:left w:val="nil"/>
            </w:tcBorders>
            <w:vAlign w:val="top"/>
          </w:tcPr>
          <w:p w14:paraId="47D63071">
            <w:pPr>
              <w:pStyle w:val="8"/>
              <w:spacing w:before="67" w:line="237" w:lineRule="exact"/>
              <w:ind w:left="3"/>
            </w:pPr>
            <w:r>
              <w:rPr>
                <w:color w:val="2A8ABF"/>
                <w:spacing w:val="-8"/>
                <w:position w:val="1"/>
              </w:rPr>
              <w:t>Venezuela</w:t>
            </w:r>
          </w:p>
        </w:tc>
        <w:tc>
          <w:tcPr>
            <w:tcW w:w="1458" w:type="dxa"/>
            <w:tcBorders>
              <w:right w:val="nil"/>
            </w:tcBorders>
            <w:vAlign w:val="top"/>
          </w:tcPr>
          <w:p w14:paraId="55A15E2A">
            <w:pPr>
              <w:pStyle w:val="8"/>
              <w:spacing w:before="67" w:line="237" w:lineRule="exact"/>
              <w:ind w:left="615"/>
            </w:pPr>
            <w:r>
              <w:rPr>
                <w:color w:val="5F6A72"/>
                <w:spacing w:val="-6"/>
                <w:position w:val="1"/>
              </w:rPr>
              <w:t>0.0</w:t>
            </w:r>
          </w:p>
        </w:tc>
        <w:tc>
          <w:tcPr>
            <w:tcW w:w="1458" w:type="dxa"/>
            <w:tcBorders>
              <w:left w:val="nil"/>
              <w:right w:val="nil"/>
            </w:tcBorders>
            <w:vAlign w:val="top"/>
          </w:tcPr>
          <w:p w14:paraId="2B1F727D">
            <w:pPr>
              <w:pStyle w:val="8"/>
              <w:spacing w:before="67" w:line="237" w:lineRule="exact"/>
              <w:ind w:left="579"/>
            </w:pPr>
            <w:r>
              <w:rPr>
                <w:color w:val="5F6A72"/>
                <w:spacing w:val="-7"/>
                <w:position w:val="1"/>
              </w:rPr>
              <w:t>11.3</w:t>
            </w:r>
          </w:p>
        </w:tc>
        <w:tc>
          <w:tcPr>
            <w:tcW w:w="1457" w:type="dxa"/>
            <w:tcBorders>
              <w:left w:val="nil"/>
              <w:right w:val="nil"/>
            </w:tcBorders>
            <w:vAlign w:val="top"/>
          </w:tcPr>
          <w:p w14:paraId="362C98E1">
            <w:pPr>
              <w:pStyle w:val="8"/>
              <w:spacing w:before="67" w:line="237" w:lineRule="exact"/>
              <w:ind w:left="575"/>
            </w:pPr>
            <w:r>
              <w:rPr>
                <w:color w:val="5F6A72"/>
                <w:spacing w:val="-7"/>
                <w:position w:val="1"/>
              </w:rPr>
              <w:t>85.2</w:t>
            </w:r>
          </w:p>
        </w:tc>
        <w:tc>
          <w:tcPr>
            <w:tcW w:w="1458" w:type="dxa"/>
            <w:tcBorders>
              <w:left w:val="nil"/>
              <w:right w:val="nil"/>
            </w:tcBorders>
            <w:vAlign w:val="top"/>
          </w:tcPr>
          <w:p w14:paraId="1C72EB2C">
            <w:pPr>
              <w:pStyle w:val="8"/>
              <w:spacing w:before="67" w:line="237" w:lineRule="exact"/>
              <w:ind w:left="572"/>
            </w:pPr>
            <w:r>
              <w:rPr>
                <w:color w:val="5F6A72"/>
                <w:spacing w:val="-6"/>
                <w:position w:val="1"/>
              </w:rPr>
              <w:t>39.4</w:t>
            </w:r>
          </w:p>
        </w:tc>
        <w:tc>
          <w:tcPr>
            <w:tcW w:w="1458" w:type="dxa"/>
            <w:tcBorders>
              <w:left w:val="nil"/>
              <w:right w:val="nil"/>
            </w:tcBorders>
            <w:vAlign w:val="top"/>
          </w:tcPr>
          <w:p w14:paraId="4D6AEA96">
            <w:pPr>
              <w:pStyle w:val="8"/>
              <w:spacing w:before="67" w:line="237" w:lineRule="exact"/>
              <w:ind w:left="575"/>
            </w:pPr>
            <w:r>
              <w:rPr>
                <w:color w:val="5F6A72"/>
                <w:spacing w:val="-6"/>
                <w:position w:val="1"/>
              </w:rPr>
              <w:t>26.8</w:t>
            </w:r>
          </w:p>
        </w:tc>
        <w:tc>
          <w:tcPr>
            <w:tcW w:w="1457" w:type="dxa"/>
            <w:tcBorders>
              <w:left w:val="nil"/>
              <w:right w:val="nil"/>
            </w:tcBorders>
            <w:shd w:val="clear" w:color="auto" w:fill="A1D7EF"/>
            <w:vAlign w:val="top"/>
          </w:tcPr>
          <w:p w14:paraId="5A044BF3">
            <w:pPr>
              <w:pStyle w:val="8"/>
              <w:spacing w:before="67" w:line="237" w:lineRule="exact"/>
              <w:ind w:left="572"/>
            </w:pPr>
            <w:r>
              <w:rPr>
                <w:color w:val="5F6A72"/>
                <w:spacing w:val="-6"/>
                <w:position w:val="1"/>
              </w:rPr>
              <w:t>32.5</w:t>
            </w:r>
          </w:p>
        </w:tc>
      </w:tr>
      <w:tr w14:paraId="5CE3D54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458" w:type="dxa"/>
            <w:tcBorders>
              <w:left w:val="nil"/>
            </w:tcBorders>
            <w:shd w:val="clear" w:color="auto" w:fill="EAF9FF"/>
            <w:vAlign w:val="top"/>
          </w:tcPr>
          <w:p w14:paraId="55300DE0">
            <w:pPr>
              <w:pStyle w:val="8"/>
              <w:spacing w:before="66" w:line="238" w:lineRule="exact"/>
              <w:ind w:left="18"/>
            </w:pPr>
            <w:r>
              <w:rPr>
                <w:color w:val="2A8ABF"/>
                <w:spacing w:val="-12"/>
                <w:position w:val="1"/>
              </w:rPr>
              <w:t>Ecuador</w:t>
            </w:r>
          </w:p>
        </w:tc>
        <w:tc>
          <w:tcPr>
            <w:tcW w:w="1458" w:type="dxa"/>
            <w:tcBorders>
              <w:right w:val="nil"/>
            </w:tcBorders>
            <w:shd w:val="clear" w:color="auto" w:fill="EAF9FF"/>
            <w:vAlign w:val="top"/>
          </w:tcPr>
          <w:p w14:paraId="1BBECC3C">
            <w:pPr>
              <w:pStyle w:val="8"/>
              <w:spacing w:before="66" w:line="237" w:lineRule="exact"/>
              <w:ind w:left="571"/>
            </w:pPr>
            <w:r>
              <w:rPr>
                <w:color w:val="5F6A72"/>
                <w:spacing w:val="-6"/>
                <w:position w:val="1"/>
              </w:rPr>
              <w:t>23.9</w:t>
            </w:r>
          </w:p>
        </w:tc>
        <w:tc>
          <w:tcPr>
            <w:tcW w:w="1458" w:type="dxa"/>
            <w:tcBorders>
              <w:left w:val="nil"/>
              <w:right w:val="nil"/>
            </w:tcBorders>
            <w:shd w:val="clear" w:color="auto" w:fill="EAF9FF"/>
            <w:vAlign w:val="top"/>
          </w:tcPr>
          <w:p w14:paraId="0C5439F9">
            <w:pPr>
              <w:pStyle w:val="8"/>
              <w:spacing w:before="66" w:line="237" w:lineRule="exact"/>
              <w:ind w:left="576"/>
            </w:pPr>
            <w:r>
              <w:rPr>
                <w:color w:val="5F6A72"/>
                <w:spacing w:val="-7"/>
                <w:position w:val="1"/>
              </w:rPr>
              <w:t>90.1</w:t>
            </w:r>
          </w:p>
        </w:tc>
        <w:tc>
          <w:tcPr>
            <w:tcW w:w="1457" w:type="dxa"/>
            <w:tcBorders>
              <w:left w:val="nil"/>
              <w:right w:val="nil"/>
            </w:tcBorders>
            <w:shd w:val="clear" w:color="auto" w:fill="EAF9FF"/>
            <w:vAlign w:val="top"/>
          </w:tcPr>
          <w:p w14:paraId="6AC78E1C">
            <w:pPr>
              <w:pStyle w:val="8"/>
              <w:spacing w:before="66" w:line="237" w:lineRule="exact"/>
              <w:ind w:left="575"/>
            </w:pPr>
            <w:r>
              <w:rPr>
                <w:color w:val="5F6A72"/>
                <w:spacing w:val="-7"/>
                <w:position w:val="1"/>
              </w:rPr>
              <w:t>85.2</w:t>
            </w:r>
          </w:p>
        </w:tc>
        <w:tc>
          <w:tcPr>
            <w:tcW w:w="1458" w:type="dxa"/>
            <w:tcBorders>
              <w:left w:val="nil"/>
              <w:right w:val="nil"/>
            </w:tcBorders>
            <w:shd w:val="clear" w:color="auto" w:fill="EAF9FF"/>
            <w:vAlign w:val="top"/>
          </w:tcPr>
          <w:p w14:paraId="1A8AF1CC">
            <w:pPr>
              <w:pStyle w:val="8"/>
              <w:spacing w:before="66" w:line="237" w:lineRule="exact"/>
              <w:ind w:left="577"/>
            </w:pPr>
            <w:r>
              <w:rPr>
                <w:color w:val="5F6A72"/>
                <w:spacing w:val="-7"/>
                <w:position w:val="1"/>
              </w:rPr>
              <w:t>50.7</w:t>
            </w:r>
          </w:p>
        </w:tc>
        <w:tc>
          <w:tcPr>
            <w:tcW w:w="1458" w:type="dxa"/>
            <w:tcBorders>
              <w:left w:val="nil"/>
              <w:right w:val="nil"/>
            </w:tcBorders>
            <w:shd w:val="clear" w:color="auto" w:fill="EAF9FF"/>
            <w:vAlign w:val="top"/>
          </w:tcPr>
          <w:p w14:paraId="44527CA8">
            <w:pPr>
              <w:pStyle w:val="8"/>
              <w:spacing w:before="66" w:line="237" w:lineRule="exact"/>
              <w:ind w:left="572"/>
            </w:pPr>
            <w:r>
              <w:rPr>
                <w:color w:val="5F6A72"/>
                <w:spacing w:val="-6"/>
                <w:position w:val="1"/>
              </w:rPr>
              <w:t>71.8</w:t>
            </w:r>
          </w:p>
        </w:tc>
        <w:tc>
          <w:tcPr>
            <w:tcW w:w="1457" w:type="dxa"/>
            <w:tcBorders>
              <w:left w:val="nil"/>
              <w:right w:val="nil"/>
            </w:tcBorders>
            <w:shd w:val="clear" w:color="auto" w:fill="A1D7EF"/>
            <w:vAlign w:val="top"/>
          </w:tcPr>
          <w:p w14:paraId="416B3A86">
            <w:pPr>
              <w:pStyle w:val="8"/>
              <w:spacing w:before="66" w:line="237" w:lineRule="exact"/>
              <w:ind w:left="577"/>
            </w:pPr>
            <w:r>
              <w:rPr>
                <w:color w:val="5F6A72"/>
                <w:spacing w:val="-7"/>
                <w:position w:val="1"/>
              </w:rPr>
              <w:t>64.4</w:t>
            </w:r>
          </w:p>
        </w:tc>
      </w:tr>
      <w:tr w14:paraId="328439A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458" w:type="dxa"/>
            <w:tcBorders>
              <w:left w:val="nil"/>
            </w:tcBorders>
            <w:vAlign w:val="top"/>
          </w:tcPr>
          <w:p w14:paraId="6AC396EF">
            <w:pPr>
              <w:pStyle w:val="8"/>
              <w:rPr>
                <w:sz w:val="21"/>
              </w:rPr>
            </w:pPr>
          </w:p>
        </w:tc>
        <w:tc>
          <w:tcPr>
            <w:tcW w:w="1458" w:type="dxa"/>
            <w:tcBorders>
              <w:right w:val="nil"/>
            </w:tcBorders>
            <w:vAlign w:val="top"/>
          </w:tcPr>
          <w:p w14:paraId="5FCEF671">
            <w:pPr>
              <w:pStyle w:val="8"/>
              <w:rPr>
                <w:sz w:val="21"/>
              </w:rPr>
            </w:pPr>
          </w:p>
        </w:tc>
        <w:tc>
          <w:tcPr>
            <w:tcW w:w="1458" w:type="dxa"/>
            <w:tcBorders>
              <w:left w:val="nil"/>
              <w:right w:val="nil"/>
            </w:tcBorders>
            <w:vAlign w:val="top"/>
          </w:tcPr>
          <w:p w14:paraId="0F5ADD98">
            <w:pPr>
              <w:pStyle w:val="8"/>
              <w:rPr>
                <w:sz w:val="21"/>
              </w:rPr>
            </w:pPr>
          </w:p>
        </w:tc>
        <w:tc>
          <w:tcPr>
            <w:tcW w:w="1457" w:type="dxa"/>
            <w:tcBorders>
              <w:left w:val="nil"/>
              <w:right w:val="nil"/>
            </w:tcBorders>
            <w:vAlign w:val="top"/>
          </w:tcPr>
          <w:p w14:paraId="25981DF9">
            <w:pPr>
              <w:pStyle w:val="8"/>
              <w:rPr>
                <w:sz w:val="21"/>
              </w:rPr>
            </w:pPr>
          </w:p>
        </w:tc>
        <w:tc>
          <w:tcPr>
            <w:tcW w:w="1458" w:type="dxa"/>
            <w:tcBorders>
              <w:left w:val="nil"/>
              <w:right w:val="nil"/>
            </w:tcBorders>
            <w:vAlign w:val="top"/>
          </w:tcPr>
          <w:p w14:paraId="11D968A6">
            <w:pPr>
              <w:pStyle w:val="8"/>
              <w:rPr>
                <w:sz w:val="21"/>
              </w:rPr>
            </w:pPr>
          </w:p>
        </w:tc>
        <w:tc>
          <w:tcPr>
            <w:tcW w:w="1458" w:type="dxa"/>
            <w:tcBorders>
              <w:left w:val="nil"/>
              <w:right w:val="nil"/>
            </w:tcBorders>
            <w:vAlign w:val="top"/>
          </w:tcPr>
          <w:p w14:paraId="1B570FE8">
            <w:pPr>
              <w:pStyle w:val="8"/>
              <w:rPr>
                <w:sz w:val="21"/>
              </w:rPr>
            </w:pPr>
          </w:p>
        </w:tc>
        <w:tc>
          <w:tcPr>
            <w:tcW w:w="1457" w:type="dxa"/>
            <w:tcBorders>
              <w:left w:val="nil"/>
              <w:right w:val="nil"/>
            </w:tcBorders>
            <w:shd w:val="clear" w:color="auto" w:fill="A1D7EF"/>
            <w:vAlign w:val="top"/>
          </w:tcPr>
          <w:p w14:paraId="7E76AFCA">
            <w:pPr>
              <w:pStyle w:val="8"/>
              <w:rPr>
                <w:sz w:val="21"/>
              </w:rPr>
            </w:pPr>
          </w:p>
        </w:tc>
      </w:tr>
      <w:tr w14:paraId="06A0A1F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458" w:type="dxa"/>
            <w:tcBorders>
              <w:left w:val="nil"/>
            </w:tcBorders>
            <w:shd w:val="clear" w:color="auto" w:fill="EAF9FF"/>
            <w:vAlign w:val="top"/>
          </w:tcPr>
          <w:p w14:paraId="5D46AC99">
            <w:pPr>
              <w:pStyle w:val="8"/>
              <w:spacing w:before="66" w:line="234" w:lineRule="auto"/>
              <w:ind w:left="12"/>
            </w:pPr>
            <w:r>
              <w:rPr>
                <w:color w:val="2A8ABF"/>
                <w:spacing w:val="-11"/>
              </w:rPr>
              <w:t>Global</w:t>
            </w:r>
            <w:r>
              <w:rPr>
                <w:color w:val="2A8ABF"/>
                <w:spacing w:val="-10"/>
              </w:rPr>
              <w:t xml:space="preserve"> </w:t>
            </w:r>
            <w:r>
              <w:rPr>
                <w:color w:val="2A8ABF"/>
                <w:spacing w:val="-11"/>
              </w:rPr>
              <w:t>Average</w:t>
            </w:r>
          </w:p>
        </w:tc>
        <w:tc>
          <w:tcPr>
            <w:tcW w:w="1458" w:type="dxa"/>
            <w:tcBorders>
              <w:right w:val="nil"/>
            </w:tcBorders>
            <w:shd w:val="clear" w:color="auto" w:fill="EAF9FF"/>
            <w:vAlign w:val="top"/>
          </w:tcPr>
          <w:p w14:paraId="452885F0">
            <w:pPr>
              <w:pStyle w:val="8"/>
              <w:spacing w:before="66" w:line="237" w:lineRule="exact"/>
              <w:ind w:left="572"/>
            </w:pPr>
            <w:r>
              <w:rPr>
                <w:color w:val="5F6A72"/>
                <w:spacing w:val="-7"/>
                <w:position w:val="1"/>
              </w:rPr>
              <w:t>50.0</w:t>
            </w:r>
          </w:p>
        </w:tc>
        <w:tc>
          <w:tcPr>
            <w:tcW w:w="1458" w:type="dxa"/>
            <w:tcBorders>
              <w:left w:val="nil"/>
              <w:right w:val="nil"/>
            </w:tcBorders>
            <w:shd w:val="clear" w:color="auto" w:fill="EAF9FF"/>
            <w:vAlign w:val="top"/>
          </w:tcPr>
          <w:p w14:paraId="71401039">
            <w:pPr>
              <w:pStyle w:val="8"/>
              <w:spacing w:before="66" w:line="237" w:lineRule="exact"/>
              <w:ind w:left="576"/>
            </w:pPr>
            <w:r>
              <w:rPr>
                <w:color w:val="5F6A72"/>
                <w:spacing w:val="-7"/>
                <w:position w:val="1"/>
              </w:rPr>
              <w:t>50.0</w:t>
            </w:r>
          </w:p>
        </w:tc>
        <w:tc>
          <w:tcPr>
            <w:tcW w:w="1457" w:type="dxa"/>
            <w:tcBorders>
              <w:left w:val="nil"/>
              <w:right w:val="nil"/>
            </w:tcBorders>
            <w:shd w:val="clear" w:color="auto" w:fill="EAF9FF"/>
            <w:vAlign w:val="top"/>
          </w:tcPr>
          <w:p w14:paraId="47856514">
            <w:pPr>
              <w:pStyle w:val="8"/>
              <w:spacing w:before="66" w:line="237" w:lineRule="exact"/>
              <w:ind w:left="576"/>
            </w:pPr>
            <w:r>
              <w:rPr>
                <w:color w:val="5F6A72"/>
                <w:spacing w:val="-7"/>
                <w:position w:val="1"/>
              </w:rPr>
              <w:t>50.0</w:t>
            </w:r>
          </w:p>
        </w:tc>
        <w:tc>
          <w:tcPr>
            <w:tcW w:w="1458" w:type="dxa"/>
            <w:tcBorders>
              <w:left w:val="nil"/>
              <w:right w:val="nil"/>
            </w:tcBorders>
            <w:shd w:val="clear" w:color="auto" w:fill="EAF9FF"/>
            <w:vAlign w:val="top"/>
          </w:tcPr>
          <w:p w14:paraId="3F2850F8">
            <w:pPr>
              <w:pStyle w:val="8"/>
              <w:spacing w:before="66" w:line="237" w:lineRule="exact"/>
              <w:ind w:left="577"/>
            </w:pPr>
            <w:r>
              <w:rPr>
                <w:color w:val="5F6A72"/>
                <w:spacing w:val="-7"/>
                <w:position w:val="1"/>
              </w:rPr>
              <w:t>50.0</w:t>
            </w:r>
          </w:p>
        </w:tc>
        <w:tc>
          <w:tcPr>
            <w:tcW w:w="1458" w:type="dxa"/>
            <w:tcBorders>
              <w:left w:val="nil"/>
              <w:right w:val="nil"/>
            </w:tcBorders>
            <w:shd w:val="clear" w:color="auto" w:fill="EAF9FF"/>
            <w:vAlign w:val="top"/>
          </w:tcPr>
          <w:p w14:paraId="0CDA4428">
            <w:pPr>
              <w:pStyle w:val="8"/>
              <w:spacing w:before="66" w:line="237" w:lineRule="exact"/>
              <w:ind w:left="576"/>
            </w:pPr>
            <w:r>
              <w:rPr>
                <w:color w:val="5F6A72"/>
                <w:spacing w:val="-7"/>
                <w:position w:val="1"/>
              </w:rPr>
              <w:t>50.0</w:t>
            </w:r>
          </w:p>
        </w:tc>
        <w:tc>
          <w:tcPr>
            <w:tcW w:w="1457" w:type="dxa"/>
            <w:tcBorders>
              <w:left w:val="nil"/>
              <w:right w:val="nil"/>
            </w:tcBorders>
            <w:shd w:val="clear" w:color="auto" w:fill="A1D7EF"/>
            <w:vAlign w:val="top"/>
          </w:tcPr>
          <w:p w14:paraId="677ABEEA">
            <w:pPr>
              <w:pStyle w:val="8"/>
              <w:spacing w:before="66" w:line="237" w:lineRule="exact"/>
              <w:ind w:left="576"/>
            </w:pPr>
            <w:r>
              <w:rPr>
                <w:color w:val="5F6A72"/>
                <w:spacing w:val="-7"/>
                <w:position w:val="1"/>
              </w:rPr>
              <w:t>50.0</w:t>
            </w:r>
          </w:p>
        </w:tc>
      </w:tr>
      <w:tr w14:paraId="005937D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1458" w:type="dxa"/>
            <w:tcBorders>
              <w:left w:val="nil"/>
              <w:bottom w:val="nil"/>
            </w:tcBorders>
            <w:vAlign w:val="top"/>
          </w:tcPr>
          <w:p w14:paraId="56D4313D">
            <w:pPr>
              <w:pStyle w:val="8"/>
              <w:spacing w:before="65" w:line="234" w:lineRule="auto"/>
              <w:ind w:left="18"/>
            </w:pPr>
            <w:r>
              <w:rPr>
                <w:color w:val="2A8ABF"/>
                <w:spacing w:val="-11"/>
              </w:rPr>
              <w:t>Regional</w:t>
            </w:r>
            <w:r>
              <w:rPr>
                <w:color w:val="2A8ABF"/>
                <w:spacing w:val="-7"/>
              </w:rPr>
              <w:t xml:space="preserve"> </w:t>
            </w:r>
            <w:r>
              <w:rPr>
                <w:color w:val="2A8ABF"/>
                <w:spacing w:val="-11"/>
              </w:rPr>
              <w:t>Average</w:t>
            </w:r>
          </w:p>
        </w:tc>
        <w:tc>
          <w:tcPr>
            <w:tcW w:w="1458" w:type="dxa"/>
            <w:tcBorders>
              <w:bottom w:val="nil"/>
              <w:right w:val="nil"/>
            </w:tcBorders>
            <w:vAlign w:val="top"/>
          </w:tcPr>
          <w:p w14:paraId="6B7157D4">
            <w:pPr>
              <w:pStyle w:val="8"/>
              <w:spacing w:before="65" w:line="238" w:lineRule="exact"/>
              <w:ind w:left="568"/>
            </w:pPr>
            <w:r>
              <w:rPr>
                <w:color w:val="5F6A72"/>
                <w:spacing w:val="-6"/>
                <w:position w:val="1"/>
              </w:rPr>
              <w:t>39.2</w:t>
            </w:r>
          </w:p>
        </w:tc>
        <w:tc>
          <w:tcPr>
            <w:tcW w:w="1458" w:type="dxa"/>
            <w:tcBorders>
              <w:left w:val="nil"/>
              <w:bottom w:val="nil"/>
              <w:right w:val="nil"/>
            </w:tcBorders>
            <w:vAlign w:val="top"/>
          </w:tcPr>
          <w:p w14:paraId="0F77AFBC">
            <w:pPr>
              <w:pStyle w:val="8"/>
              <w:spacing w:before="65" w:line="238" w:lineRule="exact"/>
              <w:ind w:left="576"/>
            </w:pPr>
            <w:r>
              <w:rPr>
                <w:color w:val="5F6A72"/>
                <w:spacing w:val="-7"/>
                <w:position w:val="1"/>
              </w:rPr>
              <w:t>53.2</w:t>
            </w:r>
          </w:p>
        </w:tc>
        <w:tc>
          <w:tcPr>
            <w:tcW w:w="1457" w:type="dxa"/>
            <w:tcBorders>
              <w:left w:val="nil"/>
              <w:bottom w:val="nil"/>
              <w:right w:val="nil"/>
            </w:tcBorders>
            <w:vAlign w:val="top"/>
          </w:tcPr>
          <w:p w14:paraId="580F5D11">
            <w:pPr>
              <w:pStyle w:val="8"/>
              <w:spacing w:before="65" w:line="238" w:lineRule="exact"/>
              <w:ind w:left="571"/>
            </w:pPr>
            <w:r>
              <w:rPr>
                <w:color w:val="5F6A72"/>
                <w:spacing w:val="-6"/>
                <w:position w:val="1"/>
              </w:rPr>
              <w:t>43.3</w:t>
            </w:r>
          </w:p>
        </w:tc>
        <w:tc>
          <w:tcPr>
            <w:tcW w:w="1458" w:type="dxa"/>
            <w:tcBorders>
              <w:left w:val="nil"/>
              <w:bottom w:val="nil"/>
              <w:right w:val="nil"/>
            </w:tcBorders>
            <w:vAlign w:val="top"/>
          </w:tcPr>
          <w:p w14:paraId="4A39D505">
            <w:pPr>
              <w:pStyle w:val="8"/>
              <w:spacing w:before="65" w:line="238" w:lineRule="exact"/>
              <w:ind w:left="572"/>
            </w:pPr>
            <w:r>
              <w:rPr>
                <w:color w:val="5F6A72"/>
                <w:spacing w:val="-6"/>
                <w:position w:val="1"/>
              </w:rPr>
              <w:t>40.1</w:t>
            </w:r>
          </w:p>
        </w:tc>
        <w:tc>
          <w:tcPr>
            <w:tcW w:w="1458" w:type="dxa"/>
            <w:tcBorders>
              <w:left w:val="nil"/>
              <w:bottom w:val="nil"/>
              <w:right w:val="nil"/>
            </w:tcBorders>
            <w:vAlign w:val="top"/>
          </w:tcPr>
          <w:p w14:paraId="252D53C2">
            <w:pPr>
              <w:pStyle w:val="8"/>
              <w:spacing w:before="65" w:line="238" w:lineRule="exact"/>
              <w:ind w:left="572"/>
            </w:pPr>
            <w:r>
              <w:rPr>
                <w:color w:val="5F6A72"/>
                <w:spacing w:val="-6"/>
                <w:position w:val="1"/>
              </w:rPr>
              <w:t>44.6</w:t>
            </w:r>
          </w:p>
        </w:tc>
        <w:tc>
          <w:tcPr>
            <w:tcW w:w="1457" w:type="dxa"/>
            <w:tcBorders>
              <w:left w:val="nil"/>
              <w:bottom w:val="nil"/>
              <w:right w:val="nil"/>
            </w:tcBorders>
            <w:shd w:val="clear" w:color="auto" w:fill="A1D7EF"/>
            <w:vAlign w:val="top"/>
          </w:tcPr>
          <w:p w14:paraId="16ABA5E6">
            <w:pPr>
              <w:pStyle w:val="8"/>
              <w:spacing w:before="65" w:line="240" w:lineRule="exact"/>
              <w:ind w:left="572"/>
            </w:pPr>
            <w:r>
              <w:rPr>
                <w:color w:val="5F6A72"/>
                <w:spacing w:val="-6"/>
                <w:position w:val="1"/>
              </w:rPr>
              <w:t>44.1</w:t>
            </w:r>
          </w:p>
        </w:tc>
      </w:tr>
    </w:tbl>
    <w:p w14:paraId="0AF34377">
      <w:pPr>
        <w:pStyle w:val="4"/>
        <w:spacing w:before="149" w:line="235" w:lineRule="auto"/>
        <w:ind w:left="372"/>
        <w:rPr>
          <w:sz w:val="15"/>
          <w:szCs w:val="15"/>
        </w:rPr>
      </w:pPr>
      <w:r>
        <w:drawing>
          <wp:anchor distT="0" distB="0" distL="0" distR="0" simplePos="0" relativeHeight="251869184"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2334BD4E">
      <w:pPr>
        <w:pStyle w:val="4"/>
        <w:spacing w:line="250" w:lineRule="auto"/>
      </w:pPr>
    </w:p>
    <w:p w14:paraId="65D34B35">
      <w:pPr>
        <w:pStyle w:val="4"/>
        <w:spacing w:before="70" w:line="234" w:lineRule="auto"/>
        <w:ind w:left="427"/>
        <w:rPr>
          <w:sz w:val="24"/>
          <w:szCs w:val="24"/>
        </w:rPr>
      </w:pPr>
      <w:r>
        <w:rPr>
          <w:color w:val="174174"/>
          <w:spacing w:val="-11"/>
          <w:sz w:val="24"/>
          <w:szCs w:val="24"/>
        </w:rPr>
        <w:t>Latin</w:t>
      </w:r>
      <w:r>
        <w:rPr>
          <w:color w:val="174174"/>
          <w:spacing w:val="-15"/>
          <w:sz w:val="24"/>
          <w:szCs w:val="24"/>
        </w:rPr>
        <w:t xml:space="preserve"> </w:t>
      </w:r>
      <w:r>
        <w:rPr>
          <w:color w:val="174174"/>
          <w:spacing w:val="-11"/>
          <w:sz w:val="24"/>
          <w:szCs w:val="24"/>
        </w:rPr>
        <w:t>America Upstream Country Rewards</w:t>
      </w:r>
    </w:p>
    <w:p w14:paraId="72E52BCD">
      <w:pPr>
        <w:spacing w:line="42"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701"/>
        <w:gridCol w:w="1701"/>
        <w:gridCol w:w="1700"/>
        <w:gridCol w:w="1701"/>
        <w:gridCol w:w="1701"/>
        <w:gridCol w:w="1700"/>
      </w:tblGrid>
      <w:tr w14:paraId="439FC4F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1701" w:type="dxa"/>
            <w:tcBorders>
              <w:left w:val="nil"/>
            </w:tcBorders>
            <w:vAlign w:val="top"/>
          </w:tcPr>
          <w:p w14:paraId="62DD0A27">
            <w:pPr>
              <w:pStyle w:val="8"/>
              <w:rPr>
                <w:sz w:val="21"/>
              </w:rPr>
            </w:pPr>
          </w:p>
        </w:tc>
        <w:tc>
          <w:tcPr>
            <w:tcW w:w="1701" w:type="dxa"/>
            <w:tcBorders>
              <w:right w:val="nil"/>
            </w:tcBorders>
            <w:vAlign w:val="top"/>
          </w:tcPr>
          <w:p w14:paraId="59551025">
            <w:pPr>
              <w:pStyle w:val="8"/>
              <w:spacing w:before="70" w:line="243" w:lineRule="exact"/>
              <w:ind w:left="398"/>
            </w:pPr>
            <w:r>
              <w:rPr>
                <w:b/>
                <w:bCs/>
                <w:color w:val="5F6A72"/>
                <w:spacing w:val="-7"/>
                <w:position w:val="1"/>
              </w:rPr>
              <w:t>State Asset</w:t>
            </w:r>
          </w:p>
          <w:p w14:paraId="4582A449">
            <w:pPr>
              <w:pStyle w:val="8"/>
              <w:spacing w:before="6" w:line="210" w:lineRule="exact"/>
              <w:ind w:left="425"/>
            </w:pPr>
            <w:r>
              <w:rPr>
                <w:b/>
                <w:bCs/>
                <w:color w:val="5F6A72"/>
                <w:spacing w:val="-8"/>
                <w:position w:val="2"/>
              </w:rPr>
              <w:t>Ownership</w:t>
            </w:r>
          </w:p>
        </w:tc>
        <w:tc>
          <w:tcPr>
            <w:tcW w:w="1700" w:type="dxa"/>
            <w:tcBorders>
              <w:left w:val="nil"/>
              <w:right w:val="nil"/>
            </w:tcBorders>
            <w:vAlign w:val="top"/>
          </w:tcPr>
          <w:p w14:paraId="28021490">
            <w:pPr>
              <w:pStyle w:val="8"/>
              <w:spacing w:before="112" w:line="184" w:lineRule="auto"/>
              <w:ind w:left="369"/>
            </w:pPr>
            <w:r>
              <w:rPr>
                <w:b/>
                <w:bCs/>
                <w:color w:val="5F6A72"/>
                <w:spacing w:val="-5"/>
              </w:rPr>
              <w:t>Competitive</w:t>
            </w:r>
          </w:p>
          <w:p w14:paraId="377AF0B0">
            <w:pPr>
              <w:pStyle w:val="8"/>
              <w:spacing w:before="93" w:line="182" w:lineRule="auto"/>
              <w:ind w:left="433"/>
            </w:pPr>
            <w:r>
              <w:rPr>
                <w:b/>
                <w:bCs/>
                <w:color w:val="5F6A72"/>
                <w:spacing w:val="-10"/>
              </w:rPr>
              <w:t>Landscape</w:t>
            </w:r>
          </w:p>
        </w:tc>
        <w:tc>
          <w:tcPr>
            <w:tcW w:w="1701" w:type="dxa"/>
            <w:tcBorders>
              <w:left w:val="nil"/>
              <w:right w:val="nil"/>
            </w:tcBorders>
            <w:vAlign w:val="top"/>
          </w:tcPr>
          <w:p w14:paraId="0AD56261">
            <w:pPr>
              <w:pStyle w:val="8"/>
              <w:spacing w:before="70" w:line="243" w:lineRule="exact"/>
              <w:ind w:left="306"/>
            </w:pPr>
            <w:r>
              <w:rPr>
                <w:b/>
                <w:bCs/>
                <w:color w:val="5F6A72"/>
                <w:spacing w:val="-5"/>
                <w:position w:val="1"/>
              </w:rPr>
              <w:t>Infrastructure</w:t>
            </w:r>
          </w:p>
          <w:p w14:paraId="4A3CD483">
            <w:pPr>
              <w:pStyle w:val="8"/>
              <w:spacing w:before="6" w:line="241" w:lineRule="auto"/>
              <w:ind w:left="521"/>
            </w:pPr>
            <w:r>
              <w:rPr>
                <w:b/>
                <w:bCs/>
                <w:color w:val="5F6A72"/>
                <w:spacing w:val="-4"/>
              </w:rPr>
              <w:t>Integrity</w:t>
            </w:r>
          </w:p>
        </w:tc>
        <w:tc>
          <w:tcPr>
            <w:tcW w:w="1701" w:type="dxa"/>
            <w:tcBorders>
              <w:left w:val="nil"/>
              <w:right w:val="nil"/>
            </w:tcBorders>
            <w:shd w:val="clear" w:color="auto" w:fill="A1D7EF"/>
            <w:vAlign w:val="top"/>
          </w:tcPr>
          <w:p w14:paraId="1F8FA015">
            <w:pPr>
              <w:pStyle w:val="8"/>
              <w:spacing w:before="70" w:line="241" w:lineRule="auto"/>
              <w:ind w:left="180"/>
            </w:pPr>
            <w:r>
              <w:rPr>
                <w:b/>
                <w:bCs/>
                <w:color w:val="5F6A72"/>
                <w:spacing w:val="-9"/>
              </w:rPr>
              <w:t>Country Rewards</w:t>
            </w:r>
          </w:p>
        </w:tc>
        <w:tc>
          <w:tcPr>
            <w:tcW w:w="1700" w:type="dxa"/>
            <w:tcBorders>
              <w:left w:val="nil"/>
              <w:right w:val="nil"/>
            </w:tcBorders>
            <w:shd w:val="clear" w:color="auto" w:fill="A1D7EF"/>
            <w:vAlign w:val="top"/>
          </w:tcPr>
          <w:p w14:paraId="075BFF3D">
            <w:pPr>
              <w:pStyle w:val="8"/>
              <w:spacing w:before="70" w:line="243" w:lineRule="exact"/>
              <w:ind w:left="526"/>
            </w:pPr>
            <w:r>
              <w:rPr>
                <w:b/>
                <w:bCs/>
                <w:color w:val="5F6A72"/>
                <w:spacing w:val="-11"/>
                <w:position w:val="1"/>
              </w:rPr>
              <w:t>Rewards</w:t>
            </w:r>
          </w:p>
        </w:tc>
      </w:tr>
      <w:tr w14:paraId="02A96BD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vAlign w:val="top"/>
          </w:tcPr>
          <w:p w14:paraId="6F7D7E58">
            <w:pPr>
              <w:pStyle w:val="8"/>
              <w:spacing w:before="65" w:line="237" w:lineRule="exact"/>
              <w:ind w:left="18"/>
            </w:pPr>
            <w:r>
              <w:rPr>
                <w:color w:val="2A8ABF"/>
                <w:spacing w:val="-12"/>
                <w:position w:val="1"/>
              </w:rPr>
              <w:t>Brazil</w:t>
            </w:r>
          </w:p>
        </w:tc>
        <w:tc>
          <w:tcPr>
            <w:tcW w:w="1701" w:type="dxa"/>
            <w:tcBorders>
              <w:right w:val="nil"/>
            </w:tcBorders>
            <w:vAlign w:val="top"/>
          </w:tcPr>
          <w:p w14:paraId="6165BA8C">
            <w:pPr>
              <w:pStyle w:val="8"/>
              <w:spacing w:before="65" w:line="237" w:lineRule="exact"/>
              <w:ind w:left="689"/>
            </w:pPr>
            <w:r>
              <w:rPr>
                <w:color w:val="5F6A72"/>
                <w:spacing w:val="-6"/>
                <w:position w:val="1"/>
              </w:rPr>
              <w:t>40.8</w:t>
            </w:r>
          </w:p>
        </w:tc>
        <w:tc>
          <w:tcPr>
            <w:tcW w:w="1700" w:type="dxa"/>
            <w:tcBorders>
              <w:left w:val="nil"/>
              <w:right w:val="nil"/>
            </w:tcBorders>
            <w:vAlign w:val="top"/>
          </w:tcPr>
          <w:p w14:paraId="5BE4A59E">
            <w:pPr>
              <w:pStyle w:val="8"/>
              <w:spacing w:before="65" w:line="237" w:lineRule="exact"/>
              <w:ind w:left="693"/>
            </w:pPr>
            <w:r>
              <w:rPr>
                <w:color w:val="5F6A72"/>
                <w:spacing w:val="-6"/>
                <w:position w:val="1"/>
              </w:rPr>
              <w:t>73.2</w:t>
            </w:r>
          </w:p>
        </w:tc>
        <w:tc>
          <w:tcPr>
            <w:tcW w:w="1701" w:type="dxa"/>
            <w:tcBorders>
              <w:left w:val="nil"/>
              <w:right w:val="nil"/>
            </w:tcBorders>
            <w:vAlign w:val="top"/>
          </w:tcPr>
          <w:p w14:paraId="6BA7CD27">
            <w:pPr>
              <w:pStyle w:val="8"/>
              <w:spacing w:before="65" w:line="237" w:lineRule="exact"/>
              <w:ind w:left="701"/>
            </w:pPr>
            <w:r>
              <w:rPr>
                <w:color w:val="5F6A72"/>
                <w:spacing w:val="-7"/>
                <w:position w:val="1"/>
              </w:rPr>
              <w:t>11.3</w:t>
            </w:r>
          </w:p>
        </w:tc>
        <w:tc>
          <w:tcPr>
            <w:tcW w:w="1701" w:type="dxa"/>
            <w:tcBorders>
              <w:left w:val="nil"/>
              <w:right w:val="nil"/>
            </w:tcBorders>
            <w:shd w:val="clear" w:color="auto" w:fill="A1D7EF"/>
            <w:vAlign w:val="top"/>
          </w:tcPr>
          <w:p w14:paraId="6084AA02">
            <w:pPr>
              <w:pStyle w:val="8"/>
              <w:spacing w:before="65" w:line="237" w:lineRule="exact"/>
              <w:ind w:left="693"/>
            </w:pPr>
            <w:r>
              <w:rPr>
                <w:color w:val="5F6A72"/>
                <w:spacing w:val="-6"/>
                <w:position w:val="1"/>
              </w:rPr>
              <w:t>41.8</w:t>
            </w:r>
          </w:p>
        </w:tc>
        <w:tc>
          <w:tcPr>
            <w:tcW w:w="1700" w:type="dxa"/>
            <w:tcBorders>
              <w:left w:val="nil"/>
              <w:right w:val="nil"/>
            </w:tcBorders>
            <w:shd w:val="clear" w:color="auto" w:fill="A1D7EF"/>
            <w:vAlign w:val="top"/>
          </w:tcPr>
          <w:p w14:paraId="2A5443F3">
            <w:pPr>
              <w:pStyle w:val="8"/>
              <w:spacing w:before="65" w:line="237" w:lineRule="exact"/>
              <w:ind w:left="696"/>
            </w:pPr>
            <w:r>
              <w:rPr>
                <w:color w:val="5F6A72"/>
                <w:spacing w:val="-6"/>
                <w:position w:val="1"/>
              </w:rPr>
              <w:t>27.9</w:t>
            </w:r>
          </w:p>
        </w:tc>
      </w:tr>
      <w:tr w14:paraId="0C8F2AC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shd w:val="clear" w:color="auto" w:fill="EAF9FF"/>
            <w:vAlign w:val="top"/>
          </w:tcPr>
          <w:p w14:paraId="5D4E8BBE">
            <w:pPr>
              <w:pStyle w:val="8"/>
              <w:spacing w:before="65" w:line="234" w:lineRule="auto"/>
              <w:ind w:left="3"/>
            </w:pPr>
            <w:r>
              <w:rPr>
                <w:color w:val="2A8ABF"/>
                <w:spacing w:val="-4"/>
              </w:rPr>
              <w:t>Argentina</w:t>
            </w:r>
          </w:p>
        </w:tc>
        <w:tc>
          <w:tcPr>
            <w:tcW w:w="1701" w:type="dxa"/>
            <w:tcBorders>
              <w:right w:val="nil"/>
            </w:tcBorders>
            <w:shd w:val="clear" w:color="auto" w:fill="EAF9FF"/>
            <w:vAlign w:val="top"/>
          </w:tcPr>
          <w:p w14:paraId="246118EA">
            <w:pPr>
              <w:pStyle w:val="8"/>
              <w:spacing w:before="65" w:line="237" w:lineRule="exact"/>
              <w:ind w:left="689"/>
            </w:pPr>
            <w:r>
              <w:rPr>
                <w:color w:val="5F6A72"/>
                <w:spacing w:val="-6"/>
                <w:position w:val="1"/>
              </w:rPr>
              <w:t>35.9</w:t>
            </w:r>
          </w:p>
        </w:tc>
        <w:tc>
          <w:tcPr>
            <w:tcW w:w="1700" w:type="dxa"/>
            <w:tcBorders>
              <w:left w:val="nil"/>
              <w:right w:val="nil"/>
            </w:tcBorders>
            <w:shd w:val="clear" w:color="auto" w:fill="EAF9FF"/>
            <w:vAlign w:val="top"/>
          </w:tcPr>
          <w:p w14:paraId="6E2DD5C0">
            <w:pPr>
              <w:pStyle w:val="8"/>
              <w:spacing w:before="65" w:line="237" w:lineRule="exact"/>
              <w:ind w:left="693"/>
            </w:pPr>
            <w:r>
              <w:rPr>
                <w:color w:val="5F6A72"/>
                <w:spacing w:val="-6"/>
                <w:position w:val="1"/>
              </w:rPr>
              <w:t>47.9</w:t>
            </w:r>
          </w:p>
        </w:tc>
        <w:tc>
          <w:tcPr>
            <w:tcW w:w="1701" w:type="dxa"/>
            <w:tcBorders>
              <w:left w:val="nil"/>
              <w:right w:val="nil"/>
            </w:tcBorders>
            <w:shd w:val="clear" w:color="auto" w:fill="EAF9FF"/>
            <w:vAlign w:val="top"/>
          </w:tcPr>
          <w:p w14:paraId="2F6C746F">
            <w:pPr>
              <w:pStyle w:val="8"/>
              <w:spacing w:before="65" w:line="237" w:lineRule="exact"/>
              <w:ind w:left="696"/>
            </w:pPr>
            <w:r>
              <w:rPr>
                <w:color w:val="5F6A72"/>
                <w:spacing w:val="-6"/>
                <w:position w:val="1"/>
              </w:rPr>
              <w:t>20.4</w:t>
            </w:r>
          </w:p>
        </w:tc>
        <w:tc>
          <w:tcPr>
            <w:tcW w:w="1701" w:type="dxa"/>
            <w:tcBorders>
              <w:left w:val="nil"/>
              <w:right w:val="nil"/>
            </w:tcBorders>
            <w:shd w:val="clear" w:color="auto" w:fill="A1D7EF"/>
            <w:vAlign w:val="top"/>
          </w:tcPr>
          <w:p w14:paraId="62EC2CB2">
            <w:pPr>
              <w:pStyle w:val="8"/>
              <w:spacing w:before="65" w:line="237" w:lineRule="exact"/>
              <w:ind w:left="693"/>
            </w:pPr>
            <w:r>
              <w:rPr>
                <w:color w:val="5F6A72"/>
                <w:spacing w:val="-6"/>
                <w:position w:val="1"/>
              </w:rPr>
              <w:t>34.7</w:t>
            </w:r>
          </w:p>
        </w:tc>
        <w:tc>
          <w:tcPr>
            <w:tcW w:w="1700" w:type="dxa"/>
            <w:tcBorders>
              <w:left w:val="nil"/>
              <w:right w:val="nil"/>
            </w:tcBorders>
            <w:shd w:val="clear" w:color="auto" w:fill="A1D7EF"/>
            <w:vAlign w:val="top"/>
          </w:tcPr>
          <w:p w14:paraId="12E838F3">
            <w:pPr>
              <w:pStyle w:val="8"/>
              <w:spacing w:before="65" w:line="237" w:lineRule="exact"/>
              <w:ind w:left="693"/>
            </w:pPr>
            <w:r>
              <w:rPr>
                <w:color w:val="5F6A72"/>
                <w:spacing w:val="-6"/>
                <w:position w:val="1"/>
              </w:rPr>
              <w:t>32.5</w:t>
            </w:r>
          </w:p>
        </w:tc>
      </w:tr>
      <w:tr w14:paraId="5605520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vAlign w:val="top"/>
          </w:tcPr>
          <w:p w14:paraId="561E0175">
            <w:pPr>
              <w:pStyle w:val="8"/>
              <w:spacing w:before="65" w:line="238" w:lineRule="exact"/>
              <w:ind w:left="18"/>
            </w:pPr>
            <w:r>
              <w:rPr>
                <w:color w:val="2A8ABF"/>
                <w:spacing w:val="-11"/>
                <w:position w:val="1"/>
              </w:rPr>
              <w:t>Mexico</w:t>
            </w:r>
          </w:p>
        </w:tc>
        <w:tc>
          <w:tcPr>
            <w:tcW w:w="1701" w:type="dxa"/>
            <w:tcBorders>
              <w:right w:val="nil"/>
            </w:tcBorders>
            <w:vAlign w:val="top"/>
          </w:tcPr>
          <w:p w14:paraId="41D4504D">
            <w:pPr>
              <w:pStyle w:val="8"/>
              <w:spacing w:before="65" w:line="238" w:lineRule="exact"/>
              <w:ind w:left="738"/>
            </w:pPr>
            <w:r>
              <w:rPr>
                <w:color w:val="5F6A72"/>
                <w:spacing w:val="-6"/>
                <w:position w:val="1"/>
              </w:rPr>
              <w:t>4.9</w:t>
            </w:r>
          </w:p>
        </w:tc>
        <w:tc>
          <w:tcPr>
            <w:tcW w:w="1700" w:type="dxa"/>
            <w:tcBorders>
              <w:left w:val="nil"/>
              <w:right w:val="nil"/>
            </w:tcBorders>
            <w:vAlign w:val="top"/>
          </w:tcPr>
          <w:p w14:paraId="1E5D8EF9">
            <w:pPr>
              <w:pStyle w:val="8"/>
              <w:spacing w:before="65" w:line="238" w:lineRule="exact"/>
              <w:ind w:left="697"/>
            </w:pPr>
            <w:r>
              <w:rPr>
                <w:color w:val="5F6A72"/>
                <w:spacing w:val="-7"/>
                <w:position w:val="1"/>
              </w:rPr>
              <w:t>84.5</w:t>
            </w:r>
          </w:p>
        </w:tc>
        <w:tc>
          <w:tcPr>
            <w:tcW w:w="1701" w:type="dxa"/>
            <w:tcBorders>
              <w:left w:val="nil"/>
              <w:right w:val="nil"/>
            </w:tcBorders>
            <w:vAlign w:val="top"/>
          </w:tcPr>
          <w:p w14:paraId="1FA05E51">
            <w:pPr>
              <w:pStyle w:val="8"/>
              <w:spacing w:before="65" w:line="238" w:lineRule="exact"/>
              <w:ind w:left="698"/>
            </w:pPr>
            <w:r>
              <w:rPr>
                <w:color w:val="5F6A72"/>
                <w:spacing w:val="-7"/>
                <w:position w:val="1"/>
              </w:rPr>
              <w:t>92.3</w:t>
            </w:r>
          </w:p>
        </w:tc>
        <w:tc>
          <w:tcPr>
            <w:tcW w:w="1701" w:type="dxa"/>
            <w:tcBorders>
              <w:left w:val="nil"/>
              <w:right w:val="nil"/>
            </w:tcBorders>
            <w:shd w:val="clear" w:color="auto" w:fill="A1D7EF"/>
            <w:vAlign w:val="top"/>
          </w:tcPr>
          <w:p w14:paraId="00042656">
            <w:pPr>
              <w:pStyle w:val="8"/>
              <w:spacing w:before="65" w:line="238" w:lineRule="exact"/>
              <w:ind w:left="699"/>
            </w:pPr>
            <w:r>
              <w:rPr>
                <w:color w:val="5F6A72"/>
                <w:spacing w:val="-7"/>
                <w:position w:val="1"/>
              </w:rPr>
              <w:t>60.6</w:t>
            </w:r>
          </w:p>
        </w:tc>
        <w:tc>
          <w:tcPr>
            <w:tcW w:w="1700" w:type="dxa"/>
            <w:tcBorders>
              <w:left w:val="nil"/>
              <w:right w:val="nil"/>
            </w:tcBorders>
            <w:shd w:val="clear" w:color="auto" w:fill="A1D7EF"/>
            <w:vAlign w:val="top"/>
          </w:tcPr>
          <w:p w14:paraId="6A177250">
            <w:pPr>
              <w:pStyle w:val="8"/>
              <w:spacing w:before="65" w:line="238" w:lineRule="exact"/>
              <w:ind w:left="693"/>
            </w:pPr>
            <w:r>
              <w:rPr>
                <w:color w:val="5F6A72"/>
                <w:spacing w:val="-6"/>
                <w:position w:val="1"/>
              </w:rPr>
              <w:t>39.9</w:t>
            </w:r>
          </w:p>
        </w:tc>
      </w:tr>
      <w:tr w14:paraId="34F15F7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shd w:val="clear" w:color="auto" w:fill="EAF9FF"/>
            <w:vAlign w:val="top"/>
          </w:tcPr>
          <w:p w14:paraId="68BE9899">
            <w:pPr>
              <w:pStyle w:val="8"/>
              <w:spacing w:before="105" w:line="184" w:lineRule="auto"/>
              <w:ind w:left="12"/>
            </w:pPr>
            <w:r>
              <w:rPr>
                <w:color w:val="2A8ABF"/>
                <w:spacing w:val="-13"/>
              </w:rPr>
              <w:t>Guyana</w:t>
            </w:r>
          </w:p>
        </w:tc>
        <w:tc>
          <w:tcPr>
            <w:tcW w:w="1701" w:type="dxa"/>
            <w:tcBorders>
              <w:right w:val="nil"/>
            </w:tcBorders>
            <w:shd w:val="clear" w:color="auto" w:fill="EAF9FF"/>
            <w:vAlign w:val="top"/>
          </w:tcPr>
          <w:p w14:paraId="07183953">
            <w:pPr>
              <w:pStyle w:val="8"/>
              <w:spacing w:before="66" w:line="237" w:lineRule="exact"/>
              <w:ind w:left="693"/>
            </w:pPr>
            <w:r>
              <w:rPr>
                <w:color w:val="5F6A72"/>
                <w:spacing w:val="-7"/>
                <w:position w:val="1"/>
              </w:rPr>
              <w:t>83.8</w:t>
            </w:r>
          </w:p>
        </w:tc>
        <w:tc>
          <w:tcPr>
            <w:tcW w:w="1700" w:type="dxa"/>
            <w:tcBorders>
              <w:left w:val="nil"/>
              <w:right w:val="nil"/>
            </w:tcBorders>
            <w:shd w:val="clear" w:color="auto" w:fill="EAF9FF"/>
            <w:vAlign w:val="top"/>
          </w:tcPr>
          <w:p w14:paraId="688FA814">
            <w:pPr>
              <w:pStyle w:val="8"/>
              <w:spacing w:before="66" w:line="237" w:lineRule="exact"/>
              <w:ind w:left="698"/>
            </w:pPr>
            <w:r>
              <w:rPr>
                <w:color w:val="5F6A72"/>
                <w:spacing w:val="-7"/>
                <w:position w:val="1"/>
              </w:rPr>
              <w:t>64.8</w:t>
            </w:r>
          </w:p>
        </w:tc>
        <w:tc>
          <w:tcPr>
            <w:tcW w:w="1701" w:type="dxa"/>
            <w:tcBorders>
              <w:left w:val="nil"/>
              <w:right w:val="nil"/>
            </w:tcBorders>
            <w:shd w:val="clear" w:color="auto" w:fill="EAF9FF"/>
            <w:vAlign w:val="top"/>
          </w:tcPr>
          <w:p w14:paraId="716114A2">
            <w:pPr>
              <w:pStyle w:val="8"/>
              <w:spacing w:before="66" w:line="237" w:lineRule="exact"/>
              <w:ind w:left="696"/>
            </w:pPr>
            <w:r>
              <w:rPr>
                <w:color w:val="5F6A72"/>
                <w:spacing w:val="-6"/>
                <w:position w:val="1"/>
              </w:rPr>
              <w:t>20.4</w:t>
            </w:r>
          </w:p>
        </w:tc>
        <w:tc>
          <w:tcPr>
            <w:tcW w:w="1701" w:type="dxa"/>
            <w:tcBorders>
              <w:left w:val="nil"/>
              <w:right w:val="nil"/>
            </w:tcBorders>
            <w:shd w:val="clear" w:color="auto" w:fill="A1D7EF"/>
            <w:vAlign w:val="top"/>
          </w:tcPr>
          <w:p w14:paraId="5F4F5D8A">
            <w:pPr>
              <w:pStyle w:val="8"/>
              <w:spacing w:before="66" w:line="237" w:lineRule="exact"/>
              <w:ind w:left="698"/>
            </w:pPr>
            <w:r>
              <w:rPr>
                <w:color w:val="5F6A72"/>
                <w:spacing w:val="-7"/>
                <w:position w:val="1"/>
              </w:rPr>
              <w:t>56.3</w:t>
            </w:r>
          </w:p>
        </w:tc>
        <w:tc>
          <w:tcPr>
            <w:tcW w:w="1700" w:type="dxa"/>
            <w:tcBorders>
              <w:left w:val="nil"/>
              <w:right w:val="nil"/>
            </w:tcBorders>
            <w:shd w:val="clear" w:color="auto" w:fill="A1D7EF"/>
            <w:vAlign w:val="top"/>
          </w:tcPr>
          <w:p w14:paraId="1E49B156">
            <w:pPr>
              <w:pStyle w:val="8"/>
              <w:spacing w:before="66" w:line="237" w:lineRule="exact"/>
              <w:ind w:left="693"/>
            </w:pPr>
            <w:r>
              <w:rPr>
                <w:color w:val="5F6A72"/>
                <w:spacing w:val="-6"/>
                <w:position w:val="1"/>
              </w:rPr>
              <w:t>43.2</w:t>
            </w:r>
          </w:p>
        </w:tc>
      </w:tr>
      <w:tr w14:paraId="29BA14E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701" w:type="dxa"/>
            <w:tcBorders>
              <w:left w:val="nil"/>
            </w:tcBorders>
            <w:vAlign w:val="top"/>
          </w:tcPr>
          <w:p w14:paraId="6944F58C">
            <w:pPr>
              <w:pStyle w:val="8"/>
              <w:spacing w:before="66" w:line="234" w:lineRule="auto"/>
              <w:ind w:left="5"/>
            </w:pPr>
            <w:r>
              <w:rPr>
                <w:color w:val="2A8ABF"/>
                <w:spacing w:val="-9"/>
              </w:rPr>
              <w:t>Trinidad</w:t>
            </w:r>
            <w:r>
              <w:rPr>
                <w:color w:val="2A8ABF"/>
                <w:spacing w:val="-18"/>
              </w:rPr>
              <w:t xml:space="preserve"> </w:t>
            </w:r>
            <w:r>
              <w:rPr>
                <w:color w:val="2A8ABF"/>
                <w:spacing w:val="-9"/>
              </w:rPr>
              <w:t>And</w:t>
            </w:r>
            <w:r>
              <w:rPr>
                <w:color w:val="2A8ABF"/>
                <w:spacing w:val="-16"/>
              </w:rPr>
              <w:t xml:space="preserve"> </w:t>
            </w:r>
            <w:r>
              <w:rPr>
                <w:color w:val="2A8ABF"/>
                <w:spacing w:val="-9"/>
              </w:rPr>
              <w:t>Tobago</w:t>
            </w:r>
          </w:p>
        </w:tc>
        <w:tc>
          <w:tcPr>
            <w:tcW w:w="1701" w:type="dxa"/>
            <w:tcBorders>
              <w:right w:val="nil"/>
            </w:tcBorders>
            <w:vAlign w:val="top"/>
          </w:tcPr>
          <w:p w14:paraId="7E133971">
            <w:pPr>
              <w:pStyle w:val="8"/>
              <w:spacing w:before="66" w:line="237" w:lineRule="exact"/>
              <w:ind w:left="694"/>
            </w:pPr>
            <w:r>
              <w:rPr>
                <w:color w:val="5F6A72"/>
                <w:spacing w:val="-7"/>
                <w:position w:val="1"/>
              </w:rPr>
              <w:t>52.8</w:t>
            </w:r>
          </w:p>
        </w:tc>
        <w:tc>
          <w:tcPr>
            <w:tcW w:w="1700" w:type="dxa"/>
            <w:tcBorders>
              <w:left w:val="nil"/>
              <w:right w:val="nil"/>
            </w:tcBorders>
            <w:vAlign w:val="top"/>
          </w:tcPr>
          <w:p w14:paraId="44749BCC">
            <w:pPr>
              <w:pStyle w:val="8"/>
              <w:spacing w:before="66" w:line="237" w:lineRule="exact"/>
              <w:ind w:left="693"/>
            </w:pPr>
            <w:r>
              <w:rPr>
                <w:color w:val="5F6A72"/>
                <w:spacing w:val="-6"/>
                <w:position w:val="1"/>
              </w:rPr>
              <w:t>36.6</w:t>
            </w:r>
          </w:p>
        </w:tc>
        <w:tc>
          <w:tcPr>
            <w:tcW w:w="1701" w:type="dxa"/>
            <w:tcBorders>
              <w:left w:val="nil"/>
              <w:right w:val="nil"/>
            </w:tcBorders>
            <w:vAlign w:val="top"/>
          </w:tcPr>
          <w:p w14:paraId="2F508E6C">
            <w:pPr>
              <w:pStyle w:val="8"/>
              <w:spacing w:before="66" w:line="237" w:lineRule="exact"/>
              <w:ind w:left="694"/>
            </w:pPr>
            <w:r>
              <w:rPr>
                <w:color w:val="5F6A72"/>
                <w:spacing w:val="-6"/>
                <w:position w:val="1"/>
              </w:rPr>
              <w:t>46.5</w:t>
            </w:r>
          </w:p>
        </w:tc>
        <w:tc>
          <w:tcPr>
            <w:tcW w:w="1701" w:type="dxa"/>
            <w:tcBorders>
              <w:left w:val="nil"/>
              <w:right w:val="nil"/>
            </w:tcBorders>
            <w:shd w:val="clear" w:color="auto" w:fill="A1D7EF"/>
            <w:vAlign w:val="top"/>
          </w:tcPr>
          <w:p w14:paraId="74F51659">
            <w:pPr>
              <w:pStyle w:val="8"/>
              <w:spacing w:before="66" w:line="237" w:lineRule="exact"/>
              <w:ind w:left="693"/>
            </w:pPr>
            <w:r>
              <w:rPr>
                <w:color w:val="5F6A72"/>
                <w:spacing w:val="-6"/>
                <w:position w:val="1"/>
              </w:rPr>
              <w:t>45.3</w:t>
            </w:r>
          </w:p>
        </w:tc>
        <w:tc>
          <w:tcPr>
            <w:tcW w:w="1700" w:type="dxa"/>
            <w:tcBorders>
              <w:left w:val="nil"/>
              <w:right w:val="nil"/>
            </w:tcBorders>
            <w:shd w:val="clear" w:color="auto" w:fill="A1D7EF"/>
            <w:vAlign w:val="top"/>
          </w:tcPr>
          <w:p w14:paraId="1815CB37">
            <w:pPr>
              <w:pStyle w:val="8"/>
              <w:spacing w:before="66" w:line="237" w:lineRule="exact"/>
              <w:ind w:left="693"/>
            </w:pPr>
            <w:r>
              <w:rPr>
                <w:color w:val="5F6A72"/>
                <w:spacing w:val="-6"/>
                <w:position w:val="1"/>
              </w:rPr>
              <w:t>49.5</w:t>
            </w:r>
          </w:p>
        </w:tc>
      </w:tr>
      <w:tr w14:paraId="5DB16A3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701" w:type="dxa"/>
            <w:tcBorders>
              <w:left w:val="nil"/>
            </w:tcBorders>
            <w:shd w:val="clear" w:color="auto" w:fill="EAF9FF"/>
            <w:vAlign w:val="top"/>
          </w:tcPr>
          <w:p w14:paraId="706660D7">
            <w:pPr>
              <w:pStyle w:val="8"/>
              <w:spacing w:before="66" w:line="237" w:lineRule="exact"/>
              <w:ind w:left="18"/>
            </w:pPr>
            <w:r>
              <w:rPr>
                <w:color w:val="2A8ABF"/>
                <w:spacing w:val="-8"/>
                <w:position w:val="1"/>
              </w:rPr>
              <w:t>Bolivia</w:t>
            </w:r>
          </w:p>
        </w:tc>
        <w:tc>
          <w:tcPr>
            <w:tcW w:w="1701" w:type="dxa"/>
            <w:tcBorders>
              <w:right w:val="nil"/>
            </w:tcBorders>
            <w:shd w:val="clear" w:color="auto" w:fill="EAF9FF"/>
            <w:vAlign w:val="top"/>
          </w:tcPr>
          <w:p w14:paraId="133B34C3">
            <w:pPr>
              <w:pStyle w:val="8"/>
              <w:spacing w:before="66" w:line="237" w:lineRule="exact"/>
              <w:ind w:left="689"/>
            </w:pPr>
            <w:r>
              <w:rPr>
                <w:color w:val="5F6A72"/>
                <w:spacing w:val="-6"/>
                <w:position w:val="1"/>
              </w:rPr>
              <w:t>73.9</w:t>
            </w:r>
          </w:p>
        </w:tc>
        <w:tc>
          <w:tcPr>
            <w:tcW w:w="1700" w:type="dxa"/>
            <w:tcBorders>
              <w:left w:val="nil"/>
              <w:right w:val="nil"/>
            </w:tcBorders>
            <w:shd w:val="clear" w:color="auto" w:fill="EAF9FF"/>
            <w:vAlign w:val="top"/>
          </w:tcPr>
          <w:p w14:paraId="5F4BFA67">
            <w:pPr>
              <w:pStyle w:val="8"/>
              <w:spacing w:before="66" w:line="237" w:lineRule="exact"/>
              <w:ind w:left="696"/>
            </w:pPr>
            <w:r>
              <w:rPr>
                <w:color w:val="5F6A72"/>
                <w:spacing w:val="-6"/>
                <w:position w:val="1"/>
              </w:rPr>
              <w:t>28.2</w:t>
            </w:r>
          </w:p>
        </w:tc>
        <w:tc>
          <w:tcPr>
            <w:tcW w:w="1701" w:type="dxa"/>
            <w:tcBorders>
              <w:left w:val="nil"/>
              <w:right w:val="nil"/>
            </w:tcBorders>
            <w:shd w:val="clear" w:color="auto" w:fill="EAF9FF"/>
            <w:vAlign w:val="top"/>
          </w:tcPr>
          <w:p w14:paraId="6FABAD66">
            <w:pPr>
              <w:pStyle w:val="8"/>
              <w:spacing w:before="66" w:line="237" w:lineRule="exact"/>
              <w:ind w:left="693"/>
            </w:pPr>
            <w:r>
              <w:rPr>
                <w:color w:val="5F6A72"/>
                <w:spacing w:val="-6"/>
                <w:position w:val="1"/>
              </w:rPr>
              <w:t>34.5</w:t>
            </w:r>
          </w:p>
        </w:tc>
        <w:tc>
          <w:tcPr>
            <w:tcW w:w="1701" w:type="dxa"/>
            <w:tcBorders>
              <w:left w:val="nil"/>
              <w:right w:val="nil"/>
            </w:tcBorders>
            <w:shd w:val="clear" w:color="auto" w:fill="A1D7EF"/>
            <w:vAlign w:val="top"/>
          </w:tcPr>
          <w:p w14:paraId="0795F0BB">
            <w:pPr>
              <w:pStyle w:val="8"/>
              <w:spacing w:before="66" w:line="237" w:lineRule="exact"/>
              <w:ind w:left="693"/>
            </w:pPr>
            <w:r>
              <w:rPr>
                <w:color w:val="5F6A72"/>
                <w:spacing w:val="-6"/>
                <w:position w:val="1"/>
              </w:rPr>
              <w:t>45.5</w:t>
            </w:r>
          </w:p>
        </w:tc>
        <w:tc>
          <w:tcPr>
            <w:tcW w:w="1700" w:type="dxa"/>
            <w:tcBorders>
              <w:left w:val="nil"/>
              <w:right w:val="nil"/>
            </w:tcBorders>
            <w:shd w:val="clear" w:color="auto" w:fill="A1D7EF"/>
            <w:vAlign w:val="top"/>
          </w:tcPr>
          <w:p w14:paraId="62C80E0D">
            <w:pPr>
              <w:pStyle w:val="8"/>
              <w:spacing w:before="66" w:line="237" w:lineRule="exact"/>
              <w:ind w:left="698"/>
            </w:pPr>
            <w:r>
              <w:rPr>
                <w:color w:val="5F6A72"/>
                <w:spacing w:val="-7"/>
                <w:position w:val="1"/>
              </w:rPr>
              <w:t>54.0</w:t>
            </w:r>
          </w:p>
        </w:tc>
      </w:tr>
      <w:tr w14:paraId="01EEBDC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vAlign w:val="top"/>
          </w:tcPr>
          <w:p w14:paraId="20CBDAC2">
            <w:pPr>
              <w:pStyle w:val="8"/>
              <w:spacing w:before="107" w:line="183" w:lineRule="auto"/>
              <w:ind w:left="18"/>
            </w:pPr>
            <w:r>
              <w:rPr>
                <w:color w:val="2A8ABF"/>
                <w:spacing w:val="-13"/>
              </w:rPr>
              <w:t>Peru</w:t>
            </w:r>
          </w:p>
        </w:tc>
        <w:tc>
          <w:tcPr>
            <w:tcW w:w="1701" w:type="dxa"/>
            <w:tcBorders>
              <w:right w:val="nil"/>
            </w:tcBorders>
            <w:vAlign w:val="top"/>
          </w:tcPr>
          <w:p w14:paraId="2382DBE0">
            <w:pPr>
              <w:pStyle w:val="8"/>
              <w:spacing w:before="65" w:line="237" w:lineRule="exact"/>
              <w:ind w:left="692"/>
            </w:pPr>
            <w:r>
              <w:rPr>
                <w:color w:val="5F6A72"/>
                <w:spacing w:val="-6"/>
                <w:position w:val="1"/>
              </w:rPr>
              <w:t>21.8</w:t>
            </w:r>
          </w:p>
        </w:tc>
        <w:tc>
          <w:tcPr>
            <w:tcW w:w="1700" w:type="dxa"/>
            <w:tcBorders>
              <w:left w:val="nil"/>
              <w:right w:val="nil"/>
            </w:tcBorders>
            <w:vAlign w:val="top"/>
          </w:tcPr>
          <w:p w14:paraId="690B9166">
            <w:pPr>
              <w:pStyle w:val="8"/>
              <w:spacing w:before="65" w:line="237" w:lineRule="exact"/>
              <w:ind w:left="697"/>
            </w:pPr>
            <w:r>
              <w:rPr>
                <w:color w:val="5F6A72"/>
                <w:spacing w:val="-7"/>
                <w:position w:val="1"/>
              </w:rPr>
              <w:t>50.7</w:t>
            </w:r>
          </w:p>
        </w:tc>
        <w:tc>
          <w:tcPr>
            <w:tcW w:w="1701" w:type="dxa"/>
            <w:tcBorders>
              <w:left w:val="nil"/>
              <w:right w:val="nil"/>
            </w:tcBorders>
            <w:vAlign w:val="top"/>
          </w:tcPr>
          <w:p w14:paraId="04C187B0">
            <w:pPr>
              <w:pStyle w:val="8"/>
              <w:spacing w:before="65" w:line="237" w:lineRule="exact"/>
              <w:ind w:left="697"/>
            </w:pPr>
            <w:r>
              <w:rPr>
                <w:color w:val="5F6A72"/>
                <w:spacing w:val="-7"/>
                <w:position w:val="1"/>
              </w:rPr>
              <w:t>81.0</w:t>
            </w:r>
          </w:p>
        </w:tc>
        <w:tc>
          <w:tcPr>
            <w:tcW w:w="1701" w:type="dxa"/>
            <w:tcBorders>
              <w:left w:val="nil"/>
              <w:right w:val="nil"/>
            </w:tcBorders>
            <w:shd w:val="clear" w:color="auto" w:fill="A1D7EF"/>
            <w:vAlign w:val="top"/>
          </w:tcPr>
          <w:p w14:paraId="553A13FF">
            <w:pPr>
              <w:pStyle w:val="8"/>
              <w:spacing w:before="65" w:line="237" w:lineRule="exact"/>
              <w:ind w:left="698"/>
            </w:pPr>
            <w:r>
              <w:rPr>
                <w:color w:val="5F6A72"/>
                <w:spacing w:val="-7"/>
                <w:position w:val="1"/>
              </w:rPr>
              <w:t>51.2</w:t>
            </w:r>
          </w:p>
        </w:tc>
        <w:tc>
          <w:tcPr>
            <w:tcW w:w="1700" w:type="dxa"/>
            <w:tcBorders>
              <w:left w:val="nil"/>
              <w:right w:val="nil"/>
            </w:tcBorders>
            <w:shd w:val="clear" w:color="auto" w:fill="A1D7EF"/>
            <w:vAlign w:val="top"/>
          </w:tcPr>
          <w:p w14:paraId="3FCCD484">
            <w:pPr>
              <w:pStyle w:val="8"/>
              <w:spacing w:before="65" w:line="237" w:lineRule="exact"/>
              <w:ind w:left="698"/>
            </w:pPr>
            <w:r>
              <w:rPr>
                <w:color w:val="5F6A72"/>
                <w:spacing w:val="-7"/>
                <w:position w:val="1"/>
              </w:rPr>
              <w:t>56.9</w:t>
            </w:r>
          </w:p>
        </w:tc>
      </w:tr>
      <w:tr w14:paraId="27498CD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701" w:type="dxa"/>
            <w:tcBorders>
              <w:left w:val="nil"/>
            </w:tcBorders>
            <w:shd w:val="clear" w:color="auto" w:fill="EAF9FF"/>
            <w:vAlign w:val="top"/>
          </w:tcPr>
          <w:p w14:paraId="52516999">
            <w:pPr>
              <w:pStyle w:val="8"/>
              <w:spacing w:before="65" w:line="238" w:lineRule="exact"/>
              <w:ind w:left="12"/>
            </w:pPr>
            <w:r>
              <w:rPr>
                <w:color w:val="2A8ABF"/>
                <w:spacing w:val="-7"/>
                <w:position w:val="1"/>
              </w:rPr>
              <w:t>Colombia</w:t>
            </w:r>
          </w:p>
        </w:tc>
        <w:tc>
          <w:tcPr>
            <w:tcW w:w="1701" w:type="dxa"/>
            <w:tcBorders>
              <w:right w:val="nil"/>
            </w:tcBorders>
            <w:shd w:val="clear" w:color="auto" w:fill="EAF9FF"/>
            <w:vAlign w:val="top"/>
          </w:tcPr>
          <w:p w14:paraId="599F1AC5">
            <w:pPr>
              <w:pStyle w:val="8"/>
              <w:spacing w:before="65" w:line="238" w:lineRule="exact"/>
              <w:ind w:left="689"/>
            </w:pPr>
            <w:r>
              <w:rPr>
                <w:color w:val="5F6A72"/>
                <w:spacing w:val="-6"/>
                <w:position w:val="1"/>
              </w:rPr>
              <w:t>73.9</w:t>
            </w:r>
          </w:p>
        </w:tc>
        <w:tc>
          <w:tcPr>
            <w:tcW w:w="1700" w:type="dxa"/>
            <w:tcBorders>
              <w:left w:val="nil"/>
              <w:right w:val="nil"/>
            </w:tcBorders>
            <w:shd w:val="clear" w:color="auto" w:fill="EAF9FF"/>
            <w:vAlign w:val="top"/>
          </w:tcPr>
          <w:p w14:paraId="3F0E6216">
            <w:pPr>
              <w:pStyle w:val="8"/>
              <w:spacing w:before="65" w:line="238" w:lineRule="exact"/>
              <w:ind w:left="697"/>
            </w:pPr>
            <w:r>
              <w:rPr>
                <w:color w:val="5F6A72"/>
                <w:spacing w:val="-7"/>
                <w:position w:val="1"/>
              </w:rPr>
              <w:t>52.1</w:t>
            </w:r>
          </w:p>
        </w:tc>
        <w:tc>
          <w:tcPr>
            <w:tcW w:w="1701" w:type="dxa"/>
            <w:tcBorders>
              <w:left w:val="nil"/>
              <w:right w:val="nil"/>
            </w:tcBorders>
            <w:shd w:val="clear" w:color="auto" w:fill="EAF9FF"/>
            <w:vAlign w:val="top"/>
          </w:tcPr>
          <w:p w14:paraId="70286A83">
            <w:pPr>
              <w:pStyle w:val="8"/>
              <w:spacing w:before="65" w:line="238" w:lineRule="exact"/>
              <w:ind w:left="696"/>
            </w:pPr>
            <w:r>
              <w:rPr>
                <w:color w:val="5F6A72"/>
                <w:spacing w:val="-6"/>
                <w:position w:val="1"/>
              </w:rPr>
              <w:t>27.5</w:t>
            </w:r>
          </w:p>
        </w:tc>
        <w:tc>
          <w:tcPr>
            <w:tcW w:w="1701" w:type="dxa"/>
            <w:tcBorders>
              <w:left w:val="nil"/>
              <w:right w:val="nil"/>
            </w:tcBorders>
            <w:shd w:val="clear" w:color="auto" w:fill="A1D7EF"/>
            <w:vAlign w:val="top"/>
          </w:tcPr>
          <w:p w14:paraId="6E442879">
            <w:pPr>
              <w:pStyle w:val="8"/>
              <w:spacing w:before="65" w:line="238" w:lineRule="exact"/>
              <w:ind w:left="698"/>
            </w:pPr>
            <w:r>
              <w:rPr>
                <w:color w:val="5F6A72"/>
                <w:spacing w:val="-7"/>
                <w:position w:val="1"/>
              </w:rPr>
              <w:t>51.2</w:t>
            </w:r>
          </w:p>
        </w:tc>
        <w:tc>
          <w:tcPr>
            <w:tcW w:w="1700" w:type="dxa"/>
            <w:tcBorders>
              <w:left w:val="nil"/>
              <w:right w:val="nil"/>
            </w:tcBorders>
            <w:shd w:val="clear" w:color="auto" w:fill="A1D7EF"/>
            <w:vAlign w:val="top"/>
          </w:tcPr>
          <w:p w14:paraId="767B7278">
            <w:pPr>
              <w:pStyle w:val="8"/>
              <w:spacing w:before="65" w:line="238" w:lineRule="exact"/>
              <w:ind w:left="698"/>
            </w:pPr>
            <w:r>
              <w:rPr>
                <w:color w:val="5F6A72"/>
                <w:spacing w:val="-7"/>
                <w:position w:val="1"/>
              </w:rPr>
              <w:t>57.3</w:t>
            </w:r>
          </w:p>
        </w:tc>
      </w:tr>
      <w:tr w14:paraId="022A14A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vAlign w:val="top"/>
          </w:tcPr>
          <w:p w14:paraId="47C06825">
            <w:pPr>
              <w:pStyle w:val="8"/>
              <w:spacing w:before="65" w:line="237" w:lineRule="exact"/>
              <w:ind w:left="3"/>
            </w:pPr>
            <w:r>
              <w:rPr>
                <w:color w:val="2A8ABF"/>
                <w:spacing w:val="-8"/>
                <w:position w:val="1"/>
              </w:rPr>
              <w:t>Venezuela</w:t>
            </w:r>
          </w:p>
        </w:tc>
        <w:tc>
          <w:tcPr>
            <w:tcW w:w="1701" w:type="dxa"/>
            <w:tcBorders>
              <w:right w:val="nil"/>
            </w:tcBorders>
            <w:vAlign w:val="top"/>
          </w:tcPr>
          <w:p w14:paraId="2F6FE0DC">
            <w:pPr>
              <w:pStyle w:val="8"/>
              <w:spacing w:before="65" w:line="237" w:lineRule="exact"/>
              <w:ind w:left="694"/>
            </w:pPr>
            <w:r>
              <w:rPr>
                <w:color w:val="5F6A72"/>
                <w:spacing w:val="-7"/>
                <w:position w:val="1"/>
              </w:rPr>
              <w:t>93.0</w:t>
            </w:r>
          </w:p>
        </w:tc>
        <w:tc>
          <w:tcPr>
            <w:tcW w:w="1700" w:type="dxa"/>
            <w:tcBorders>
              <w:left w:val="nil"/>
              <w:right w:val="nil"/>
            </w:tcBorders>
            <w:vAlign w:val="top"/>
          </w:tcPr>
          <w:p w14:paraId="5B797224">
            <w:pPr>
              <w:pStyle w:val="8"/>
              <w:spacing w:before="65" w:line="237" w:lineRule="exact"/>
              <w:ind w:left="697"/>
            </w:pPr>
            <w:r>
              <w:rPr>
                <w:color w:val="5F6A72"/>
                <w:spacing w:val="-7"/>
                <w:position w:val="1"/>
              </w:rPr>
              <w:t>97.2</w:t>
            </w:r>
          </w:p>
        </w:tc>
        <w:tc>
          <w:tcPr>
            <w:tcW w:w="1701" w:type="dxa"/>
            <w:tcBorders>
              <w:left w:val="nil"/>
              <w:right w:val="nil"/>
            </w:tcBorders>
            <w:vAlign w:val="top"/>
          </w:tcPr>
          <w:p w14:paraId="44B36448">
            <w:pPr>
              <w:pStyle w:val="8"/>
              <w:spacing w:before="65" w:line="237" w:lineRule="exact"/>
              <w:ind w:left="698"/>
            </w:pPr>
            <w:r>
              <w:rPr>
                <w:color w:val="5F6A72"/>
                <w:spacing w:val="-7"/>
                <w:position w:val="1"/>
              </w:rPr>
              <w:t>92.3</w:t>
            </w:r>
          </w:p>
        </w:tc>
        <w:tc>
          <w:tcPr>
            <w:tcW w:w="1701" w:type="dxa"/>
            <w:tcBorders>
              <w:left w:val="nil"/>
              <w:right w:val="nil"/>
            </w:tcBorders>
            <w:shd w:val="clear" w:color="auto" w:fill="A1D7EF"/>
            <w:vAlign w:val="top"/>
          </w:tcPr>
          <w:p w14:paraId="6664A298">
            <w:pPr>
              <w:pStyle w:val="8"/>
              <w:spacing w:before="65" w:line="237" w:lineRule="exact"/>
              <w:ind w:left="698"/>
            </w:pPr>
            <w:r>
              <w:rPr>
                <w:color w:val="5F6A72"/>
                <w:spacing w:val="-7"/>
                <w:position w:val="1"/>
              </w:rPr>
              <w:t>94.1</w:t>
            </w:r>
          </w:p>
        </w:tc>
        <w:tc>
          <w:tcPr>
            <w:tcW w:w="1700" w:type="dxa"/>
            <w:tcBorders>
              <w:left w:val="nil"/>
              <w:right w:val="nil"/>
            </w:tcBorders>
            <w:shd w:val="clear" w:color="auto" w:fill="A1D7EF"/>
            <w:vAlign w:val="top"/>
          </w:tcPr>
          <w:p w14:paraId="0EAF6485">
            <w:pPr>
              <w:pStyle w:val="8"/>
              <w:spacing w:before="65" w:line="237" w:lineRule="exact"/>
              <w:ind w:left="698"/>
            </w:pPr>
            <w:r>
              <w:rPr>
                <w:color w:val="5F6A72"/>
                <w:spacing w:val="-7"/>
                <w:position w:val="1"/>
              </w:rPr>
              <w:t>57.2</w:t>
            </w:r>
          </w:p>
        </w:tc>
      </w:tr>
      <w:tr w14:paraId="7782A58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701" w:type="dxa"/>
            <w:tcBorders>
              <w:left w:val="nil"/>
            </w:tcBorders>
            <w:shd w:val="clear" w:color="auto" w:fill="EAF9FF"/>
            <w:vAlign w:val="top"/>
          </w:tcPr>
          <w:p w14:paraId="30E417BA">
            <w:pPr>
              <w:pStyle w:val="8"/>
              <w:spacing w:before="65" w:line="238" w:lineRule="exact"/>
              <w:ind w:left="18"/>
            </w:pPr>
            <w:r>
              <w:rPr>
                <w:color w:val="2A8ABF"/>
                <w:spacing w:val="-12"/>
                <w:position w:val="1"/>
              </w:rPr>
              <w:t>Ecuador</w:t>
            </w:r>
          </w:p>
        </w:tc>
        <w:tc>
          <w:tcPr>
            <w:tcW w:w="1701" w:type="dxa"/>
            <w:tcBorders>
              <w:right w:val="nil"/>
            </w:tcBorders>
            <w:shd w:val="clear" w:color="auto" w:fill="EAF9FF"/>
            <w:vAlign w:val="top"/>
          </w:tcPr>
          <w:p w14:paraId="7B0E48C0">
            <w:pPr>
              <w:pStyle w:val="8"/>
              <w:spacing w:before="65" w:line="237" w:lineRule="exact"/>
              <w:ind w:left="689"/>
            </w:pPr>
            <w:r>
              <w:rPr>
                <w:color w:val="5F6A72"/>
                <w:spacing w:val="-6"/>
                <w:position w:val="1"/>
              </w:rPr>
              <w:t>79.6</w:t>
            </w:r>
          </w:p>
        </w:tc>
        <w:tc>
          <w:tcPr>
            <w:tcW w:w="1700" w:type="dxa"/>
            <w:tcBorders>
              <w:left w:val="nil"/>
              <w:right w:val="nil"/>
            </w:tcBorders>
            <w:shd w:val="clear" w:color="auto" w:fill="EAF9FF"/>
            <w:vAlign w:val="top"/>
          </w:tcPr>
          <w:p w14:paraId="21293420">
            <w:pPr>
              <w:pStyle w:val="8"/>
              <w:spacing w:before="65" w:line="237" w:lineRule="exact"/>
              <w:ind w:left="693"/>
            </w:pPr>
            <w:r>
              <w:rPr>
                <w:color w:val="5F6A72"/>
                <w:spacing w:val="-6"/>
                <w:position w:val="1"/>
              </w:rPr>
              <w:t>76.1</w:t>
            </w:r>
          </w:p>
        </w:tc>
        <w:tc>
          <w:tcPr>
            <w:tcW w:w="1701" w:type="dxa"/>
            <w:tcBorders>
              <w:left w:val="nil"/>
              <w:right w:val="nil"/>
            </w:tcBorders>
            <w:shd w:val="clear" w:color="auto" w:fill="EAF9FF"/>
            <w:vAlign w:val="top"/>
          </w:tcPr>
          <w:p w14:paraId="4251BFE0">
            <w:pPr>
              <w:pStyle w:val="8"/>
              <w:spacing w:before="65" w:line="237" w:lineRule="exact"/>
              <w:ind w:left="693"/>
            </w:pPr>
            <w:r>
              <w:rPr>
                <w:color w:val="5F6A72"/>
                <w:spacing w:val="-6"/>
                <w:position w:val="1"/>
              </w:rPr>
              <w:t>34.5</w:t>
            </w:r>
          </w:p>
        </w:tc>
        <w:tc>
          <w:tcPr>
            <w:tcW w:w="1701" w:type="dxa"/>
            <w:tcBorders>
              <w:left w:val="nil"/>
              <w:right w:val="nil"/>
            </w:tcBorders>
            <w:shd w:val="clear" w:color="auto" w:fill="A1D7EF"/>
            <w:vAlign w:val="top"/>
          </w:tcPr>
          <w:p w14:paraId="222815C0">
            <w:pPr>
              <w:pStyle w:val="8"/>
              <w:spacing w:before="65" w:line="237" w:lineRule="exact"/>
              <w:ind w:left="699"/>
            </w:pPr>
            <w:r>
              <w:rPr>
                <w:color w:val="5F6A72"/>
                <w:spacing w:val="-7"/>
                <w:position w:val="1"/>
              </w:rPr>
              <w:t>63.4</w:t>
            </w:r>
          </w:p>
        </w:tc>
        <w:tc>
          <w:tcPr>
            <w:tcW w:w="1700" w:type="dxa"/>
            <w:tcBorders>
              <w:left w:val="nil"/>
              <w:right w:val="nil"/>
            </w:tcBorders>
            <w:shd w:val="clear" w:color="auto" w:fill="A1D7EF"/>
            <w:vAlign w:val="top"/>
          </w:tcPr>
          <w:p w14:paraId="3BB970F5">
            <w:pPr>
              <w:pStyle w:val="8"/>
              <w:spacing w:before="65" w:line="237" w:lineRule="exact"/>
              <w:ind w:left="698"/>
            </w:pPr>
            <w:r>
              <w:rPr>
                <w:color w:val="5F6A72"/>
                <w:spacing w:val="-7"/>
                <w:position w:val="1"/>
              </w:rPr>
              <w:t>64.0</w:t>
            </w:r>
          </w:p>
        </w:tc>
      </w:tr>
      <w:tr w14:paraId="066C324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vAlign w:val="top"/>
          </w:tcPr>
          <w:p w14:paraId="14B3C499">
            <w:pPr>
              <w:pStyle w:val="8"/>
              <w:rPr>
                <w:sz w:val="21"/>
              </w:rPr>
            </w:pPr>
          </w:p>
        </w:tc>
        <w:tc>
          <w:tcPr>
            <w:tcW w:w="1701" w:type="dxa"/>
            <w:tcBorders>
              <w:right w:val="nil"/>
            </w:tcBorders>
            <w:vAlign w:val="top"/>
          </w:tcPr>
          <w:p w14:paraId="462332FC">
            <w:pPr>
              <w:pStyle w:val="8"/>
              <w:rPr>
                <w:sz w:val="21"/>
              </w:rPr>
            </w:pPr>
          </w:p>
        </w:tc>
        <w:tc>
          <w:tcPr>
            <w:tcW w:w="1700" w:type="dxa"/>
            <w:tcBorders>
              <w:left w:val="nil"/>
              <w:right w:val="nil"/>
            </w:tcBorders>
            <w:vAlign w:val="top"/>
          </w:tcPr>
          <w:p w14:paraId="0D063DA9">
            <w:pPr>
              <w:pStyle w:val="8"/>
              <w:rPr>
                <w:sz w:val="21"/>
              </w:rPr>
            </w:pPr>
          </w:p>
        </w:tc>
        <w:tc>
          <w:tcPr>
            <w:tcW w:w="1701" w:type="dxa"/>
            <w:tcBorders>
              <w:left w:val="nil"/>
              <w:right w:val="nil"/>
            </w:tcBorders>
            <w:vAlign w:val="top"/>
          </w:tcPr>
          <w:p w14:paraId="2F8AC8E0">
            <w:pPr>
              <w:pStyle w:val="8"/>
              <w:rPr>
                <w:sz w:val="21"/>
              </w:rPr>
            </w:pPr>
          </w:p>
        </w:tc>
        <w:tc>
          <w:tcPr>
            <w:tcW w:w="1701" w:type="dxa"/>
            <w:tcBorders>
              <w:left w:val="nil"/>
              <w:right w:val="nil"/>
            </w:tcBorders>
            <w:shd w:val="clear" w:color="auto" w:fill="A1D7EF"/>
            <w:vAlign w:val="top"/>
          </w:tcPr>
          <w:p w14:paraId="115DE8EB">
            <w:pPr>
              <w:pStyle w:val="8"/>
              <w:rPr>
                <w:sz w:val="21"/>
              </w:rPr>
            </w:pPr>
          </w:p>
        </w:tc>
        <w:tc>
          <w:tcPr>
            <w:tcW w:w="1700" w:type="dxa"/>
            <w:tcBorders>
              <w:left w:val="nil"/>
              <w:right w:val="nil"/>
            </w:tcBorders>
            <w:shd w:val="clear" w:color="auto" w:fill="A1D7EF"/>
            <w:vAlign w:val="top"/>
          </w:tcPr>
          <w:p w14:paraId="27125ED6">
            <w:pPr>
              <w:pStyle w:val="8"/>
              <w:rPr>
                <w:sz w:val="21"/>
              </w:rPr>
            </w:pPr>
          </w:p>
        </w:tc>
      </w:tr>
      <w:tr w14:paraId="707F56B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01" w:type="dxa"/>
            <w:tcBorders>
              <w:left w:val="nil"/>
            </w:tcBorders>
            <w:shd w:val="clear" w:color="auto" w:fill="EAF9FF"/>
            <w:vAlign w:val="top"/>
          </w:tcPr>
          <w:p w14:paraId="2D3381BF">
            <w:pPr>
              <w:pStyle w:val="8"/>
              <w:spacing w:before="65" w:line="234" w:lineRule="auto"/>
              <w:ind w:left="12"/>
            </w:pPr>
            <w:r>
              <w:rPr>
                <w:color w:val="2A8ABF"/>
                <w:spacing w:val="-11"/>
              </w:rPr>
              <w:t>Global</w:t>
            </w:r>
            <w:r>
              <w:rPr>
                <w:color w:val="2A8ABF"/>
                <w:spacing w:val="-2"/>
              </w:rPr>
              <w:t xml:space="preserve"> </w:t>
            </w:r>
            <w:r>
              <w:rPr>
                <w:color w:val="2A8ABF"/>
                <w:spacing w:val="-11"/>
              </w:rPr>
              <w:t>average</w:t>
            </w:r>
          </w:p>
        </w:tc>
        <w:tc>
          <w:tcPr>
            <w:tcW w:w="1701" w:type="dxa"/>
            <w:tcBorders>
              <w:right w:val="nil"/>
            </w:tcBorders>
            <w:shd w:val="clear" w:color="auto" w:fill="EAF9FF"/>
            <w:vAlign w:val="top"/>
          </w:tcPr>
          <w:p w14:paraId="4DF702F7">
            <w:pPr>
              <w:pStyle w:val="8"/>
              <w:spacing w:before="65" w:line="237" w:lineRule="exact"/>
              <w:ind w:left="694"/>
            </w:pPr>
            <w:r>
              <w:rPr>
                <w:color w:val="5F6A72"/>
                <w:spacing w:val="-7"/>
                <w:position w:val="1"/>
              </w:rPr>
              <w:t>50.0</w:t>
            </w:r>
          </w:p>
        </w:tc>
        <w:tc>
          <w:tcPr>
            <w:tcW w:w="1700" w:type="dxa"/>
            <w:tcBorders>
              <w:left w:val="nil"/>
              <w:right w:val="nil"/>
            </w:tcBorders>
            <w:shd w:val="clear" w:color="auto" w:fill="EAF9FF"/>
            <w:vAlign w:val="top"/>
          </w:tcPr>
          <w:p w14:paraId="06E10247">
            <w:pPr>
              <w:pStyle w:val="8"/>
              <w:spacing w:before="65" w:line="237" w:lineRule="exact"/>
              <w:ind w:left="697"/>
            </w:pPr>
            <w:r>
              <w:rPr>
                <w:color w:val="5F6A72"/>
                <w:spacing w:val="-7"/>
                <w:position w:val="1"/>
              </w:rPr>
              <w:t>50.0</w:t>
            </w:r>
          </w:p>
        </w:tc>
        <w:tc>
          <w:tcPr>
            <w:tcW w:w="1701" w:type="dxa"/>
            <w:tcBorders>
              <w:left w:val="nil"/>
              <w:right w:val="nil"/>
            </w:tcBorders>
            <w:shd w:val="clear" w:color="auto" w:fill="EAF9FF"/>
            <w:vAlign w:val="top"/>
          </w:tcPr>
          <w:p w14:paraId="654D8804">
            <w:pPr>
              <w:pStyle w:val="8"/>
              <w:spacing w:before="65" w:line="237" w:lineRule="exact"/>
              <w:ind w:left="698"/>
            </w:pPr>
            <w:r>
              <w:rPr>
                <w:color w:val="5F6A72"/>
                <w:spacing w:val="-7"/>
                <w:position w:val="1"/>
              </w:rPr>
              <w:t>50.0</w:t>
            </w:r>
          </w:p>
        </w:tc>
        <w:tc>
          <w:tcPr>
            <w:tcW w:w="1701" w:type="dxa"/>
            <w:tcBorders>
              <w:left w:val="nil"/>
              <w:right w:val="nil"/>
            </w:tcBorders>
            <w:shd w:val="clear" w:color="auto" w:fill="A1D7EF"/>
            <w:vAlign w:val="top"/>
          </w:tcPr>
          <w:p w14:paraId="2D540F57">
            <w:pPr>
              <w:pStyle w:val="8"/>
              <w:spacing w:before="65" w:line="237" w:lineRule="exact"/>
              <w:ind w:left="698"/>
            </w:pPr>
            <w:r>
              <w:rPr>
                <w:color w:val="5F6A72"/>
                <w:spacing w:val="-7"/>
                <w:position w:val="1"/>
              </w:rPr>
              <w:t>50.0</w:t>
            </w:r>
          </w:p>
        </w:tc>
        <w:tc>
          <w:tcPr>
            <w:tcW w:w="1700" w:type="dxa"/>
            <w:tcBorders>
              <w:left w:val="nil"/>
              <w:right w:val="nil"/>
            </w:tcBorders>
            <w:shd w:val="clear" w:color="auto" w:fill="A1D7EF"/>
            <w:vAlign w:val="top"/>
          </w:tcPr>
          <w:p w14:paraId="43C8DBCC">
            <w:pPr>
              <w:pStyle w:val="8"/>
              <w:spacing w:before="65" w:line="237" w:lineRule="exact"/>
              <w:ind w:left="698"/>
            </w:pPr>
            <w:r>
              <w:rPr>
                <w:color w:val="5F6A72"/>
                <w:spacing w:val="-7"/>
                <w:position w:val="1"/>
              </w:rPr>
              <w:t>50.0</w:t>
            </w:r>
          </w:p>
        </w:tc>
      </w:tr>
      <w:tr w14:paraId="327B087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1701" w:type="dxa"/>
            <w:tcBorders>
              <w:left w:val="nil"/>
              <w:bottom w:val="nil"/>
            </w:tcBorders>
            <w:vAlign w:val="top"/>
          </w:tcPr>
          <w:p w14:paraId="71251E50">
            <w:pPr>
              <w:pStyle w:val="8"/>
              <w:spacing w:before="65" w:line="234" w:lineRule="auto"/>
              <w:ind w:left="18"/>
            </w:pPr>
            <w:r>
              <w:rPr>
                <w:color w:val="2A8ABF"/>
                <w:spacing w:val="-11"/>
              </w:rPr>
              <w:t>Regional</w:t>
            </w:r>
            <w:r>
              <w:rPr>
                <w:color w:val="2A8ABF"/>
              </w:rPr>
              <w:t xml:space="preserve"> </w:t>
            </w:r>
            <w:r>
              <w:rPr>
                <w:color w:val="2A8ABF"/>
                <w:spacing w:val="-11"/>
              </w:rPr>
              <w:t>average</w:t>
            </w:r>
          </w:p>
        </w:tc>
        <w:tc>
          <w:tcPr>
            <w:tcW w:w="1701" w:type="dxa"/>
            <w:tcBorders>
              <w:bottom w:val="nil"/>
              <w:right w:val="nil"/>
            </w:tcBorders>
            <w:vAlign w:val="top"/>
          </w:tcPr>
          <w:p w14:paraId="1F31EDD2">
            <w:pPr>
              <w:pStyle w:val="8"/>
              <w:spacing w:before="65" w:line="238" w:lineRule="exact"/>
              <w:ind w:left="694"/>
            </w:pPr>
            <w:r>
              <w:rPr>
                <w:color w:val="5F6A72"/>
                <w:spacing w:val="-7"/>
                <w:position w:val="1"/>
              </w:rPr>
              <w:t>56.1</w:t>
            </w:r>
          </w:p>
        </w:tc>
        <w:tc>
          <w:tcPr>
            <w:tcW w:w="1700" w:type="dxa"/>
            <w:tcBorders>
              <w:left w:val="nil"/>
              <w:bottom w:val="nil"/>
              <w:right w:val="nil"/>
            </w:tcBorders>
            <w:vAlign w:val="top"/>
          </w:tcPr>
          <w:p w14:paraId="1A6D057D">
            <w:pPr>
              <w:pStyle w:val="8"/>
              <w:spacing w:before="65" w:line="238" w:lineRule="exact"/>
              <w:ind w:left="698"/>
            </w:pPr>
            <w:r>
              <w:rPr>
                <w:color w:val="5F6A72"/>
                <w:spacing w:val="-7"/>
                <w:position w:val="1"/>
              </w:rPr>
              <w:t>61.1</w:t>
            </w:r>
          </w:p>
        </w:tc>
        <w:tc>
          <w:tcPr>
            <w:tcW w:w="1701" w:type="dxa"/>
            <w:tcBorders>
              <w:left w:val="nil"/>
              <w:bottom w:val="nil"/>
              <w:right w:val="nil"/>
            </w:tcBorders>
            <w:vAlign w:val="top"/>
          </w:tcPr>
          <w:p w14:paraId="043DA17E">
            <w:pPr>
              <w:pStyle w:val="8"/>
              <w:spacing w:before="65" w:line="238" w:lineRule="exact"/>
              <w:ind w:left="694"/>
            </w:pPr>
            <w:r>
              <w:rPr>
                <w:color w:val="5F6A72"/>
                <w:spacing w:val="-6"/>
                <w:position w:val="1"/>
              </w:rPr>
              <w:t>46.1</w:t>
            </w:r>
          </w:p>
        </w:tc>
        <w:tc>
          <w:tcPr>
            <w:tcW w:w="1701" w:type="dxa"/>
            <w:tcBorders>
              <w:left w:val="nil"/>
              <w:bottom w:val="nil"/>
              <w:right w:val="nil"/>
            </w:tcBorders>
            <w:shd w:val="clear" w:color="auto" w:fill="A1D7EF"/>
            <w:vAlign w:val="top"/>
          </w:tcPr>
          <w:p w14:paraId="0DA53FF4">
            <w:pPr>
              <w:pStyle w:val="8"/>
              <w:spacing w:before="65" w:line="238" w:lineRule="exact"/>
              <w:ind w:left="698"/>
            </w:pPr>
            <w:r>
              <w:rPr>
                <w:color w:val="5F6A72"/>
                <w:spacing w:val="-7"/>
                <w:position w:val="1"/>
              </w:rPr>
              <w:t>54.4</w:t>
            </w:r>
          </w:p>
        </w:tc>
        <w:tc>
          <w:tcPr>
            <w:tcW w:w="1700" w:type="dxa"/>
            <w:tcBorders>
              <w:left w:val="nil"/>
              <w:bottom w:val="nil"/>
              <w:right w:val="nil"/>
            </w:tcBorders>
            <w:shd w:val="clear" w:color="auto" w:fill="A1D7EF"/>
            <w:vAlign w:val="top"/>
          </w:tcPr>
          <w:p w14:paraId="4C8A5391">
            <w:pPr>
              <w:pStyle w:val="8"/>
              <w:spacing w:before="65" w:line="238" w:lineRule="exact"/>
              <w:ind w:left="693"/>
            </w:pPr>
            <w:r>
              <w:rPr>
                <w:color w:val="5F6A72"/>
                <w:spacing w:val="-6"/>
                <w:position w:val="1"/>
              </w:rPr>
              <w:t>48.2</w:t>
            </w:r>
          </w:p>
        </w:tc>
      </w:tr>
    </w:tbl>
    <w:p w14:paraId="79617795">
      <w:pPr>
        <w:pStyle w:val="4"/>
        <w:spacing w:before="149" w:line="235" w:lineRule="auto"/>
        <w:ind w:left="372"/>
        <w:rPr>
          <w:sz w:val="15"/>
          <w:szCs w:val="15"/>
        </w:rPr>
      </w:pPr>
      <w:r>
        <w:drawing>
          <wp:anchor distT="0" distB="0" distL="0" distR="0" simplePos="0" relativeHeight="251870208"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6FF969D0">
      <w:pPr>
        <w:spacing w:line="235" w:lineRule="auto"/>
        <w:rPr>
          <w:sz w:val="15"/>
          <w:szCs w:val="15"/>
        </w:rPr>
        <w:sectPr>
          <w:footerReference r:id="rId54" w:type="default"/>
          <w:pgSz w:w="11906" w:h="16838"/>
          <w:pgMar w:top="400" w:right="490" w:bottom="883" w:left="490" w:header="0" w:footer="0" w:gutter="0"/>
          <w:cols w:space="720" w:num="1"/>
        </w:sectPr>
      </w:pPr>
    </w:p>
    <w:p w14:paraId="05A03C57">
      <w:pPr>
        <w:pStyle w:val="4"/>
        <w:spacing w:before="73" w:line="241" w:lineRule="auto"/>
        <w:ind w:left="7372"/>
        <w:rPr>
          <w:sz w:val="20"/>
          <w:szCs w:val="20"/>
        </w:rPr>
      </w:pPr>
      <w:r>
        <w:drawing>
          <wp:anchor distT="0" distB="0" distL="0" distR="0" simplePos="0" relativeHeight="25187532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76352" behindDoc="0" locked="0" layoutInCell="0" allowOverlap="1">
            <wp:simplePos x="0" y="0"/>
            <wp:positionH relativeFrom="page">
              <wp:posOffset>311150</wp:posOffset>
            </wp:positionH>
            <wp:positionV relativeFrom="page">
              <wp:posOffset>0</wp:posOffset>
            </wp:positionV>
            <wp:extent cx="19050" cy="814070"/>
            <wp:effectExtent l="0" t="0" r="0" b="0"/>
            <wp:wrapNone/>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6FA8B1A">
      <w:pPr>
        <w:pStyle w:val="4"/>
        <w:spacing w:line="278" w:lineRule="auto"/>
      </w:pPr>
    </w:p>
    <w:p w14:paraId="08803999">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F7C0948">
      <w:pPr>
        <w:pStyle w:val="4"/>
        <w:spacing w:line="311" w:lineRule="auto"/>
      </w:pPr>
    </w:p>
    <w:p w14:paraId="7F56960D">
      <w:pPr>
        <w:pStyle w:val="4"/>
        <w:spacing w:line="312" w:lineRule="auto"/>
      </w:pPr>
    </w:p>
    <w:p w14:paraId="1F5E154C">
      <w:pPr>
        <w:pStyle w:val="4"/>
        <w:spacing w:before="69" w:line="234" w:lineRule="auto"/>
        <w:ind w:left="427"/>
        <w:rPr>
          <w:sz w:val="24"/>
          <w:szCs w:val="24"/>
        </w:rPr>
      </w:pPr>
      <w:r>
        <w:rPr>
          <w:color w:val="174174"/>
          <w:spacing w:val="-10"/>
          <w:sz w:val="24"/>
          <w:szCs w:val="24"/>
        </w:rPr>
        <w:t>Latin</w:t>
      </w:r>
      <w:r>
        <w:rPr>
          <w:color w:val="174174"/>
          <w:spacing w:val="-21"/>
          <w:sz w:val="24"/>
          <w:szCs w:val="24"/>
        </w:rPr>
        <w:t xml:space="preserve"> </w:t>
      </w:r>
      <w:r>
        <w:rPr>
          <w:color w:val="174174"/>
          <w:spacing w:val="-10"/>
          <w:sz w:val="24"/>
          <w:szCs w:val="24"/>
        </w:rPr>
        <w:t>America Upstream Industry Risks</w:t>
      </w:r>
    </w:p>
    <w:p w14:paraId="29D758AD">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543"/>
        <w:gridCol w:w="884"/>
        <w:gridCol w:w="740"/>
        <w:gridCol w:w="1542"/>
        <w:gridCol w:w="1542"/>
        <w:gridCol w:w="2410"/>
        <w:gridCol w:w="1543"/>
      </w:tblGrid>
      <w:tr w14:paraId="5D44292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1543" w:type="dxa"/>
            <w:tcBorders>
              <w:left w:val="nil"/>
            </w:tcBorders>
            <w:vAlign w:val="top"/>
          </w:tcPr>
          <w:p w14:paraId="42541C09">
            <w:pPr>
              <w:pStyle w:val="8"/>
              <w:rPr>
                <w:sz w:val="21"/>
              </w:rPr>
            </w:pPr>
          </w:p>
        </w:tc>
        <w:tc>
          <w:tcPr>
            <w:tcW w:w="884" w:type="dxa"/>
            <w:tcBorders>
              <w:right w:val="nil"/>
            </w:tcBorders>
            <w:vAlign w:val="top"/>
          </w:tcPr>
          <w:p w14:paraId="0993D978">
            <w:pPr>
              <w:pStyle w:val="8"/>
              <w:spacing w:before="70" w:line="241" w:lineRule="auto"/>
              <w:ind w:left="85"/>
            </w:pPr>
            <w:r>
              <w:rPr>
                <w:b/>
                <w:bCs/>
                <w:color w:val="5F6A72"/>
                <w:spacing w:val="-9"/>
              </w:rPr>
              <w:t>Royalties</w:t>
            </w:r>
          </w:p>
        </w:tc>
        <w:tc>
          <w:tcPr>
            <w:tcW w:w="740" w:type="dxa"/>
            <w:tcBorders>
              <w:left w:val="nil"/>
              <w:right w:val="nil"/>
            </w:tcBorders>
            <w:vAlign w:val="top"/>
          </w:tcPr>
          <w:p w14:paraId="6F802312">
            <w:pPr>
              <w:pStyle w:val="8"/>
              <w:spacing w:before="70" w:line="243" w:lineRule="exact"/>
              <w:ind w:left="85"/>
            </w:pPr>
            <w:r>
              <w:rPr>
                <w:b/>
                <w:bCs/>
                <w:color w:val="5F6A72"/>
                <w:spacing w:val="-8"/>
                <w:position w:val="1"/>
              </w:rPr>
              <w:t>Income</w:t>
            </w:r>
          </w:p>
          <w:p w14:paraId="4CAEED46">
            <w:pPr>
              <w:pStyle w:val="8"/>
              <w:spacing w:before="50" w:line="183" w:lineRule="auto"/>
              <w:ind w:left="237"/>
            </w:pPr>
            <w:r>
              <w:rPr>
                <w:b/>
                <w:bCs/>
                <w:color w:val="5F6A72"/>
                <w:spacing w:val="-6"/>
                <w:w w:val="96"/>
              </w:rPr>
              <w:t>Tax</w:t>
            </w:r>
          </w:p>
        </w:tc>
        <w:tc>
          <w:tcPr>
            <w:tcW w:w="1542" w:type="dxa"/>
            <w:tcBorders>
              <w:left w:val="nil"/>
              <w:right w:val="nil"/>
            </w:tcBorders>
            <w:vAlign w:val="top"/>
          </w:tcPr>
          <w:p w14:paraId="5736D325">
            <w:pPr>
              <w:pStyle w:val="8"/>
              <w:spacing w:before="112" w:line="184" w:lineRule="auto"/>
              <w:ind w:left="272"/>
            </w:pPr>
            <w:r>
              <w:rPr>
                <w:b/>
                <w:bCs/>
                <w:color w:val="5F6A72"/>
                <w:spacing w:val="-10"/>
              </w:rPr>
              <w:t>Licence</w:t>
            </w:r>
            <w:r>
              <w:rPr>
                <w:b/>
                <w:bCs/>
                <w:color w:val="5F6A72"/>
                <w:spacing w:val="-11"/>
              </w:rPr>
              <w:t xml:space="preserve"> </w:t>
            </w:r>
            <w:r>
              <w:rPr>
                <w:b/>
                <w:bCs/>
                <w:color w:val="5F6A72"/>
                <w:spacing w:val="-10"/>
              </w:rPr>
              <w:t>Type</w:t>
            </w:r>
          </w:p>
        </w:tc>
        <w:tc>
          <w:tcPr>
            <w:tcW w:w="1542" w:type="dxa"/>
            <w:tcBorders>
              <w:left w:val="nil"/>
              <w:right w:val="nil"/>
            </w:tcBorders>
            <w:vAlign w:val="top"/>
          </w:tcPr>
          <w:p w14:paraId="4D580E16">
            <w:pPr>
              <w:pStyle w:val="8"/>
              <w:spacing w:before="70" w:line="243" w:lineRule="exact"/>
              <w:ind w:left="278"/>
            </w:pPr>
            <w:r>
              <w:rPr>
                <w:b/>
                <w:bCs/>
                <w:color w:val="5F6A72"/>
                <w:spacing w:val="-8"/>
                <w:position w:val="1"/>
              </w:rPr>
              <w:t>Bureaucratic</w:t>
            </w:r>
          </w:p>
          <w:p w14:paraId="162329BD">
            <w:pPr>
              <w:pStyle w:val="8"/>
              <w:spacing w:before="6" w:line="243" w:lineRule="exact"/>
              <w:ind w:left="264"/>
            </w:pPr>
            <w:r>
              <w:rPr>
                <w:b/>
                <w:bCs/>
                <w:color w:val="5F6A72"/>
                <w:spacing w:val="-7"/>
                <w:position w:val="1"/>
              </w:rPr>
              <w:t>Environment</w:t>
            </w:r>
          </w:p>
        </w:tc>
        <w:tc>
          <w:tcPr>
            <w:tcW w:w="2410" w:type="dxa"/>
            <w:tcBorders>
              <w:left w:val="nil"/>
              <w:right w:val="nil"/>
            </w:tcBorders>
            <w:vAlign w:val="top"/>
          </w:tcPr>
          <w:p w14:paraId="3425566F">
            <w:pPr>
              <w:pStyle w:val="8"/>
              <w:spacing w:before="70" w:line="241" w:lineRule="auto"/>
              <w:ind w:left="279"/>
            </w:pPr>
            <w:r>
              <w:rPr>
                <w:b/>
                <w:bCs/>
                <w:color w:val="5F6A72"/>
                <w:spacing w:val="-8"/>
              </w:rPr>
              <w:t>Legal Environment Risk</w:t>
            </w:r>
          </w:p>
        </w:tc>
        <w:tc>
          <w:tcPr>
            <w:tcW w:w="1543" w:type="dxa"/>
            <w:tcBorders>
              <w:left w:val="nil"/>
              <w:right w:val="nil"/>
            </w:tcBorders>
            <w:shd w:val="clear" w:color="auto" w:fill="E5819D"/>
            <w:vAlign w:val="top"/>
          </w:tcPr>
          <w:p w14:paraId="31F1BBC6">
            <w:pPr>
              <w:pStyle w:val="8"/>
              <w:spacing w:before="70" w:line="241" w:lineRule="auto"/>
              <w:ind w:left="216"/>
            </w:pPr>
            <w:r>
              <w:rPr>
                <w:b/>
                <w:bCs/>
                <w:color w:val="5F6A72"/>
                <w:spacing w:val="-8"/>
              </w:rPr>
              <w:t>Industry Risks</w:t>
            </w:r>
          </w:p>
        </w:tc>
      </w:tr>
      <w:tr w14:paraId="3A2F9DC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vAlign w:val="top"/>
          </w:tcPr>
          <w:p w14:paraId="028F259F">
            <w:pPr>
              <w:pStyle w:val="8"/>
              <w:spacing w:before="65" w:line="237" w:lineRule="exact"/>
              <w:ind w:left="18"/>
            </w:pPr>
            <w:r>
              <w:rPr>
                <w:color w:val="2A8ABF"/>
                <w:spacing w:val="-12"/>
                <w:position w:val="1"/>
              </w:rPr>
              <w:t>Brazil</w:t>
            </w:r>
          </w:p>
        </w:tc>
        <w:tc>
          <w:tcPr>
            <w:tcW w:w="884" w:type="dxa"/>
            <w:tcBorders>
              <w:right w:val="nil"/>
            </w:tcBorders>
            <w:vAlign w:val="top"/>
          </w:tcPr>
          <w:p w14:paraId="2803A0F7">
            <w:pPr>
              <w:pStyle w:val="8"/>
              <w:spacing w:before="65" w:line="237" w:lineRule="exact"/>
              <w:ind w:left="285"/>
            </w:pPr>
            <w:r>
              <w:rPr>
                <w:color w:val="5F6A72"/>
                <w:spacing w:val="-7"/>
                <w:position w:val="1"/>
              </w:rPr>
              <w:t>55.6</w:t>
            </w:r>
          </w:p>
        </w:tc>
        <w:tc>
          <w:tcPr>
            <w:tcW w:w="740" w:type="dxa"/>
            <w:tcBorders>
              <w:left w:val="nil"/>
              <w:right w:val="nil"/>
            </w:tcBorders>
            <w:vAlign w:val="top"/>
          </w:tcPr>
          <w:p w14:paraId="397A9CC6">
            <w:pPr>
              <w:pStyle w:val="8"/>
              <w:spacing w:before="65" w:line="237" w:lineRule="exact"/>
              <w:ind w:left="216"/>
            </w:pPr>
            <w:r>
              <w:rPr>
                <w:color w:val="5F6A72"/>
                <w:spacing w:val="-7"/>
                <w:position w:val="1"/>
              </w:rPr>
              <w:t>84.5</w:t>
            </w:r>
          </w:p>
        </w:tc>
        <w:tc>
          <w:tcPr>
            <w:tcW w:w="1542" w:type="dxa"/>
            <w:tcBorders>
              <w:left w:val="nil"/>
              <w:right w:val="nil"/>
            </w:tcBorders>
            <w:vAlign w:val="top"/>
          </w:tcPr>
          <w:p w14:paraId="345E67C3">
            <w:pPr>
              <w:pStyle w:val="8"/>
              <w:spacing w:before="65" w:line="237" w:lineRule="exact"/>
              <w:ind w:left="619"/>
            </w:pPr>
            <w:r>
              <w:rPr>
                <w:color w:val="5F6A72"/>
                <w:spacing w:val="-7"/>
                <w:position w:val="1"/>
              </w:rPr>
              <w:t>60.6</w:t>
            </w:r>
          </w:p>
        </w:tc>
        <w:tc>
          <w:tcPr>
            <w:tcW w:w="1542" w:type="dxa"/>
            <w:tcBorders>
              <w:left w:val="nil"/>
              <w:right w:val="nil"/>
            </w:tcBorders>
            <w:vAlign w:val="top"/>
          </w:tcPr>
          <w:p w14:paraId="3C3A0D07">
            <w:pPr>
              <w:pStyle w:val="8"/>
              <w:spacing w:before="65" w:line="237" w:lineRule="exact"/>
              <w:ind w:left="617"/>
            </w:pPr>
            <w:r>
              <w:rPr>
                <w:color w:val="5F6A72"/>
                <w:spacing w:val="-6"/>
                <w:position w:val="1"/>
              </w:rPr>
              <w:t>29.6</w:t>
            </w:r>
          </w:p>
        </w:tc>
        <w:tc>
          <w:tcPr>
            <w:tcW w:w="2410" w:type="dxa"/>
            <w:tcBorders>
              <w:left w:val="nil"/>
              <w:right w:val="nil"/>
            </w:tcBorders>
            <w:vAlign w:val="top"/>
          </w:tcPr>
          <w:p w14:paraId="0A3F219F">
            <w:pPr>
              <w:pStyle w:val="8"/>
              <w:spacing w:before="65" w:line="237" w:lineRule="exact"/>
              <w:ind w:left="1053"/>
            </w:pPr>
            <w:r>
              <w:rPr>
                <w:color w:val="5F6A72"/>
                <w:spacing w:val="-7"/>
                <w:position w:val="1"/>
              </w:rPr>
              <w:t>57.7</w:t>
            </w:r>
          </w:p>
        </w:tc>
        <w:tc>
          <w:tcPr>
            <w:tcW w:w="1543" w:type="dxa"/>
            <w:tcBorders>
              <w:left w:val="nil"/>
              <w:right w:val="nil"/>
            </w:tcBorders>
            <w:shd w:val="clear" w:color="auto" w:fill="E5819D"/>
            <w:vAlign w:val="top"/>
          </w:tcPr>
          <w:p w14:paraId="3C0402B5">
            <w:pPr>
              <w:pStyle w:val="8"/>
              <w:spacing w:before="65" w:line="237" w:lineRule="exact"/>
              <w:ind w:left="620"/>
            </w:pPr>
            <w:r>
              <w:rPr>
                <w:color w:val="5F6A72"/>
                <w:spacing w:val="-7"/>
                <w:position w:val="1"/>
              </w:rPr>
              <w:t>57.6</w:t>
            </w:r>
          </w:p>
        </w:tc>
      </w:tr>
      <w:tr w14:paraId="1326A34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shd w:val="clear" w:color="auto" w:fill="EAF9FF"/>
            <w:vAlign w:val="top"/>
          </w:tcPr>
          <w:p w14:paraId="5ED1C0E7">
            <w:pPr>
              <w:pStyle w:val="8"/>
              <w:spacing w:before="65" w:line="234" w:lineRule="auto"/>
              <w:ind w:left="3"/>
            </w:pPr>
            <w:r>
              <w:rPr>
                <w:color w:val="2A8ABF"/>
                <w:spacing w:val="-4"/>
              </w:rPr>
              <w:t>Argentina</w:t>
            </w:r>
          </w:p>
        </w:tc>
        <w:tc>
          <w:tcPr>
            <w:tcW w:w="884" w:type="dxa"/>
            <w:tcBorders>
              <w:right w:val="nil"/>
            </w:tcBorders>
            <w:shd w:val="clear" w:color="auto" w:fill="EAF9FF"/>
            <w:vAlign w:val="top"/>
          </w:tcPr>
          <w:p w14:paraId="708AE75D">
            <w:pPr>
              <w:pStyle w:val="8"/>
              <w:spacing w:before="65" w:line="237" w:lineRule="exact"/>
              <w:ind w:left="286"/>
            </w:pPr>
            <w:r>
              <w:rPr>
                <w:color w:val="5F6A72"/>
                <w:spacing w:val="-7"/>
                <w:position w:val="1"/>
              </w:rPr>
              <w:t>66.9</w:t>
            </w:r>
          </w:p>
        </w:tc>
        <w:tc>
          <w:tcPr>
            <w:tcW w:w="740" w:type="dxa"/>
            <w:tcBorders>
              <w:left w:val="nil"/>
              <w:right w:val="nil"/>
            </w:tcBorders>
            <w:shd w:val="clear" w:color="auto" w:fill="EAF9FF"/>
            <w:vAlign w:val="top"/>
          </w:tcPr>
          <w:p w14:paraId="2510A264">
            <w:pPr>
              <w:pStyle w:val="8"/>
              <w:spacing w:before="65" w:line="237" w:lineRule="exact"/>
              <w:ind w:left="218"/>
            </w:pPr>
            <w:r>
              <w:rPr>
                <w:color w:val="5F6A72"/>
                <w:spacing w:val="-7"/>
                <w:position w:val="1"/>
              </w:rPr>
              <w:t>69.0</w:t>
            </w:r>
          </w:p>
        </w:tc>
        <w:tc>
          <w:tcPr>
            <w:tcW w:w="1542" w:type="dxa"/>
            <w:tcBorders>
              <w:left w:val="nil"/>
              <w:right w:val="nil"/>
            </w:tcBorders>
            <w:shd w:val="clear" w:color="auto" w:fill="EAF9FF"/>
            <w:vAlign w:val="top"/>
          </w:tcPr>
          <w:p w14:paraId="7011AA2A">
            <w:pPr>
              <w:pStyle w:val="8"/>
              <w:spacing w:before="65" w:line="237" w:lineRule="exact"/>
              <w:ind w:left="614"/>
            </w:pPr>
            <w:r>
              <w:rPr>
                <w:color w:val="5F6A72"/>
                <w:spacing w:val="-6"/>
                <w:position w:val="1"/>
              </w:rPr>
              <w:t>39.4</w:t>
            </w:r>
          </w:p>
        </w:tc>
        <w:tc>
          <w:tcPr>
            <w:tcW w:w="1542" w:type="dxa"/>
            <w:tcBorders>
              <w:left w:val="nil"/>
              <w:right w:val="nil"/>
            </w:tcBorders>
            <w:shd w:val="clear" w:color="auto" w:fill="EAF9FF"/>
            <w:vAlign w:val="top"/>
          </w:tcPr>
          <w:p w14:paraId="58D8CE8F">
            <w:pPr>
              <w:pStyle w:val="8"/>
              <w:spacing w:before="65" w:line="237" w:lineRule="exact"/>
              <w:ind w:left="619"/>
            </w:pPr>
            <w:r>
              <w:rPr>
                <w:color w:val="5F6A72"/>
                <w:spacing w:val="-7"/>
                <w:position w:val="1"/>
              </w:rPr>
              <w:t>50.7</w:t>
            </w:r>
          </w:p>
        </w:tc>
        <w:tc>
          <w:tcPr>
            <w:tcW w:w="2410" w:type="dxa"/>
            <w:tcBorders>
              <w:left w:val="nil"/>
              <w:right w:val="nil"/>
            </w:tcBorders>
            <w:shd w:val="clear" w:color="auto" w:fill="EAF9FF"/>
            <w:vAlign w:val="top"/>
          </w:tcPr>
          <w:p w14:paraId="4D2EEAA9">
            <w:pPr>
              <w:pStyle w:val="8"/>
              <w:spacing w:before="65" w:line="237" w:lineRule="exact"/>
              <w:ind w:left="1053"/>
            </w:pPr>
            <w:r>
              <w:rPr>
                <w:color w:val="5F6A72"/>
                <w:spacing w:val="-7"/>
                <w:position w:val="1"/>
              </w:rPr>
              <w:t>56.3</w:t>
            </w:r>
          </w:p>
        </w:tc>
        <w:tc>
          <w:tcPr>
            <w:tcW w:w="1543" w:type="dxa"/>
            <w:tcBorders>
              <w:left w:val="nil"/>
              <w:right w:val="nil"/>
            </w:tcBorders>
            <w:shd w:val="clear" w:color="auto" w:fill="E5819D"/>
            <w:vAlign w:val="top"/>
          </w:tcPr>
          <w:p w14:paraId="145E74D8">
            <w:pPr>
              <w:pStyle w:val="8"/>
              <w:spacing w:before="65" w:line="237" w:lineRule="exact"/>
              <w:ind w:left="620"/>
            </w:pPr>
            <w:r>
              <w:rPr>
                <w:color w:val="5F6A72"/>
                <w:spacing w:val="-7"/>
                <w:position w:val="1"/>
              </w:rPr>
              <w:t>56.5</w:t>
            </w:r>
          </w:p>
        </w:tc>
      </w:tr>
      <w:tr w14:paraId="2916FD4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vAlign w:val="top"/>
          </w:tcPr>
          <w:p w14:paraId="5D9AC16E">
            <w:pPr>
              <w:pStyle w:val="8"/>
              <w:spacing w:before="65" w:line="238" w:lineRule="exact"/>
              <w:ind w:left="18"/>
            </w:pPr>
            <w:r>
              <w:rPr>
                <w:color w:val="2A8ABF"/>
                <w:spacing w:val="-11"/>
                <w:position w:val="1"/>
              </w:rPr>
              <w:t>Mexico</w:t>
            </w:r>
          </w:p>
        </w:tc>
        <w:tc>
          <w:tcPr>
            <w:tcW w:w="884" w:type="dxa"/>
            <w:tcBorders>
              <w:right w:val="nil"/>
            </w:tcBorders>
            <w:vAlign w:val="top"/>
          </w:tcPr>
          <w:p w14:paraId="331BFCD1">
            <w:pPr>
              <w:pStyle w:val="8"/>
              <w:spacing w:before="65" w:line="238" w:lineRule="exact"/>
              <w:ind w:left="280"/>
            </w:pPr>
            <w:r>
              <w:rPr>
                <w:color w:val="5F6A72"/>
                <w:spacing w:val="-6"/>
                <w:position w:val="1"/>
              </w:rPr>
              <w:t>36.6</w:t>
            </w:r>
          </w:p>
        </w:tc>
        <w:tc>
          <w:tcPr>
            <w:tcW w:w="740" w:type="dxa"/>
            <w:tcBorders>
              <w:left w:val="nil"/>
              <w:right w:val="nil"/>
            </w:tcBorders>
            <w:vAlign w:val="top"/>
          </w:tcPr>
          <w:p w14:paraId="7964D79E">
            <w:pPr>
              <w:pStyle w:val="8"/>
              <w:spacing w:before="65" w:line="240" w:lineRule="exact"/>
              <w:ind w:left="213"/>
            </w:pPr>
            <w:r>
              <w:rPr>
                <w:color w:val="5F6A72"/>
                <w:spacing w:val="-6"/>
                <w:position w:val="1"/>
              </w:rPr>
              <w:t>44.4</w:t>
            </w:r>
          </w:p>
        </w:tc>
        <w:tc>
          <w:tcPr>
            <w:tcW w:w="1542" w:type="dxa"/>
            <w:tcBorders>
              <w:left w:val="nil"/>
              <w:right w:val="nil"/>
            </w:tcBorders>
            <w:vAlign w:val="top"/>
          </w:tcPr>
          <w:p w14:paraId="371B5B53">
            <w:pPr>
              <w:pStyle w:val="8"/>
              <w:spacing w:before="65" w:line="238" w:lineRule="exact"/>
              <w:ind w:left="618"/>
            </w:pPr>
            <w:r>
              <w:rPr>
                <w:color w:val="5F6A72"/>
                <w:spacing w:val="-7"/>
                <w:position w:val="1"/>
              </w:rPr>
              <w:t>50.7</w:t>
            </w:r>
          </w:p>
        </w:tc>
        <w:tc>
          <w:tcPr>
            <w:tcW w:w="1542" w:type="dxa"/>
            <w:tcBorders>
              <w:left w:val="nil"/>
              <w:right w:val="nil"/>
            </w:tcBorders>
            <w:vAlign w:val="top"/>
          </w:tcPr>
          <w:p w14:paraId="3DE8B175">
            <w:pPr>
              <w:pStyle w:val="8"/>
              <w:spacing w:before="65" w:line="238" w:lineRule="exact"/>
              <w:ind w:left="620"/>
            </w:pPr>
            <w:r>
              <w:rPr>
                <w:color w:val="5F6A72"/>
                <w:spacing w:val="-7"/>
                <w:position w:val="1"/>
              </w:rPr>
              <w:t>63.4</w:t>
            </w:r>
          </w:p>
        </w:tc>
        <w:tc>
          <w:tcPr>
            <w:tcW w:w="2410" w:type="dxa"/>
            <w:tcBorders>
              <w:left w:val="nil"/>
              <w:right w:val="nil"/>
            </w:tcBorders>
            <w:vAlign w:val="top"/>
          </w:tcPr>
          <w:p w14:paraId="64AC9FFE">
            <w:pPr>
              <w:pStyle w:val="8"/>
              <w:spacing w:before="65" w:line="238" w:lineRule="exact"/>
              <w:ind w:left="1049"/>
            </w:pPr>
            <w:r>
              <w:rPr>
                <w:color w:val="5F6A72"/>
                <w:spacing w:val="-6"/>
                <w:position w:val="1"/>
              </w:rPr>
              <w:t>47.9</w:t>
            </w:r>
          </w:p>
        </w:tc>
        <w:tc>
          <w:tcPr>
            <w:tcW w:w="1543" w:type="dxa"/>
            <w:tcBorders>
              <w:left w:val="nil"/>
              <w:right w:val="nil"/>
            </w:tcBorders>
            <w:shd w:val="clear" w:color="auto" w:fill="E5819D"/>
            <w:vAlign w:val="top"/>
          </w:tcPr>
          <w:p w14:paraId="5C1600B7">
            <w:pPr>
              <w:pStyle w:val="8"/>
              <w:spacing w:before="65" w:line="238" w:lineRule="exact"/>
              <w:ind w:left="615"/>
            </w:pPr>
            <w:r>
              <w:rPr>
                <w:color w:val="5F6A72"/>
                <w:spacing w:val="-6"/>
                <w:position w:val="1"/>
              </w:rPr>
              <w:t>48.6</w:t>
            </w:r>
          </w:p>
        </w:tc>
      </w:tr>
      <w:tr w14:paraId="0CF7CE8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shd w:val="clear" w:color="auto" w:fill="EAF9FF"/>
            <w:vAlign w:val="top"/>
          </w:tcPr>
          <w:p w14:paraId="6A6AC35C">
            <w:pPr>
              <w:pStyle w:val="8"/>
              <w:spacing w:before="105" w:line="184" w:lineRule="auto"/>
              <w:ind w:left="12"/>
            </w:pPr>
            <w:r>
              <w:rPr>
                <w:color w:val="2A8ABF"/>
                <w:spacing w:val="-13"/>
              </w:rPr>
              <w:t>Guyana</w:t>
            </w:r>
          </w:p>
        </w:tc>
        <w:tc>
          <w:tcPr>
            <w:tcW w:w="884" w:type="dxa"/>
            <w:tcBorders>
              <w:right w:val="nil"/>
            </w:tcBorders>
            <w:shd w:val="clear" w:color="auto" w:fill="EAF9FF"/>
            <w:vAlign w:val="top"/>
          </w:tcPr>
          <w:p w14:paraId="41A8A83C">
            <w:pPr>
              <w:pStyle w:val="8"/>
              <w:spacing w:before="66" w:line="237" w:lineRule="exact"/>
              <w:ind w:left="285"/>
            </w:pPr>
            <w:r>
              <w:rPr>
                <w:color w:val="5F6A72"/>
                <w:spacing w:val="-7"/>
                <w:position w:val="1"/>
              </w:rPr>
              <w:t>55.6</w:t>
            </w:r>
          </w:p>
        </w:tc>
        <w:tc>
          <w:tcPr>
            <w:tcW w:w="740" w:type="dxa"/>
            <w:tcBorders>
              <w:left w:val="nil"/>
              <w:right w:val="nil"/>
            </w:tcBorders>
            <w:shd w:val="clear" w:color="auto" w:fill="EAF9FF"/>
            <w:vAlign w:val="top"/>
          </w:tcPr>
          <w:p w14:paraId="6FA40AAB">
            <w:pPr>
              <w:pStyle w:val="8"/>
              <w:spacing w:before="66" w:line="237" w:lineRule="exact"/>
              <w:ind w:left="217"/>
            </w:pPr>
            <w:r>
              <w:rPr>
                <w:color w:val="5F6A72"/>
                <w:spacing w:val="-7"/>
                <w:position w:val="1"/>
              </w:rPr>
              <w:t>53.5</w:t>
            </w:r>
          </w:p>
        </w:tc>
        <w:tc>
          <w:tcPr>
            <w:tcW w:w="1542" w:type="dxa"/>
            <w:tcBorders>
              <w:left w:val="nil"/>
              <w:right w:val="nil"/>
            </w:tcBorders>
            <w:shd w:val="clear" w:color="auto" w:fill="EAF9FF"/>
            <w:vAlign w:val="top"/>
          </w:tcPr>
          <w:p w14:paraId="6B073595">
            <w:pPr>
              <w:pStyle w:val="8"/>
              <w:spacing w:before="66" w:line="237" w:lineRule="exact"/>
              <w:ind w:left="617"/>
            </w:pPr>
            <w:r>
              <w:rPr>
                <w:color w:val="5F6A72"/>
                <w:spacing w:val="-6"/>
                <w:position w:val="1"/>
              </w:rPr>
              <w:t>28.9</w:t>
            </w:r>
          </w:p>
        </w:tc>
        <w:tc>
          <w:tcPr>
            <w:tcW w:w="1542" w:type="dxa"/>
            <w:tcBorders>
              <w:left w:val="nil"/>
              <w:right w:val="nil"/>
            </w:tcBorders>
            <w:shd w:val="clear" w:color="auto" w:fill="EAF9FF"/>
            <w:vAlign w:val="top"/>
          </w:tcPr>
          <w:p w14:paraId="2DDE2158">
            <w:pPr>
              <w:pStyle w:val="8"/>
              <w:spacing w:before="66" w:line="237" w:lineRule="exact"/>
              <w:ind w:left="614"/>
            </w:pPr>
            <w:r>
              <w:rPr>
                <w:color w:val="5F6A72"/>
                <w:spacing w:val="-6"/>
                <w:position w:val="1"/>
              </w:rPr>
              <w:t>31.0</w:t>
            </w:r>
          </w:p>
        </w:tc>
        <w:tc>
          <w:tcPr>
            <w:tcW w:w="2410" w:type="dxa"/>
            <w:tcBorders>
              <w:left w:val="nil"/>
              <w:right w:val="nil"/>
            </w:tcBorders>
            <w:shd w:val="clear" w:color="auto" w:fill="EAF9FF"/>
            <w:vAlign w:val="top"/>
          </w:tcPr>
          <w:p w14:paraId="2C558291">
            <w:pPr>
              <w:pStyle w:val="8"/>
              <w:spacing w:before="66" w:line="237" w:lineRule="exact"/>
              <w:ind w:left="1054"/>
            </w:pPr>
            <w:r>
              <w:rPr>
                <w:color w:val="5F6A72"/>
                <w:spacing w:val="-7"/>
                <w:position w:val="1"/>
              </w:rPr>
              <w:t>60.6</w:t>
            </w:r>
          </w:p>
        </w:tc>
        <w:tc>
          <w:tcPr>
            <w:tcW w:w="1543" w:type="dxa"/>
            <w:tcBorders>
              <w:left w:val="nil"/>
              <w:right w:val="nil"/>
            </w:tcBorders>
            <w:shd w:val="clear" w:color="auto" w:fill="E5819D"/>
            <w:vAlign w:val="top"/>
          </w:tcPr>
          <w:p w14:paraId="3FB7FBB0">
            <w:pPr>
              <w:pStyle w:val="8"/>
              <w:spacing w:before="66" w:line="237" w:lineRule="exact"/>
              <w:ind w:left="615"/>
            </w:pPr>
            <w:r>
              <w:rPr>
                <w:color w:val="5F6A72"/>
                <w:spacing w:val="-6"/>
                <w:position w:val="1"/>
              </w:rPr>
              <w:t>45.9</w:t>
            </w:r>
          </w:p>
        </w:tc>
      </w:tr>
      <w:tr w14:paraId="3DB910D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543" w:type="dxa"/>
            <w:tcBorders>
              <w:left w:val="nil"/>
            </w:tcBorders>
            <w:vAlign w:val="top"/>
          </w:tcPr>
          <w:p w14:paraId="3472072B">
            <w:pPr>
              <w:pStyle w:val="8"/>
              <w:spacing w:before="66" w:line="234" w:lineRule="auto"/>
              <w:ind w:left="5"/>
            </w:pPr>
            <w:r>
              <w:rPr>
                <w:color w:val="2A8ABF"/>
                <w:spacing w:val="-9"/>
              </w:rPr>
              <w:t>Trinidad</w:t>
            </w:r>
            <w:r>
              <w:rPr>
                <w:color w:val="2A8ABF"/>
                <w:spacing w:val="-18"/>
              </w:rPr>
              <w:t xml:space="preserve"> </w:t>
            </w:r>
            <w:r>
              <w:rPr>
                <w:color w:val="2A8ABF"/>
                <w:spacing w:val="-9"/>
              </w:rPr>
              <w:t>And</w:t>
            </w:r>
            <w:r>
              <w:rPr>
                <w:color w:val="2A8ABF"/>
                <w:spacing w:val="-16"/>
              </w:rPr>
              <w:t xml:space="preserve"> </w:t>
            </w:r>
            <w:r>
              <w:rPr>
                <w:color w:val="2A8ABF"/>
                <w:spacing w:val="-9"/>
              </w:rPr>
              <w:t>Tobago</w:t>
            </w:r>
          </w:p>
        </w:tc>
        <w:tc>
          <w:tcPr>
            <w:tcW w:w="884" w:type="dxa"/>
            <w:tcBorders>
              <w:right w:val="nil"/>
            </w:tcBorders>
            <w:vAlign w:val="top"/>
          </w:tcPr>
          <w:p w14:paraId="1F9F3B6E">
            <w:pPr>
              <w:pStyle w:val="8"/>
              <w:spacing w:before="66" w:line="237" w:lineRule="exact"/>
              <w:ind w:left="283"/>
            </w:pPr>
            <w:r>
              <w:rPr>
                <w:color w:val="5F6A72"/>
                <w:spacing w:val="-6"/>
                <w:position w:val="1"/>
              </w:rPr>
              <w:t>28.9</w:t>
            </w:r>
          </w:p>
        </w:tc>
        <w:tc>
          <w:tcPr>
            <w:tcW w:w="740" w:type="dxa"/>
            <w:tcBorders>
              <w:left w:val="nil"/>
              <w:right w:val="nil"/>
            </w:tcBorders>
            <w:vAlign w:val="top"/>
          </w:tcPr>
          <w:p w14:paraId="57CCE216">
            <w:pPr>
              <w:pStyle w:val="8"/>
              <w:spacing w:before="66" w:line="237" w:lineRule="exact"/>
              <w:ind w:left="217"/>
            </w:pPr>
            <w:r>
              <w:rPr>
                <w:color w:val="5F6A72"/>
                <w:spacing w:val="-7"/>
                <w:position w:val="1"/>
              </w:rPr>
              <w:t>90.1</w:t>
            </w:r>
          </w:p>
        </w:tc>
        <w:tc>
          <w:tcPr>
            <w:tcW w:w="1542" w:type="dxa"/>
            <w:tcBorders>
              <w:left w:val="nil"/>
              <w:right w:val="nil"/>
            </w:tcBorders>
            <w:vAlign w:val="top"/>
          </w:tcPr>
          <w:p w14:paraId="22D31946">
            <w:pPr>
              <w:pStyle w:val="8"/>
              <w:spacing w:before="66" w:line="237" w:lineRule="exact"/>
              <w:ind w:left="618"/>
            </w:pPr>
            <w:r>
              <w:rPr>
                <w:color w:val="5F6A72"/>
                <w:spacing w:val="-7"/>
                <w:position w:val="1"/>
              </w:rPr>
              <w:t>50.7</w:t>
            </w:r>
          </w:p>
        </w:tc>
        <w:tc>
          <w:tcPr>
            <w:tcW w:w="1542" w:type="dxa"/>
            <w:tcBorders>
              <w:left w:val="nil"/>
              <w:right w:val="nil"/>
            </w:tcBorders>
            <w:vAlign w:val="top"/>
          </w:tcPr>
          <w:p w14:paraId="26989D2B">
            <w:pPr>
              <w:pStyle w:val="8"/>
              <w:spacing w:before="66" w:line="237" w:lineRule="exact"/>
              <w:ind w:left="620"/>
            </w:pPr>
            <w:r>
              <w:rPr>
                <w:color w:val="5F6A72"/>
                <w:spacing w:val="-7"/>
                <w:position w:val="1"/>
              </w:rPr>
              <w:t>60.6</w:t>
            </w:r>
          </w:p>
        </w:tc>
        <w:tc>
          <w:tcPr>
            <w:tcW w:w="2410" w:type="dxa"/>
            <w:tcBorders>
              <w:left w:val="nil"/>
              <w:right w:val="nil"/>
            </w:tcBorders>
            <w:vAlign w:val="top"/>
          </w:tcPr>
          <w:p w14:paraId="73B65C62">
            <w:pPr>
              <w:pStyle w:val="8"/>
              <w:spacing w:before="66" w:line="237" w:lineRule="exact"/>
              <w:ind w:left="1049"/>
            </w:pPr>
            <w:r>
              <w:rPr>
                <w:color w:val="5F6A72"/>
                <w:spacing w:val="-6"/>
                <w:position w:val="1"/>
              </w:rPr>
              <w:t>40.8</w:t>
            </w:r>
          </w:p>
        </w:tc>
        <w:tc>
          <w:tcPr>
            <w:tcW w:w="1543" w:type="dxa"/>
            <w:tcBorders>
              <w:left w:val="nil"/>
              <w:right w:val="nil"/>
            </w:tcBorders>
            <w:shd w:val="clear" w:color="auto" w:fill="E5819D"/>
            <w:vAlign w:val="top"/>
          </w:tcPr>
          <w:p w14:paraId="4F8DADF2">
            <w:pPr>
              <w:pStyle w:val="8"/>
              <w:spacing w:before="66" w:line="237" w:lineRule="exact"/>
              <w:ind w:left="620"/>
            </w:pPr>
            <w:r>
              <w:rPr>
                <w:color w:val="5F6A72"/>
                <w:spacing w:val="-7"/>
                <w:position w:val="1"/>
              </w:rPr>
              <w:t>54.2</w:t>
            </w:r>
          </w:p>
        </w:tc>
      </w:tr>
      <w:tr w14:paraId="07ACE44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shd w:val="clear" w:color="auto" w:fill="EAF9FF"/>
            <w:vAlign w:val="top"/>
          </w:tcPr>
          <w:p w14:paraId="0AC9AAB0">
            <w:pPr>
              <w:pStyle w:val="8"/>
              <w:spacing w:before="66" w:line="237" w:lineRule="exact"/>
              <w:ind w:left="18"/>
            </w:pPr>
            <w:r>
              <w:rPr>
                <w:color w:val="2A8ABF"/>
                <w:spacing w:val="-8"/>
                <w:position w:val="1"/>
              </w:rPr>
              <w:t>Bolivia</w:t>
            </w:r>
          </w:p>
        </w:tc>
        <w:tc>
          <w:tcPr>
            <w:tcW w:w="884" w:type="dxa"/>
            <w:tcBorders>
              <w:right w:val="nil"/>
            </w:tcBorders>
            <w:shd w:val="clear" w:color="auto" w:fill="EAF9FF"/>
            <w:vAlign w:val="top"/>
          </w:tcPr>
          <w:p w14:paraId="799BAA76">
            <w:pPr>
              <w:pStyle w:val="8"/>
              <w:spacing w:before="66" w:line="237" w:lineRule="exact"/>
              <w:ind w:left="334"/>
            </w:pPr>
            <w:r>
              <w:rPr>
                <w:color w:val="5F6A72"/>
                <w:spacing w:val="-7"/>
                <w:position w:val="1"/>
              </w:rPr>
              <w:t>9.2</w:t>
            </w:r>
          </w:p>
        </w:tc>
        <w:tc>
          <w:tcPr>
            <w:tcW w:w="740" w:type="dxa"/>
            <w:tcBorders>
              <w:left w:val="nil"/>
              <w:right w:val="nil"/>
            </w:tcBorders>
            <w:shd w:val="clear" w:color="auto" w:fill="EAF9FF"/>
            <w:vAlign w:val="top"/>
          </w:tcPr>
          <w:p w14:paraId="7B1C08E0">
            <w:pPr>
              <w:pStyle w:val="8"/>
              <w:spacing w:before="66" w:line="237" w:lineRule="exact"/>
              <w:ind w:left="212"/>
            </w:pPr>
            <w:r>
              <w:rPr>
                <w:color w:val="5F6A72"/>
                <w:spacing w:val="-6"/>
                <w:position w:val="1"/>
              </w:rPr>
              <w:t>32.4</w:t>
            </w:r>
          </w:p>
        </w:tc>
        <w:tc>
          <w:tcPr>
            <w:tcW w:w="1542" w:type="dxa"/>
            <w:tcBorders>
              <w:left w:val="nil"/>
              <w:right w:val="nil"/>
            </w:tcBorders>
            <w:shd w:val="clear" w:color="auto" w:fill="EAF9FF"/>
            <w:vAlign w:val="top"/>
          </w:tcPr>
          <w:p w14:paraId="2D8230AD">
            <w:pPr>
              <w:pStyle w:val="8"/>
              <w:spacing w:before="66" w:line="237" w:lineRule="exact"/>
              <w:ind w:left="618"/>
            </w:pPr>
            <w:r>
              <w:rPr>
                <w:color w:val="5F6A72"/>
                <w:spacing w:val="-7"/>
                <w:position w:val="1"/>
              </w:rPr>
              <w:t>87.3</w:t>
            </w:r>
          </w:p>
        </w:tc>
        <w:tc>
          <w:tcPr>
            <w:tcW w:w="1542" w:type="dxa"/>
            <w:tcBorders>
              <w:left w:val="nil"/>
              <w:right w:val="nil"/>
            </w:tcBorders>
            <w:shd w:val="clear" w:color="auto" w:fill="EAF9FF"/>
            <w:vAlign w:val="top"/>
          </w:tcPr>
          <w:p w14:paraId="07D43F87">
            <w:pPr>
              <w:pStyle w:val="8"/>
              <w:spacing w:before="66" w:line="237" w:lineRule="exact"/>
              <w:ind w:left="619"/>
            </w:pPr>
            <w:r>
              <w:rPr>
                <w:color w:val="5F6A72"/>
                <w:spacing w:val="-7"/>
                <w:position w:val="1"/>
              </w:rPr>
              <w:t>90.1</w:t>
            </w:r>
          </w:p>
        </w:tc>
        <w:tc>
          <w:tcPr>
            <w:tcW w:w="2410" w:type="dxa"/>
            <w:tcBorders>
              <w:left w:val="nil"/>
              <w:right w:val="nil"/>
            </w:tcBorders>
            <w:shd w:val="clear" w:color="auto" w:fill="EAF9FF"/>
            <w:vAlign w:val="top"/>
          </w:tcPr>
          <w:p w14:paraId="709B6ABA">
            <w:pPr>
              <w:pStyle w:val="8"/>
              <w:spacing w:before="66" w:line="237" w:lineRule="exact"/>
              <w:ind w:left="1053"/>
            </w:pPr>
            <w:r>
              <w:rPr>
                <w:color w:val="5F6A72"/>
                <w:spacing w:val="-7"/>
                <w:position w:val="1"/>
              </w:rPr>
              <w:t>94.4</w:t>
            </w:r>
          </w:p>
        </w:tc>
        <w:tc>
          <w:tcPr>
            <w:tcW w:w="1543" w:type="dxa"/>
            <w:tcBorders>
              <w:left w:val="nil"/>
              <w:right w:val="nil"/>
            </w:tcBorders>
            <w:shd w:val="clear" w:color="auto" w:fill="E5819D"/>
            <w:vAlign w:val="top"/>
          </w:tcPr>
          <w:p w14:paraId="604FB6D7">
            <w:pPr>
              <w:pStyle w:val="8"/>
              <w:spacing w:before="66" w:line="237" w:lineRule="exact"/>
              <w:ind w:left="621"/>
            </w:pPr>
            <w:r>
              <w:rPr>
                <w:color w:val="5F6A72"/>
                <w:spacing w:val="-7"/>
                <w:position w:val="1"/>
              </w:rPr>
              <w:t>62.7</w:t>
            </w:r>
          </w:p>
        </w:tc>
      </w:tr>
      <w:tr w14:paraId="29729BB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vAlign w:val="top"/>
          </w:tcPr>
          <w:p w14:paraId="7BF4E823">
            <w:pPr>
              <w:pStyle w:val="8"/>
              <w:spacing w:before="108" w:line="183" w:lineRule="auto"/>
              <w:ind w:left="18"/>
            </w:pPr>
            <w:r>
              <w:rPr>
                <w:color w:val="2A8ABF"/>
                <w:spacing w:val="-13"/>
              </w:rPr>
              <w:t>Peru</w:t>
            </w:r>
          </w:p>
        </w:tc>
        <w:tc>
          <w:tcPr>
            <w:tcW w:w="884" w:type="dxa"/>
            <w:tcBorders>
              <w:right w:val="nil"/>
            </w:tcBorders>
            <w:vAlign w:val="top"/>
          </w:tcPr>
          <w:p w14:paraId="3761DD27">
            <w:pPr>
              <w:pStyle w:val="8"/>
              <w:spacing w:before="66" w:line="237" w:lineRule="exact"/>
              <w:ind w:left="280"/>
            </w:pPr>
            <w:r>
              <w:rPr>
                <w:color w:val="5F6A72"/>
                <w:spacing w:val="-6"/>
                <w:position w:val="1"/>
              </w:rPr>
              <w:t>39.4</w:t>
            </w:r>
          </w:p>
        </w:tc>
        <w:tc>
          <w:tcPr>
            <w:tcW w:w="740" w:type="dxa"/>
            <w:tcBorders>
              <w:left w:val="nil"/>
              <w:right w:val="nil"/>
            </w:tcBorders>
            <w:vAlign w:val="top"/>
          </w:tcPr>
          <w:p w14:paraId="332A6AD9">
            <w:pPr>
              <w:pStyle w:val="8"/>
              <w:spacing w:before="66" w:line="239" w:lineRule="exact"/>
              <w:ind w:left="213"/>
            </w:pPr>
            <w:r>
              <w:rPr>
                <w:color w:val="5F6A72"/>
                <w:spacing w:val="-6"/>
                <w:position w:val="1"/>
              </w:rPr>
              <w:t>47.2</w:t>
            </w:r>
          </w:p>
        </w:tc>
        <w:tc>
          <w:tcPr>
            <w:tcW w:w="1542" w:type="dxa"/>
            <w:tcBorders>
              <w:left w:val="nil"/>
              <w:right w:val="nil"/>
            </w:tcBorders>
            <w:vAlign w:val="top"/>
          </w:tcPr>
          <w:p w14:paraId="5A90DD1F">
            <w:pPr>
              <w:pStyle w:val="8"/>
              <w:spacing w:before="66" w:line="237" w:lineRule="exact"/>
              <w:ind w:left="618"/>
            </w:pPr>
            <w:r>
              <w:rPr>
                <w:color w:val="5F6A72"/>
                <w:spacing w:val="-7"/>
                <w:position w:val="1"/>
              </w:rPr>
              <w:t>50.7</w:t>
            </w:r>
          </w:p>
        </w:tc>
        <w:tc>
          <w:tcPr>
            <w:tcW w:w="1542" w:type="dxa"/>
            <w:tcBorders>
              <w:left w:val="nil"/>
              <w:right w:val="nil"/>
            </w:tcBorders>
            <w:vAlign w:val="top"/>
          </w:tcPr>
          <w:p w14:paraId="00DDE701">
            <w:pPr>
              <w:pStyle w:val="8"/>
              <w:spacing w:before="66" w:line="237" w:lineRule="exact"/>
              <w:ind w:left="615"/>
            </w:pPr>
            <w:r>
              <w:rPr>
                <w:color w:val="5F6A72"/>
                <w:spacing w:val="-6"/>
                <w:position w:val="1"/>
              </w:rPr>
              <w:t>45.1</w:t>
            </w:r>
          </w:p>
        </w:tc>
        <w:tc>
          <w:tcPr>
            <w:tcW w:w="2410" w:type="dxa"/>
            <w:tcBorders>
              <w:left w:val="nil"/>
              <w:right w:val="nil"/>
            </w:tcBorders>
            <w:vAlign w:val="top"/>
          </w:tcPr>
          <w:p w14:paraId="0C994BEA">
            <w:pPr>
              <w:pStyle w:val="8"/>
              <w:spacing w:before="66" w:line="237" w:lineRule="exact"/>
              <w:ind w:left="1049"/>
            </w:pPr>
            <w:r>
              <w:rPr>
                <w:color w:val="5F6A72"/>
                <w:spacing w:val="-6"/>
                <w:position w:val="1"/>
              </w:rPr>
              <w:t>77.5</w:t>
            </w:r>
          </w:p>
        </w:tc>
        <w:tc>
          <w:tcPr>
            <w:tcW w:w="1543" w:type="dxa"/>
            <w:tcBorders>
              <w:left w:val="nil"/>
              <w:right w:val="nil"/>
            </w:tcBorders>
            <w:shd w:val="clear" w:color="auto" w:fill="E5819D"/>
            <w:vAlign w:val="top"/>
          </w:tcPr>
          <w:p w14:paraId="15D285F1">
            <w:pPr>
              <w:pStyle w:val="8"/>
              <w:spacing w:before="66" w:line="237" w:lineRule="exact"/>
              <w:ind w:left="620"/>
            </w:pPr>
            <w:r>
              <w:rPr>
                <w:color w:val="5F6A72"/>
                <w:spacing w:val="-7"/>
                <w:position w:val="1"/>
              </w:rPr>
              <w:t>52.0</w:t>
            </w:r>
          </w:p>
        </w:tc>
      </w:tr>
      <w:tr w14:paraId="77F9176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shd w:val="clear" w:color="auto" w:fill="EAF9FF"/>
            <w:vAlign w:val="top"/>
          </w:tcPr>
          <w:p w14:paraId="516F880E">
            <w:pPr>
              <w:pStyle w:val="8"/>
              <w:spacing w:before="66" w:line="238" w:lineRule="exact"/>
              <w:ind w:left="12"/>
            </w:pPr>
            <w:r>
              <w:rPr>
                <w:color w:val="2A8ABF"/>
                <w:spacing w:val="-7"/>
                <w:position w:val="1"/>
              </w:rPr>
              <w:t>Colombia</w:t>
            </w:r>
          </w:p>
        </w:tc>
        <w:tc>
          <w:tcPr>
            <w:tcW w:w="884" w:type="dxa"/>
            <w:tcBorders>
              <w:right w:val="nil"/>
            </w:tcBorders>
            <w:shd w:val="clear" w:color="auto" w:fill="EAF9FF"/>
            <w:vAlign w:val="top"/>
          </w:tcPr>
          <w:p w14:paraId="00EAD4CB">
            <w:pPr>
              <w:pStyle w:val="8"/>
              <w:spacing w:before="66" w:line="238" w:lineRule="exact"/>
              <w:ind w:left="285"/>
            </w:pPr>
            <w:r>
              <w:rPr>
                <w:color w:val="5F6A72"/>
                <w:spacing w:val="-7"/>
                <w:position w:val="1"/>
              </w:rPr>
              <w:t>92.3</w:t>
            </w:r>
          </w:p>
        </w:tc>
        <w:tc>
          <w:tcPr>
            <w:tcW w:w="740" w:type="dxa"/>
            <w:tcBorders>
              <w:left w:val="nil"/>
              <w:right w:val="nil"/>
            </w:tcBorders>
            <w:shd w:val="clear" w:color="auto" w:fill="EAF9FF"/>
            <w:vAlign w:val="top"/>
          </w:tcPr>
          <w:p w14:paraId="50C32E15">
            <w:pPr>
              <w:pStyle w:val="8"/>
              <w:spacing w:before="66" w:line="238" w:lineRule="exact"/>
              <w:ind w:left="218"/>
            </w:pPr>
            <w:r>
              <w:rPr>
                <w:color w:val="5F6A72"/>
                <w:spacing w:val="-7"/>
                <w:position w:val="1"/>
              </w:rPr>
              <w:t>69.0</w:t>
            </w:r>
          </w:p>
        </w:tc>
        <w:tc>
          <w:tcPr>
            <w:tcW w:w="1542" w:type="dxa"/>
            <w:tcBorders>
              <w:left w:val="nil"/>
              <w:right w:val="nil"/>
            </w:tcBorders>
            <w:shd w:val="clear" w:color="auto" w:fill="EAF9FF"/>
            <w:vAlign w:val="top"/>
          </w:tcPr>
          <w:p w14:paraId="6A53E446">
            <w:pPr>
              <w:pStyle w:val="8"/>
              <w:spacing w:before="66" w:line="238" w:lineRule="exact"/>
              <w:ind w:left="617"/>
            </w:pPr>
            <w:r>
              <w:rPr>
                <w:color w:val="5F6A72"/>
                <w:spacing w:val="-6"/>
                <w:position w:val="1"/>
              </w:rPr>
              <w:t>28.9</w:t>
            </w:r>
          </w:p>
        </w:tc>
        <w:tc>
          <w:tcPr>
            <w:tcW w:w="1542" w:type="dxa"/>
            <w:tcBorders>
              <w:left w:val="nil"/>
              <w:right w:val="nil"/>
            </w:tcBorders>
            <w:shd w:val="clear" w:color="auto" w:fill="EAF9FF"/>
            <w:vAlign w:val="top"/>
          </w:tcPr>
          <w:p w14:paraId="5A4394BB">
            <w:pPr>
              <w:pStyle w:val="8"/>
              <w:spacing w:before="66" w:line="238" w:lineRule="exact"/>
              <w:ind w:left="614"/>
            </w:pPr>
            <w:r>
              <w:rPr>
                <w:color w:val="5F6A72"/>
                <w:spacing w:val="-6"/>
                <w:position w:val="1"/>
              </w:rPr>
              <w:t>39.4</w:t>
            </w:r>
          </w:p>
        </w:tc>
        <w:tc>
          <w:tcPr>
            <w:tcW w:w="2410" w:type="dxa"/>
            <w:tcBorders>
              <w:left w:val="nil"/>
              <w:right w:val="nil"/>
            </w:tcBorders>
            <w:shd w:val="clear" w:color="auto" w:fill="EAF9FF"/>
            <w:vAlign w:val="top"/>
          </w:tcPr>
          <w:p w14:paraId="3EEEF46E">
            <w:pPr>
              <w:pStyle w:val="8"/>
              <w:spacing w:before="66" w:line="238" w:lineRule="exact"/>
              <w:ind w:left="1053"/>
            </w:pPr>
            <w:r>
              <w:rPr>
                <w:color w:val="5F6A72"/>
                <w:spacing w:val="-7"/>
                <w:position w:val="1"/>
              </w:rPr>
              <w:t>59.2</w:t>
            </w:r>
          </w:p>
        </w:tc>
        <w:tc>
          <w:tcPr>
            <w:tcW w:w="1543" w:type="dxa"/>
            <w:tcBorders>
              <w:left w:val="nil"/>
              <w:right w:val="nil"/>
            </w:tcBorders>
            <w:shd w:val="clear" w:color="auto" w:fill="E5819D"/>
            <w:vAlign w:val="top"/>
          </w:tcPr>
          <w:p w14:paraId="42280360">
            <w:pPr>
              <w:pStyle w:val="8"/>
              <w:spacing w:before="66" w:line="238" w:lineRule="exact"/>
              <w:ind w:left="620"/>
            </w:pPr>
            <w:r>
              <w:rPr>
                <w:color w:val="5F6A72"/>
                <w:spacing w:val="-7"/>
                <w:position w:val="1"/>
              </w:rPr>
              <w:t>57.7</w:t>
            </w:r>
          </w:p>
        </w:tc>
      </w:tr>
      <w:tr w14:paraId="40E9FC8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543" w:type="dxa"/>
            <w:tcBorders>
              <w:left w:val="nil"/>
            </w:tcBorders>
            <w:vAlign w:val="top"/>
          </w:tcPr>
          <w:p w14:paraId="4B5F4817">
            <w:pPr>
              <w:pStyle w:val="8"/>
              <w:spacing w:before="67" w:line="237" w:lineRule="exact"/>
              <w:ind w:left="3"/>
            </w:pPr>
            <w:r>
              <w:rPr>
                <w:color w:val="2A8ABF"/>
                <w:spacing w:val="-8"/>
                <w:position w:val="1"/>
              </w:rPr>
              <w:t>Venezuela</w:t>
            </w:r>
          </w:p>
        </w:tc>
        <w:tc>
          <w:tcPr>
            <w:tcW w:w="884" w:type="dxa"/>
            <w:tcBorders>
              <w:right w:val="nil"/>
            </w:tcBorders>
            <w:vAlign w:val="top"/>
          </w:tcPr>
          <w:p w14:paraId="5567C2A1">
            <w:pPr>
              <w:pStyle w:val="8"/>
              <w:spacing w:before="67" w:line="237" w:lineRule="exact"/>
              <w:ind w:left="239"/>
            </w:pPr>
            <w:r>
              <w:rPr>
                <w:color w:val="5F6A72"/>
                <w:spacing w:val="-7"/>
                <w:position w:val="1"/>
              </w:rPr>
              <w:t>100.0</w:t>
            </w:r>
          </w:p>
        </w:tc>
        <w:tc>
          <w:tcPr>
            <w:tcW w:w="740" w:type="dxa"/>
            <w:tcBorders>
              <w:left w:val="nil"/>
              <w:right w:val="nil"/>
            </w:tcBorders>
            <w:vAlign w:val="top"/>
          </w:tcPr>
          <w:p w14:paraId="2559B038">
            <w:pPr>
              <w:pStyle w:val="8"/>
              <w:spacing w:before="67" w:line="237" w:lineRule="exact"/>
              <w:ind w:left="217"/>
            </w:pPr>
            <w:r>
              <w:rPr>
                <w:color w:val="5F6A72"/>
                <w:spacing w:val="-7"/>
                <w:position w:val="1"/>
              </w:rPr>
              <w:t>90.1</w:t>
            </w:r>
          </w:p>
        </w:tc>
        <w:tc>
          <w:tcPr>
            <w:tcW w:w="1542" w:type="dxa"/>
            <w:tcBorders>
              <w:left w:val="nil"/>
              <w:right w:val="nil"/>
            </w:tcBorders>
            <w:vAlign w:val="top"/>
          </w:tcPr>
          <w:p w14:paraId="75DA127D">
            <w:pPr>
              <w:pStyle w:val="8"/>
              <w:spacing w:before="67" w:line="237" w:lineRule="exact"/>
              <w:ind w:left="618"/>
            </w:pPr>
            <w:r>
              <w:rPr>
                <w:color w:val="5F6A72"/>
                <w:spacing w:val="-7"/>
                <w:position w:val="1"/>
              </w:rPr>
              <w:t>95.8</w:t>
            </w:r>
          </w:p>
        </w:tc>
        <w:tc>
          <w:tcPr>
            <w:tcW w:w="1542" w:type="dxa"/>
            <w:tcBorders>
              <w:left w:val="nil"/>
              <w:right w:val="nil"/>
            </w:tcBorders>
            <w:vAlign w:val="top"/>
          </w:tcPr>
          <w:p w14:paraId="11419663">
            <w:pPr>
              <w:pStyle w:val="8"/>
              <w:spacing w:before="67" w:line="237" w:lineRule="exact"/>
              <w:ind w:left="619"/>
            </w:pPr>
            <w:r>
              <w:rPr>
                <w:color w:val="5F6A72"/>
                <w:spacing w:val="-7"/>
                <w:position w:val="1"/>
              </w:rPr>
              <w:t>93.0</w:t>
            </w:r>
          </w:p>
        </w:tc>
        <w:tc>
          <w:tcPr>
            <w:tcW w:w="2410" w:type="dxa"/>
            <w:tcBorders>
              <w:left w:val="nil"/>
              <w:right w:val="nil"/>
            </w:tcBorders>
            <w:vAlign w:val="top"/>
          </w:tcPr>
          <w:p w14:paraId="6A60EC52">
            <w:pPr>
              <w:pStyle w:val="8"/>
              <w:spacing w:before="67" w:line="237" w:lineRule="exact"/>
              <w:ind w:left="1008"/>
            </w:pPr>
            <w:r>
              <w:rPr>
                <w:color w:val="5F6A72"/>
                <w:spacing w:val="-7"/>
                <w:position w:val="1"/>
              </w:rPr>
              <w:t>100.0</w:t>
            </w:r>
          </w:p>
        </w:tc>
        <w:tc>
          <w:tcPr>
            <w:tcW w:w="1543" w:type="dxa"/>
            <w:tcBorders>
              <w:left w:val="nil"/>
              <w:right w:val="nil"/>
            </w:tcBorders>
            <w:shd w:val="clear" w:color="auto" w:fill="E5819D"/>
            <w:vAlign w:val="top"/>
          </w:tcPr>
          <w:p w14:paraId="3E8D301B">
            <w:pPr>
              <w:pStyle w:val="8"/>
              <w:spacing w:before="67" w:line="237" w:lineRule="exact"/>
              <w:ind w:left="620"/>
            </w:pPr>
            <w:r>
              <w:rPr>
                <w:color w:val="5F6A72"/>
                <w:spacing w:val="-7"/>
                <w:position w:val="1"/>
              </w:rPr>
              <w:t>95.8</w:t>
            </w:r>
          </w:p>
        </w:tc>
      </w:tr>
      <w:tr w14:paraId="08D169C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543" w:type="dxa"/>
            <w:tcBorders>
              <w:left w:val="nil"/>
            </w:tcBorders>
            <w:shd w:val="clear" w:color="auto" w:fill="EAF9FF"/>
            <w:vAlign w:val="top"/>
          </w:tcPr>
          <w:p w14:paraId="284C365B">
            <w:pPr>
              <w:pStyle w:val="8"/>
              <w:spacing w:before="67" w:line="238" w:lineRule="exact"/>
              <w:ind w:left="18"/>
            </w:pPr>
            <w:r>
              <w:rPr>
                <w:color w:val="2A8ABF"/>
                <w:spacing w:val="-12"/>
                <w:position w:val="1"/>
              </w:rPr>
              <w:t>Ecuador</w:t>
            </w:r>
          </w:p>
        </w:tc>
        <w:tc>
          <w:tcPr>
            <w:tcW w:w="884" w:type="dxa"/>
            <w:tcBorders>
              <w:right w:val="nil"/>
            </w:tcBorders>
            <w:shd w:val="clear" w:color="auto" w:fill="EAF9FF"/>
            <w:vAlign w:val="top"/>
          </w:tcPr>
          <w:p w14:paraId="1A47EAB6">
            <w:pPr>
              <w:pStyle w:val="8"/>
              <w:spacing w:before="67" w:line="237" w:lineRule="exact"/>
              <w:ind w:left="280"/>
            </w:pPr>
            <w:r>
              <w:rPr>
                <w:color w:val="5F6A72"/>
                <w:spacing w:val="-6"/>
                <w:position w:val="1"/>
              </w:rPr>
              <w:t>79.6</w:t>
            </w:r>
          </w:p>
        </w:tc>
        <w:tc>
          <w:tcPr>
            <w:tcW w:w="740" w:type="dxa"/>
            <w:tcBorders>
              <w:left w:val="nil"/>
              <w:right w:val="nil"/>
            </w:tcBorders>
            <w:shd w:val="clear" w:color="auto" w:fill="EAF9FF"/>
            <w:vAlign w:val="top"/>
          </w:tcPr>
          <w:p w14:paraId="49F5F8F9">
            <w:pPr>
              <w:pStyle w:val="8"/>
              <w:spacing w:before="67" w:line="240" w:lineRule="exact"/>
              <w:ind w:left="215"/>
            </w:pPr>
            <w:r>
              <w:rPr>
                <w:color w:val="5F6A72"/>
                <w:spacing w:val="-6"/>
                <w:position w:val="1"/>
              </w:rPr>
              <w:t>21.1</w:t>
            </w:r>
          </w:p>
        </w:tc>
        <w:tc>
          <w:tcPr>
            <w:tcW w:w="1542" w:type="dxa"/>
            <w:tcBorders>
              <w:left w:val="nil"/>
              <w:right w:val="nil"/>
            </w:tcBorders>
            <w:shd w:val="clear" w:color="auto" w:fill="EAF9FF"/>
            <w:vAlign w:val="top"/>
          </w:tcPr>
          <w:p w14:paraId="6B2D22BB">
            <w:pPr>
              <w:pStyle w:val="8"/>
              <w:spacing w:before="67" w:line="237" w:lineRule="exact"/>
              <w:ind w:left="618"/>
            </w:pPr>
            <w:r>
              <w:rPr>
                <w:color w:val="5F6A72"/>
                <w:spacing w:val="-7"/>
                <w:position w:val="1"/>
              </w:rPr>
              <w:t>95.8</w:t>
            </w:r>
          </w:p>
        </w:tc>
        <w:tc>
          <w:tcPr>
            <w:tcW w:w="1542" w:type="dxa"/>
            <w:tcBorders>
              <w:left w:val="nil"/>
              <w:right w:val="nil"/>
            </w:tcBorders>
            <w:shd w:val="clear" w:color="auto" w:fill="EAF9FF"/>
            <w:vAlign w:val="top"/>
          </w:tcPr>
          <w:p w14:paraId="1C7AA0A3">
            <w:pPr>
              <w:pStyle w:val="8"/>
              <w:spacing w:before="67" w:line="237" w:lineRule="exact"/>
              <w:ind w:left="614"/>
            </w:pPr>
            <w:r>
              <w:rPr>
                <w:color w:val="5F6A72"/>
                <w:spacing w:val="-6"/>
                <w:position w:val="1"/>
              </w:rPr>
              <w:t>77.5</w:t>
            </w:r>
          </w:p>
        </w:tc>
        <w:tc>
          <w:tcPr>
            <w:tcW w:w="2410" w:type="dxa"/>
            <w:tcBorders>
              <w:left w:val="nil"/>
              <w:right w:val="nil"/>
            </w:tcBorders>
            <w:shd w:val="clear" w:color="auto" w:fill="EAF9FF"/>
            <w:vAlign w:val="top"/>
          </w:tcPr>
          <w:p w14:paraId="5A330D43">
            <w:pPr>
              <w:pStyle w:val="8"/>
              <w:spacing w:before="67" w:line="237" w:lineRule="exact"/>
              <w:ind w:left="1049"/>
            </w:pPr>
            <w:r>
              <w:rPr>
                <w:color w:val="5F6A72"/>
                <w:spacing w:val="-6"/>
                <w:position w:val="1"/>
              </w:rPr>
              <w:t>76.1</w:t>
            </w:r>
          </w:p>
        </w:tc>
        <w:tc>
          <w:tcPr>
            <w:tcW w:w="1543" w:type="dxa"/>
            <w:tcBorders>
              <w:left w:val="nil"/>
              <w:right w:val="nil"/>
            </w:tcBorders>
            <w:shd w:val="clear" w:color="auto" w:fill="E5819D"/>
            <w:vAlign w:val="top"/>
          </w:tcPr>
          <w:p w14:paraId="5A87E688">
            <w:pPr>
              <w:pStyle w:val="8"/>
              <w:spacing w:before="67" w:line="237" w:lineRule="exact"/>
              <w:ind w:left="615"/>
            </w:pPr>
            <w:r>
              <w:rPr>
                <w:color w:val="5F6A72"/>
                <w:spacing w:val="-6"/>
                <w:position w:val="1"/>
              </w:rPr>
              <w:t>70.0</w:t>
            </w:r>
          </w:p>
        </w:tc>
      </w:tr>
      <w:tr w14:paraId="7161417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543" w:type="dxa"/>
            <w:tcBorders>
              <w:left w:val="nil"/>
            </w:tcBorders>
            <w:vAlign w:val="top"/>
          </w:tcPr>
          <w:p w14:paraId="3E6F60CB">
            <w:pPr>
              <w:pStyle w:val="8"/>
              <w:rPr>
                <w:sz w:val="21"/>
              </w:rPr>
            </w:pPr>
          </w:p>
        </w:tc>
        <w:tc>
          <w:tcPr>
            <w:tcW w:w="884" w:type="dxa"/>
            <w:tcBorders>
              <w:right w:val="nil"/>
            </w:tcBorders>
            <w:vAlign w:val="top"/>
          </w:tcPr>
          <w:p w14:paraId="16E0A640">
            <w:pPr>
              <w:pStyle w:val="8"/>
              <w:rPr>
                <w:sz w:val="21"/>
              </w:rPr>
            </w:pPr>
          </w:p>
        </w:tc>
        <w:tc>
          <w:tcPr>
            <w:tcW w:w="740" w:type="dxa"/>
            <w:tcBorders>
              <w:left w:val="nil"/>
              <w:right w:val="nil"/>
            </w:tcBorders>
            <w:vAlign w:val="top"/>
          </w:tcPr>
          <w:p w14:paraId="7CE00D24">
            <w:pPr>
              <w:pStyle w:val="8"/>
              <w:rPr>
                <w:sz w:val="21"/>
              </w:rPr>
            </w:pPr>
          </w:p>
        </w:tc>
        <w:tc>
          <w:tcPr>
            <w:tcW w:w="1542" w:type="dxa"/>
            <w:tcBorders>
              <w:left w:val="nil"/>
              <w:right w:val="nil"/>
            </w:tcBorders>
            <w:vAlign w:val="top"/>
          </w:tcPr>
          <w:p w14:paraId="3554E6CD">
            <w:pPr>
              <w:pStyle w:val="8"/>
              <w:rPr>
                <w:sz w:val="21"/>
              </w:rPr>
            </w:pPr>
          </w:p>
        </w:tc>
        <w:tc>
          <w:tcPr>
            <w:tcW w:w="1542" w:type="dxa"/>
            <w:tcBorders>
              <w:left w:val="nil"/>
              <w:right w:val="nil"/>
            </w:tcBorders>
            <w:vAlign w:val="top"/>
          </w:tcPr>
          <w:p w14:paraId="1C844664">
            <w:pPr>
              <w:pStyle w:val="8"/>
              <w:rPr>
                <w:sz w:val="21"/>
              </w:rPr>
            </w:pPr>
          </w:p>
        </w:tc>
        <w:tc>
          <w:tcPr>
            <w:tcW w:w="2410" w:type="dxa"/>
            <w:tcBorders>
              <w:left w:val="nil"/>
              <w:right w:val="nil"/>
            </w:tcBorders>
            <w:vAlign w:val="top"/>
          </w:tcPr>
          <w:p w14:paraId="74C904BF">
            <w:pPr>
              <w:pStyle w:val="8"/>
              <w:rPr>
                <w:sz w:val="21"/>
              </w:rPr>
            </w:pPr>
          </w:p>
        </w:tc>
        <w:tc>
          <w:tcPr>
            <w:tcW w:w="1543" w:type="dxa"/>
            <w:tcBorders>
              <w:left w:val="nil"/>
              <w:right w:val="nil"/>
            </w:tcBorders>
            <w:shd w:val="clear" w:color="auto" w:fill="E5819D"/>
            <w:vAlign w:val="top"/>
          </w:tcPr>
          <w:p w14:paraId="407F74A3">
            <w:pPr>
              <w:pStyle w:val="8"/>
              <w:rPr>
                <w:sz w:val="21"/>
              </w:rPr>
            </w:pPr>
          </w:p>
        </w:tc>
      </w:tr>
      <w:tr w14:paraId="0B245B8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543" w:type="dxa"/>
            <w:tcBorders>
              <w:left w:val="nil"/>
            </w:tcBorders>
            <w:shd w:val="clear" w:color="auto" w:fill="EAF9FF"/>
            <w:vAlign w:val="top"/>
          </w:tcPr>
          <w:p w14:paraId="203915F8">
            <w:pPr>
              <w:pStyle w:val="8"/>
              <w:spacing w:before="66" w:line="234" w:lineRule="auto"/>
              <w:ind w:left="12"/>
            </w:pPr>
            <w:r>
              <w:rPr>
                <w:color w:val="2A8ABF"/>
                <w:spacing w:val="-11"/>
              </w:rPr>
              <w:t>Global</w:t>
            </w:r>
            <w:r>
              <w:rPr>
                <w:color w:val="2A8ABF"/>
                <w:spacing w:val="-2"/>
              </w:rPr>
              <w:t xml:space="preserve"> </w:t>
            </w:r>
            <w:r>
              <w:rPr>
                <w:color w:val="2A8ABF"/>
                <w:spacing w:val="-11"/>
              </w:rPr>
              <w:t>average</w:t>
            </w:r>
          </w:p>
        </w:tc>
        <w:tc>
          <w:tcPr>
            <w:tcW w:w="884" w:type="dxa"/>
            <w:tcBorders>
              <w:right w:val="nil"/>
            </w:tcBorders>
            <w:shd w:val="clear" w:color="auto" w:fill="EAF9FF"/>
            <w:vAlign w:val="top"/>
          </w:tcPr>
          <w:p w14:paraId="1ECA62EA">
            <w:pPr>
              <w:pStyle w:val="8"/>
              <w:spacing w:before="66" w:line="237" w:lineRule="exact"/>
              <w:ind w:left="285"/>
            </w:pPr>
            <w:r>
              <w:rPr>
                <w:color w:val="5F6A72"/>
                <w:spacing w:val="-7"/>
                <w:position w:val="1"/>
              </w:rPr>
              <w:t>50.0</w:t>
            </w:r>
          </w:p>
        </w:tc>
        <w:tc>
          <w:tcPr>
            <w:tcW w:w="740" w:type="dxa"/>
            <w:tcBorders>
              <w:left w:val="nil"/>
              <w:right w:val="nil"/>
            </w:tcBorders>
            <w:shd w:val="clear" w:color="auto" w:fill="EAF9FF"/>
            <w:vAlign w:val="top"/>
          </w:tcPr>
          <w:p w14:paraId="11FAD372">
            <w:pPr>
              <w:pStyle w:val="8"/>
              <w:spacing w:before="66" w:line="237" w:lineRule="exact"/>
              <w:ind w:left="217"/>
            </w:pPr>
            <w:r>
              <w:rPr>
                <w:color w:val="5F6A72"/>
                <w:spacing w:val="-7"/>
                <w:position w:val="1"/>
              </w:rPr>
              <w:t>50.0</w:t>
            </w:r>
          </w:p>
        </w:tc>
        <w:tc>
          <w:tcPr>
            <w:tcW w:w="1542" w:type="dxa"/>
            <w:tcBorders>
              <w:left w:val="nil"/>
              <w:right w:val="nil"/>
            </w:tcBorders>
            <w:shd w:val="clear" w:color="auto" w:fill="EAF9FF"/>
            <w:vAlign w:val="top"/>
          </w:tcPr>
          <w:p w14:paraId="0CF668E6">
            <w:pPr>
              <w:pStyle w:val="8"/>
              <w:spacing w:before="66" w:line="237" w:lineRule="exact"/>
              <w:ind w:left="618"/>
            </w:pPr>
            <w:r>
              <w:rPr>
                <w:color w:val="5F6A72"/>
                <w:spacing w:val="-7"/>
                <w:position w:val="1"/>
              </w:rPr>
              <w:t>50.0</w:t>
            </w:r>
          </w:p>
        </w:tc>
        <w:tc>
          <w:tcPr>
            <w:tcW w:w="1542" w:type="dxa"/>
            <w:tcBorders>
              <w:left w:val="nil"/>
              <w:right w:val="nil"/>
            </w:tcBorders>
            <w:shd w:val="clear" w:color="auto" w:fill="EAF9FF"/>
            <w:vAlign w:val="top"/>
          </w:tcPr>
          <w:p w14:paraId="75B0D938">
            <w:pPr>
              <w:pStyle w:val="8"/>
              <w:spacing w:before="66" w:line="237" w:lineRule="exact"/>
              <w:ind w:left="619"/>
            </w:pPr>
            <w:r>
              <w:rPr>
                <w:color w:val="5F6A72"/>
                <w:spacing w:val="-7"/>
                <w:position w:val="1"/>
              </w:rPr>
              <w:t>50.0</w:t>
            </w:r>
          </w:p>
        </w:tc>
        <w:tc>
          <w:tcPr>
            <w:tcW w:w="2410" w:type="dxa"/>
            <w:tcBorders>
              <w:left w:val="nil"/>
              <w:right w:val="nil"/>
            </w:tcBorders>
            <w:shd w:val="clear" w:color="auto" w:fill="EAF9FF"/>
            <w:vAlign w:val="top"/>
          </w:tcPr>
          <w:p w14:paraId="4A4790CC">
            <w:pPr>
              <w:pStyle w:val="8"/>
              <w:spacing w:before="66" w:line="237" w:lineRule="exact"/>
              <w:ind w:left="1053"/>
            </w:pPr>
            <w:r>
              <w:rPr>
                <w:color w:val="5F6A72"/>
                <w:spacing w:val="-7"/>
                <w:position w:val="1"/>
              </w:rPr>
              <w:t>50.0</w:t>
            </w:r>
          </w:p>
        </w:tc>
        <w:tc>
          <w:tcPr>
            <w:tcW w:w="1543" w:type="dxa"/>
            <w:tcBorders>
              <w:left w:val="nil"/>
              <w:right w:val="nil"/>
            </w:tcBorders>
            <w:shd w:val="clear" w:color="auto" w:fill="E5819D"/>
            <w:vAlign w:val="top"/>
          </w:tcPr>
          <w:p w14:paraId="2679C640">
            <w:pPr>
              <w:pStyle w:val="8"/>
              <w:spacing w:before="66" w:line="237" w:lineRule="exact"/>
              <w:ind w:left="620"/>
            </w:pPr>
            <w:r>
              <w:rPr>
                <w:color w:val="5F6A72"/>
                <w:spacing w:val="-7"/>
                <w:position w:val="1"/>
              </w:rPr>
              <w:t>50.0</w:t>
            </w:r>
          </w:p>
        </w:tc>
      </w:tr>
      <w:tr w14:paraId="673D98B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1543" w:type="dxa"/>
            <w:tcBorders>
              <w:left w:val="nil"/>
              <w:bottom w:val="nil"/>
            </w:tcBorders>
            <w:vAlign w:val="top"/>
          </w:tcPr>
          <w:p w14:paraId="422094EA">
            <w:pPr>
              <w:pStyle w:val="8"/>
              <w:spacing w:before="65" w:line="234" w:lineRule="auto"/>
              <w:ind w:left="18"/>
            </w:pPr>
            <w:r>
              <w:rPr>
                <w:color w:val="2A8ABF"/>
                <w:spacing w:val="-11"/>
              </w:rPr>
              <w:t>Regional</w:t>
            </w:r>
            <w:r>
              <w:rPr>
                <w:color w:val="2A8ABF"/>
              </w:rPr>
              <w:t xml:space="preserve"> </w:t>
            </w:r>
            <w:r>
              <w:rPr>
                <w:color w:val="2A8ABF"/>
                <w:spacing w:val="-11"/>
              </w:rPr>
              <w:t>average</w:t>
            </w:r>
          </w:p>
        </w:tc>
        <w:tc>
          <w:tcPr>
            <w:tcW w:w="884" w:type="dxa"/>
            <w:tcBorders>
              <w:bottom w:val="nil"/>
              <w:right w:val="nil"/>
            </w:tcBorders>
            <w:vAlign w:val="top"/>
          </w:tcPr>
          <w:p w14:paraId="3A0BFCE5">
            <w:pPr>
              <w:pStyle w:val="8"/>
              <w:spacing w:before="65" w:line="238" w:lineRule="exact"/>
              <w:ind w:left="285"/>
            </w:pPr>
            <w:r>
              <w:rPr>
                <w:color w:val="5F6A72"/>
                <w:spacing w:val="-7"/>
                <w:position w:val="1"/>
              </w:rPr>
              <w:t>56.4</w:t>
            </w:r>
          </w:p>
        </w:tc>
        <w:tc>
          <w:tcPr>
            <w:tcW w:w="740" w:type="dxa"/>
            <w:tcBorders>
              <w:left w:val="nil"/>
              <w:bottom w:val="nil"/>
              <w:right w:val="nil"/>
            </w:tcBorders>
            <w:vAlign w:val="top"/>
          </w:tcPr>
          <w:p w14:paraId="478A40D3">
            <w:pPr>
              <w:pStyle w:val="8"/>
              <w:spacing w:before="65" w:line="238" w:lineRule="exact"/>
              <w:ind w:left="218"/>
            </w:pPr>
            <w:r>
              <w:rPr>
                <w:color w:val="5F6A72"/>
                <w:spacing w:val="-7"/>
                <w:position w:val="1"/>
              </w:rPr>
              <w:t>60.1</w:t>
            </w:r>
          </w:p>
        </w:tc>
        <w:tc>
          <w:tcPr>
            <w:tcW w:w="1542" w:type="dxa"/>
            <w:tcBorders>
              <w:left w:val="nil"/>
              <w:bottom w:val="nil"/>
              <w:right w:val="nil"/>
            </w:tcBorders>
            <w:vAlign w:val="top"/>
          </w:tcPr>
          <w:p w14:paraId="041D7320">
            <w:pPr>
              <w:pStyle w:val="8"/>
              <w:spacing w:before="65" w:line="238" w:lineRule="exact"/>
              <w:ind w:left="618"/>
            </w:pPr>
            <w:r>
              <w:rPr>
                <w:color w:val="5F6A72"/>
                <w:spacing w:val="-7"/>
                <w:position w:val="1"/>
              </w:rPr>
              <w:t>58.9</w:t>
            </w:r>
          </w:p>
        </w:tc>
        <w:tc>
          <w:tcPr>
            <w:tcW w:w="1542" w:type="dxa"/>
            <w:tcBorders>
              <w:left w:val="nil"/>
              <w:bottom w:val="nil"/>
              <w:right w:val="nil"/>
            </w:tcBorders>
            <w:vAlign w:val="top"/>
          </w:tcPr>
          <w:p w14:paraId="10552D6A">
            <w:pPr>
              <w:pStyle w:val="8"/>
              <w:spacing w:before="65" w:line="238" w:lineRule="exact"/>
              <w:ind w:left="619"/>
            </w:pPr>
            <w:r>
              <w:rPr>
                <w:color w:val="5F6A72"/>
                <w:spacing w:val="-7"/>
                <w:position w:val="1"/>
              </w:rPr>
              <w:t>58.0</w:t>
            </w:r>
          </w:p>
        </w:tc>
        <w:tc>
          <w:tcPr>
            <w:tcW w:w="2410" w:type="dxa"/>
            <w:tcBorders>
              <w:left w:val="nil"/>
              <w:bottom w:val="nil"/>
              <w:right w:val="nil"/>
            </w:tcBorders>
            <w:vAlign w:val="top"/>
          </w:tcPr>
          <w:p w14:paraId="033F9717">
            <w:pPr>
              <w:pStyle w:val="8"/>
              <w:spacing w:before="65" w:line="238" w:lineRule="exact"/>
              <w:ind w:left="1054"/>
            </w:pPr>
            <w:r>
              <w:rPr>
                <w:color w:val="5F6A72"/>
                <w:spacing w:val="-7"/>
                <w:position w:val="1"/>
              </w:rPr>
              <w:t>67.0</w:t>
            </w:r>
          </w:p>
        </w:tc>
        <w:tc>
          <w:tcPr>
            <w:tcW w:w="1543" w:type="dxa"/>
            <w:tcBorders>
              <w:left w:val="nil"/>
              <w:bottom w:val="nil"/>
              <w:right w:val="nil"/>
            </w:tcBorders>
            <w:shd w:val="clear" w:color="auto" w:fill="E5819D"/>
            <w:vAlign w:val="top"/>
          </w:tcPr>
          <w:p w14:paraId="34080AB5">
            <w:pPr>
              <w:pStyle w:val="8"/>
              <w:spacing w:before="65" w:line="238" w:lineRule="exact"/>
              <w:ind w:left="621"/>
            </w:pPr>
            <w:r>
              <w:rPr>
                <w:color w:val="5F6A72"/>
                <w:spacing w:val="-7"/>
                <w:position w:val="1"/>
              </w:rPr>
              <w:t>60.1</w:t>
            </w:r>
          </w:p>
        </w:tc>
      </w:tr>
    </w:tbl>
    <w:p w14:paraId="084FE64E">
      <w:pPr>
        <w:pStyle w:val="4"/>
        <w:spacing w:before="149" w:line="235" w:lineRule="auto"/>
        <w:ind w:left="372"/>
        <w:rPr>
          <w:sz w:val="15"/>
          <w:szCs w:val="15"/>
        </w:rPr>
      </w:pPr>
      <w:r>
        <w:drawing>
          <wp:anchor distT="0" distB="0" distL="0" distR="0" simplePos="0" relativeHeight="251873280"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64568D87">
      <w:pPr>
        <w:pStyle w:val="4"/>
        <w:spacing w:line="250" w:lineRule="auto"/>
      </w:pPr>
    </w:p>
    <w:p w14:paraId="4F95F8B2">
      <w:pPr>
        <w:pStyle w:val="4"/>
        <w:spacing w:before="70" w:line="234" w:lineRule="auto"/>
        <w:ind w:left="427"/>
        <w:rPr>
          <w:sz w:val="24"/>
          <w:szCs w:val="24"/>
        </w:rPr>
      </w:pPr>
      <w:r>
        <w:rPr>
          <w:color w:val="174174"/>
          <w:spacing w:val="-10"/>
          <w:sz w:val="24"/>
          <w:szCs w:val="24"/>
        </w:rPr>
        <w:t>Latin</w:t>
      </w:r>
      <w:r>
        <w:rPr>
          <w:color w:val="174174"/>
          <w:spacing w:val="-24"/>
          <w:sz w:val="24"/>
          <w:szCs w:val="24"/>
        </w:rPr>
        <w:t xml:space="preserve"> </w:t>
      </w:r>
      <w:r>
        <w:rPr>
          <w:color w:val="174174"/>
          <w:spacing w:val="-10"/>
          <w:sz w:val="24"/>
          <w:szCs w:val="24"/>
        </w:rPr>
        <w:t>America Upstream Co</w:t>
      </w:r>
      <w:r>
        <w:rPr>
          <w:color w:val="174174"/>
          <w:spacing w:val="-11"/>
          <w:sz w:val="24"/>
          <w:szCs w:val="24"/>
        </w:rPr>
        <w:t>untry Risks</w:t>
      </w:r>
    </w:p>
    <w:p w14:paraId="4222BC8B">
      <w:pPr>
        <w:spacing w:line="42"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304"/>
        <w:gridCol w:w="2446"/>
        <w:gridCol w:w="2445"/>
        <w:gridCol w:w="1304"/>
        <w:gridCol w:w="1304"/>
        <w:gridCol w:w="790"/>
        <w:gridCol w:w="611"/>
      </w:tblGrid>
      <w:tr w14:paraId="6DD0F06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1304" w:type="dxa"/>
            <w:tcBorders>
              <w:left w:val="nil"/>
              <w:right w:val="single" w:color="D7DADB" w:sz="4" w:space="0"/>
            </w:tcBorders>
            <w:vAlign w:val="top"/>
          </w:tcPr>
          <w:p w14:paraId="4FC53358">
            <w:pPr>
              <w:pStyle w:val="8"/>
              <w:rPr>
                <w:sz w:val="21"/>
              </w:rPr>
            </w:pPr>
          </w:p>
        </w:tc>
        <w:tc>
          <w:tcPr>
            <w:tcW w:w="2446" w:type="dxa"/>
            <w:tcBorders>
              <w:left w:val="single" w:color="D7DADB" w:sz="4" w:space="0"/>
              <w:right w:val="nil"/>
            </w:tcBorders>
            <w:vAlign w:val="top"/>
          </w:tcPr>
          <w:p w14:paraId="53423E62">
            <w:pPr>
              <w:pStyle w:val="8"/>
              <w:spacing w:before="70" w:line="241" w:lineRule="auto"/>
              <w:ind w:left="206"/>
            </w:pPr>
            <w:r>
              <w:rPr>
                <w:b/>
                <w:bCs/>
                <w:color w:val="5F6A72"/>
                <w:spacing w:val="-10"/>
              </w:rPr>
              <w:t>Long-Term Economic Risk</w:t>
            </w:r>
          </w:p>
          <w:p w14:paraId="6075E53D">
            <w:pPr>
              <w:pStyle w:val="8"/>
              <w:spacing w:before="42" w:line="243" w:lineRule="exact"/>
              <w:ind w:left="1014"/>
            </w:pPr>
            <w:r>
              <w:rPr>
                <w:b/>
                <w:bCs/>
                <w:color w:val="5F6A72"/>
                <w:spacing w:val="-7"/>
                <w:position w:val="1"/>
              </w:rPr>
              <w:t>Index</w:t>
            </w:r>
          </w:p>
        </w:tc>
        <w:tc>
          <w:tcPr>
            <w:tcW w:w="2445" w:type="dxa"/>
            <w:tcBorders>
              <w:left w:val="nil"/>
              <w:right w:val="nil"/>
            </w:tcBorders>
            <w:vAlign w:val="top"/>
          </w:tcPr>
          <w:p w14:paraId="0BBCE08F">
            <w:pPr>
              <w:pStyle w:val="8"/>
              <w:spacing w:before="70" w:line="243" w:lineRule="exact"/>
              <w:ind w:left="177"/>
            </w:pPr>
            <w:r>
              <w:rPr>
                <w:b/>
                <w:bCs/>
                <w:color w:val="5F6A72"/>
                <w:spacing w:val="-9"/>
                <w:position w:val="1"/>
              </w:rPr>
              <w:t>Short-Term Economic Risk</w:t>
            </w:r>
          </w:p>
          <w:p w14:paraId="407B1919">
            <w:pPr>
              <w:pStyle w:val="8"/>
              <w:spacing w:before="6" w:line="244" w:lineRule="exact"/>
              <w:ind w:left="1015"/>
            </w:pPr>
            <w:r>
              <w:rPr>
                <w:b/>
                <w:bCs/>
                <w:color w:val="5F6A72"/>
                <w:spacing w:val="-7"/>
                <w:position w:val="1"/>
              </w:rPr>
              <w:t>Index</w:t>
            </w:r>
          </w:p>
        </w:tc>
        <w:tc>
          <w:tcPr>
            <w:tcW w:w="1304" w:type="dxa"/>
            <w:tcBorders>
              <w:left w:val="nil"/>
              <w:right w:val="nil"/>
            </w:tcBorders>
            <w:vAlign w:val="top"/>
          </w:tcPr>
          <w:p w14:paraId="6F2106DF">
            <w:pPr>
              <w:pStyle w:val="8"/>
              <w:spacing w:before="70" w:line="243" w:lineRule="exact"/>
              <w:ind w:left="158"/>
            </w:pPr>
            <w:r>
              <w:rPr>
                <w:b/>
                <w:bCs/>
                <w:color w:val="5F6A72"/>
                <w:spacing w:val="-8"/>
                <w:position w:val="1"/>
              </w:rPr>
              <w:t>Political Risk</w:t>
            </w:r>
          </w:p>
          <w:p w14:paraId="14604C2B">
            <w:pPr>
              <w:pStyle w:val="8"/>
              <w:spacing w:before="6" w:line="243" w:lineRule="exact"/>
              <w:ind w:left="445"/>
            </w:pPr>
            <w:r>
              <w:rPr>
                <w:b/>
                <w:bCs/>
                <w:color w:val="5F6A72"/>
                <w:spacing w:val="-7"/>
                <w:position w:val="1"/>
              </w:rPr>
              <w:t>Index</w:t>
            </w:r>
          </w:p>
        </w:tc>
        <w:tc>
          <w:tcPr>
            <w:tcW w:w="1304" w:type="dxa"/>
            <w:tcBorders>
              <w:left w:val="nil"/>
              <w:right w:val="nil"/>
            </w:tcBorders>
            <w:vAlign w:val="top"/>
          </w:tcPr>
          <w:p w14:paraId="68A9B4E1">
            <w:pPr>
              <w:pStyle w:val="8"/>
              <w:spacing w:before="70" w:line="210" w:lineRule="exact"/>
              <w:ind w:left="192"/>
            </w:pPr>
            <w:r>
              <w:rPr>
                <w:b/>
                <w:bCs/>
                <w:color w:val="5F6A72"/>
                <w:spacing w:val="-7"/>
                <w:position w:val="2"/>
              </w:rPr>
              <w:t>Operational</w:t>
            </w:r>
          </w:p>
          <w:p w14:paraId="4692F8C2">
            <w:pPr>
              <w:pStyle w:val="8"/>
              <w:spacing w:before="40" w:line="243" w:lineRule="exact"/>
              <w:ind w:left="257"/>
            </w:pPr>
            <w:r>
              <w:rPr>
                <w:b/>
                <w:bCs/>
                <w:color w:val="5F6A72"/>
                <w:spacing w:val="-9"/>
                <w:position w:val="1"/>
              </w:rPr>
              <w:t>Risk Index</w:t>
            </w:r>
          </w:p>
        </w:tc>
        <w:tc>
          <w:tcPr>
            <w:tcW w:w="790" w:type="dxa"/>
            <w:tcBorders>
              <w:left w:val="nil"/>
              <w:right w:val="nil"/>
            </w:tcBorders>
            <w:shd w:val="clear" w:color="auto" w:fill="E5819D"/>
            <w:vAlign w:val="top"/>
          </w:tcPr>
          <w:p w14:paraId="43F459F6">
            <w:pPr>
              <w:pStyle w:val="8"/>
              <w:spacing w:before="112" w:line="184" w:lineRule="auto"/>
              <w:ind w:left="80"/>
            </w:pPr>
            <w:r>
              <w:rPr>
                <w:b/>
                <w:bCs/>
                <w:color w:val="5F6A72"/>
                <w:spacing w:val="-7"/>
              </w:rPr>
              <w:t>Country</w:t>
            </w:r>
          </w:p>
          <w:p w14:paraId="632AF0F0">
            <w:pPr>
              <w:pStyle w:val="8"/>
              <w:spacing w:before="92" w:line="185" w:lineRule="auto"/>
              <w:ind w:left="195"/>
            </w:pPr>
            <w:r>
              <w:rPr>
                <w:b/>
                <w:bCs/>
                <w:color w:val="5F6A72"/>
                <w:spacing w:val="-11"/>
              </w:rPr>
              <w:t>Risks</w:t>
            </w:r>
          </w:p>
        </w:tc>
        <w:tc>
          <w:tcPr>
            <w:tcW w:w="611" w:type="dxa"/>
            <w:tcBorders>
              <w:left w:val="nil"/>
              <w:right w:val="nil"/>
            </w:tcBorders>
            <w:shd w:val="clear" w:color="auto" w:fill="E5819D"/>
            <w:vAlign w:val="top"/>
          </w:tcPr>
          <w:p w14:paraId="07BFA4E0">
            <w:pPr>
              <w:pStyle w:val="8"/>
              <w:spacing w:before="237" w:line="185" w:lineRule="auto"/>
              <w:ind w:left="106"/>
            </w:pPr>
            <w:r>
              <w:rPr>
                <w:b/>
                <w:bCs/>
                <w:color w:val="5F6A72"/>
                <w:spacing w:val="-11"/>
              </w:rPr>
              <w:t>Risks</w:t>
            </w:r>
          </w:p>
        </w:tc>
      </w:tr>
      <w:tr w14:paraId="61BA775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vAlign w:val="top"/>
          </w:tcPr>
          <w:p w14:paraId="2A8EFDD3">
            <w:pPr>
              <w:pStyle w:val="8"/>
              <w:spacing w:before="65" w:line="237" w:lineRule="exact"/>
              <w:ind w:left="18"/>
            </w:pPr>
            <w:r>
              <w:rPr>
                <w:color w:val="2A8ABF"/>
                <w:spacing w:val="-12"/>
                <w:position w:val="1"/>
              </w:rPr>
              <w:t>Brazil</w:t>
            </w:r>
          </w:p>
        </w:tc>
        <w:tc>
          <w:tcPr>
            <w:tcW w:w="2446" w:type="dxa"/>
            <w:tcBorders>
              <w:left w:val="single" w:color="D7DADB" w:sz="4" w:space="0"/>
              <w:right w:val="nil"/>
            </w:tcBorders>
            <w:vAlign w:val="top"/>
          </w:tcPr>
          <w:p w14:paraId="01F36F03">
            <w:pPr>
              <w:pStyle w:val="8"/>
              <w:spacing w:before="65" w:line="237" w:lineRule="exact"/>
              <w:ind w:left="1067"/>
            </w:pPr>
            <w:r>
              <w:rPr>
                <w:color w:val="5F6A72"/>
                <w:spacing w:val="-6"/>
                <w:position w:val="1"/>
              </w:rPr>
              <w:t>22.5</w:t>
            </w:r>
          </w:p>
        </w:tc>
        <w:tc>
          <w:tcPr>
            <w:tcW w:w="2445" w:type="dxa"/>
            <w:tcBorders>
              <w:left w:val="nil"/>
              <w:right w:val="nil"/>
            </w:tcBorders>
            <w:vAlign w:val="top"/>
          </w:tcPr>
          <w:p w14:paraId="28843BC8">
            <w:pPr>
              <w:pStyle w:val="8"/>
              <w:spacing w:before="65" w:line="237" w:lineRule="exact"/>
              <w:ind w:left="1065"/>
            </w:pPr>
            <w:r>
              <w:rPr>
                <w:color w:val="5F6A72"/>
                <w:spacing w:val="-6"/>
                <w:position w:val="1"/>
              </w:rPr>
              <w:t>43.7</w:t>
            </w:r>
          </w:p>
        </w:tc>
        <w:tc>
          <w:tcPr>
            <w:tcW w:w="1304" w:type="dxa"/>
            <w:tcBorders>
              <w:left w:val="nil"/>
              <w:right w:val="nil"/>
            </w:tcBorders>
            <w:vAlign w:val="top"/>
          </w:tcPr>
          <w:p w14:paraId="3B125AB8">
            <w:pPr>
              <w:pStyle w:val="8"/>
              <w:spacing w:before="65" w:line="237" w:lineRule="exact"/>
              <w:ind w:left="495"/>
            </w:pPr>
            <w:r>
              <w:rPr>
                <w:color w:val="5F6A72"/>
                <w:spacing w:val="-6"/>
                <w:position w:val="1"/>
              </w:rPr>
              <w:t>46.5</w:t>
            </w:r>
          </w:p>
        </w:tc>
        <w:tc>
          <w:tcPr>
            <w:tcW w:w="1304" w:type="dxa"/>
            <w:tcBorders>
              <w:left w:val="nil"/>
              <w:right w:val="nil"/>
            </w:tcBorders>
            <w:vAlign w:val="top"/>
          </w:tcPr>
          <w:p w14:paraId="6D28DCE2">
            <w:pPr>
              <w:pStyle w:val="8"/>
              <w:spacing w:before="65" w:line="237" w:lineRule="exact"/>
              <w:ind w:left="495"/>
            </w:pPr>
            <w:r>
              <w:rPr>
                <w:color w:val="5F6A72"/>
                <w:spacing w:val="-6"/>
                <w:position w:val="1"/>
              </w:rPr>
              <w:t>42.3</w:t>
            </w:r>
          </w:p>
        </w:tc>
        <w:tc>
          <w:tcPr>
            <w:tcW w:w="790" w:type="dxa"/>
            <w:tcBorders>
              <w:left w:val="nil"/>
              <w:right w:val="nil"/>
            </w:tcBorders>
            <w:shd w:val="clear" w:color="auto" w:fill="E5819D"/>
            <w:vAlign w:val="top"/>
          </w:tcPr>
          <w:p w14:paraId="413D6CC4">
            <w:pPr>
              <w:pStyle w:val="8"/>
              <w:spacing w:before="65" w:line="237" w:lineRule="exact"/>
              <w:ind w:left="238"/>
            </w:pPr>
            <w:r>
              <w:rPr>
                <w:color w:val="5F6A72"/>
                <w:spacing w:val="-6"/>
                <w:position w:val="1"/>
              </w:rPr>
              <w:t>40.6</w:t>
            </w:r>
          </w:p>
        </w:tc>
        <w:tc>
          <w:tcPr>
            <w:tcW w:w="611" w:type="dxa"/>
            <w:tcBorders>
              <w:left w:val="nil"/>
              <w:right w:val="nil"/>
            </w:tcBorders>
            <w:shd w:val="clear" w:color="auto" w:fill="E5819D"/>
            <w:vAlign w:val="top"/>
          </w:tcPr>
          <w:p w14:paraId="75414958">
            <w:pPr>
              <w:pStyle w:val="8"/>
              <w:spacing w:before="65" w:line="237" w:lineRule="exact"/>
              <w:ind w:left="153"/>
            </w:pPr>
            <w:r>
              <w:rPr>
                <w:color w:val="5F6A72"/>
                <w:spacing w:val="-7"/>
                <w:position w:val="1"/>
              </w:rPr>
              <w:t>54.2</w:t>
            </w:r>
          </w:p>
        </w:tc>
      </w:tr>
      <w:tr w14:paraId="1C82D3D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shd w:val="clear" w:color="auto" w:fill="EAF9FF"/>
            <w:vAlign w:val="top"/>
          </w:tcPr>
          <w:p w14:paraId="0651539D">
            <w:pPr>
              <w:pStyle w:val="8"/>
              <w:spacing w:before="65" w:line="234" w:lineRule="auto"/>
              <w:ind w:left="3"/>
            </w:pPr>
            <w:r>
              <w:rPr>
                <w:color w:val="2A8ABF"/>
                <w:spacing w:val="-4"/>
              </w:rPr>
              <w:t>Argentina</w:t>
            </w:r>
          </w:p>
        </w:tc>
        <w:tc>
          <w:tcPr>
            <w:tcW w:w="2446" w:type="dxa"/>
            <w:tcBorders>
              <w:left w:val="single" w:color="D7DADB" w:sz="4" w:space="0"/>
              <w:right w:val="nil"/>
            </w:tcBorders>
            <w:shd w:val="clear" w:color="auto" w:fill="EAF9FF"/>
            <w:vAlign w:val="top"/>
          </w:tcPr>
          <w:p w14:paraId="16E595CA">
            <w:pPr>
              <w:pStyle w:val="8"/>
              <w:spacing w:before="65" w:line="237" w:lineRule="exact"/>
              <w:ind w:left="1070"/>
            </w:pPr>
            <w:r>
              <w:rPr>
                <w:color w:val="5F6A72"/>
                <w:spacing w:val="-7"/>
                <w:position w:val="1"/>
              </w:rPr>
              <w:t>67.6</w:t>
            </w:r>
          </w:p>
        </w:tc>
        <w:tc>
          <w:tcPr>
            <w:tcW w:w="2445" w:type="dxa"/>
            <w:tcBorders>
              <w:left w:val="nil"/>
              <w:right w:val="nil"/>
            </w:tcBorders>
            <w:shd w:val="clear" w:color="auto" w:fill="EAF9FF"/>
            <w:vAlign w:val="top"/>
          </w:tcPr>
          <w:p w14:paraId="4BFD01B3">
            <w:pPr>
              <w:pStyle w:val="8"/>
              <w:spacing w:before="65" w:line="237" w:lineRule="exact"/>
              <w:ind w:left="1065"/>
            </w:pPr>
            <w:r>
              <w:rPr>
                <w:color w:val="5F6A72"/>
                <w:spacing w:val="-6"/>
                <w:position w:val="1"/>
              </w:rPr>
              <w:t>74.6</w:t>
            </w:r>
          </w:p>
        </w:tc>
        <w:tc>
          <w:tcPr>
            <w:tcW w:w="1304" w:type="dxa"/>
            <w:tcBorders>
              <w:left w:val="nil"/>
              <w:right w:val="nil"/>
            </w:tcBorders>
            <w:shd w:val="clear" w:color="auto" w:fill="EAF9FF"/>
            <w:vAlign w:val="top"/>
          </w:tcPr>
          <w:p w14:paraId="65140E7B">
            <w:pPr>
              <w:pStyle w:val="8"/>
              <w:spacing w:before="65" w:line="237" w:lineRule="exact"/>
              <w:ind w:left="498"/>
            </w:pPr>
            <w:r>
              <w:rPr>
                <w:color w:val="5F6A72"/>
                <w:spacing w:val="-6"/>
                <w:position w:val="1"/>
              </w:rPr>
              <w:t>27.5</w:t>
            </w:r>
          </w:p>
        </w:tc>
        <w:tc>
          <w:tcPr>
            <w:tcW w:w="1304" w:type="dxa"/>
            <w:tcBorders>
              <w:left w:val="nil"/>
              <w:right w:val="nil"/>
            </w:tcBorders>
            <w:shd w:val="clear" w:color="auto" w:fill="EAF9FF"/>
            <w:vAlign w:val="top"/>
          </w:tcPr>
          <w:p w14:paraId="6B868077">
            <w:pPr>
              <w:pStyle w:val="8"/>
              <w:spacing w:before="65" w:line="237" w:lineRule="exact"/>
              <w:ind w:left="495"/>
            </w:pPr>
            <w:r>
              <w:rPr>
                <w:color w:val="5F6A72"/>
                <w:spacing w:val="-6"/>
                <w:position w:val="1"/>
              </w:rPr>
              <w:t>49.3</w:t>
            </w:r>
          </w:p>
        </w:tc>
        <w:tc>
          <w:tcPr>
            <w:tcW w:w="790" w:type="dxa"/>
            <w:tcBorders>
              <w:left w:val="nil"/>
              <w:right w:val="nil"/>
            </w:tcBorders>
            <w:shd w:val="clear" w:color="auto" w:fill="E5819D"/>
            <w:vAlign w:val="top"/>
          </w:tcPr>
          <w:p w14:paraId="030128DB">
            <w:pPr>
              <w:pStyle w:val="8"/>
              <w:spacing w:before="65" w:line="237" w:lineRule="exact"/>
              <w:ind w:left="238"/>
            </w:pPr>
            <w:r>
              <w:rPr>
                <w:color w:val="5F6A72"/>
                <w:spacing w:val="-6"/>
                <w:position w:val="1"/>
              </w:rPr>
              <w:t>49.3</w:t>
            </w:r>
          </w:p>
        </w:tc>
        <w:tc>
          <w:tcPr>
            <w:tcW w:w="611" w:type="dxa"/>
            <w:tcBorders>
              <w:left w:val="nil"/>
              <w:right w:val="nil"/>
            </w:tcBorders>
            <w:shd w:val="clear" w:color="auto" w:fill="E5819D"/>
            <w:vAlign w:val="top"/>
          </w:tcPr>
          <w:p w14:paraId="3B7B2158">
            <w:pPr>
              <w:pStyle w:val="8"/>
              <w:spacing w:before="65" w:line="237" w:lineRule="exact"/>
              <w:ind w:left="153"/>
            </w:pPr>
            <w:r>
              <w:rPr>
                <w:color w:val="5F6A72"/>
                <w:spacing w:val="-7"/>
                <w:position w:val="1"/>
              </w:rPr>
              <w:t>55.0</w:t>
            </w:r>
          </w:p>
        </w:tc>
      </w:tr>
      <w:tr w14:paraId="06506E7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vAlign w:val="top"/>
          </w:tcPr>
          <w:p w14:paraId="388C9B62">
            <w:pPr>
              <w:pStyle w:val="8"/>
              <w:spacing w:before="65" w:line="238" w:lineRule="exact"/>
              <w:ind w:left="18"/>
            </w:pPr>
            <w:r>
              <w:rPr>
                <w:color w:val="2A8ABF"/>
                <w:spacing w:val="-11"/>
                <w:position w:val="1"/>
              </w:rPr>
              <w:t>Mexico</w:t>
            </w:r>
          </w:p>
        </w:tc>
        <w:tc>
          <w:tcPr>
            <w:tcW w:w="2446" w:type="dxa"/>
            <w:tcBorders>
              <w:left w:val="single" w:color="D7DADB" w:sz="4" w:space="0"/>
              <w:right w:val="nil"/>
            </w:tcBorders>
            <w:vAlign w:val="top"/>
          </w:tcPr>
          <w:p w14:paraId="54157846">
            <w:pPr>
              <w:pStyle w:val="8"/>
              <w:spacing w:before="65" w:line="238" w:lineRule="exact"/>
              <w:ind w:left="1069"/>
            </w:pPr>
            <w:r>
              <w:rPr>
                <w:color w:val="5F6A72"/>
                <w:spacing w:val="-7"/>
                <w:position w:val="1"/>
              </w:rPr>
              <w:t>56.3</w:t>
            </w:r>
          </w:p>
        </w:tc>
        <w:tc>
          <w:tcPr>
            <w:tcW w:w="2445" w:type="dxa"/>
            <w:tcBorders>
              <w:left w:val="nil"/>
              <w:right w:val="nil"/>
            </w:tcBorders>
            <w:vAlign w:val="top"/>
          </w:tcPr>
          <w:p w14:paraId="572465EB">
            <w:pPr>
              <w:pStyle w:val="8"/>
              <w:spacing w:before="65" w:line="238" w:lineRule="exact"/>
              <w:ind w:left="1070"/>
            </w:pPr>
            <w:r>
              <w:rPr>
                <w:color w:val="5F6A72"/>
                <w:spacing w:val="-7"/>
                <w:position w:val="1"/>
              </w:rPr>
              <w:t>52.1</w:t>
            </w:r>
          </w:p>
        </w:tc>
        <w:tc>
          <w:tcPr>
            <w:tcW w:w="1304" w:type="dxa"/>
            <w:tcBorders>
              <w:left w:val="nil"/>
              <w:right w:val="nil"/>
            </w:tcBorders>
            <w:vAlign w:val="top"/>
          </w:tcPr>
          <w:p w14:paraId="268FD540">
            <w:pPr>
              <w:pStyle w:val="8"/>
              <w:spacing w:before="65" w:line="238" w:lineRule="exact"/>
              <w:ind w:left="500"/>
            </w:pPr>
            <w:r>
              <w:rPr>
                <w:color w:val="5F6A72"/>
                <w:spacing w:val="-7"/>
                <w:position w:val="1"/>
              </w:rPr>
              <w:t>59.2</w:t>
            </w:r>
          </w:p>
        </w:tc>
        <w:tc>
          <w:tcPr>
            <w:tcW w:w="1304" w:type="dxa"/>
            <w:tcBorders>
              <w:left w:val="nil"/>
              <w:right w:val="nil"/>
            </w:tcBorders>
            <w:vAlign w:val="top"/>
          </w:tcPr>
          <w:p w14:paraId="108635C6">
            <w:pPr>
              <w:pStyle w:val="8"/>
              <w:spacing w:before="65" w:line="238" w:lineRule="exact"/>
              <w:ind w:left="495"/>
            </w:pPr>
            <w:r>
              <w:rPr>
                <w:color w:val="5F6A72"/>
                <w:spacing w:val="-6"/>
                <w:position w:val="1"/>
              </w:rPr>
              <w:t>76.1</w:t>
            </w:r>
          </w:p>
        </w:tc>
        <w:tc>
          <w:tcPr>
            <w:tcW w:w="790" w:type="dxa"/>
            <w:tcBorders>
              <w:left w:val="nil"/>
              <w:right w:val="nil"/>
            </w:tcBorders>
            <w:shd w:val="clear" w:color="auto" w:fill="E5819D"/>
            <w:vAlign w:val="top"/>
          </w:tcPr>
          <w:p w14:paraId="77956898">
            <w:pPr>
              <w:pStyle w:val="8"/>
              <w:spacing w:before="65" w:line="238" w:lineRule="exact"/>
              <w:ind w:left="244"/>
            </w:pPr>
            <w:r>
              <w:rPr>
                <w:color w:val="5F6A72"/>
                <w:spacing w:val="-7"/>
                <w:position w:val="1"/>
              </w:rPr>
              <w:t>63.1</w:t>
            </w:r>
          </w:p>
        </w:tc>
        <w:tc>
          <w:tcPr>
            <w:tcW w:w="611" w:type="dxa"/>
            <w:tcBorders>
              <w:left w:val="nil"/>
              <w:right w:val="nil"/>
            </w:tcBorders>
            <w:shd w:val="clear" w:color="auto" w:fill="E5819D"/>
            <w:vAlign w:val="top"/>
          </w:tcPr>
          <w:p w14:paraId="36C56B96">
            <w:pPr>
              <w:pStyle w:val="8"/>
              <w:spacing w:before="65" w:line="238" w:lineRule="exact"/>
              <w:ind w:left="153"/>
            </w:pPr>
            <w:r>
              <w:rPr>
                <w:color w:val="5F6A72"/>
                <w:spacing w:val="-7"/>
                <w:position w:val="1"/>
              </w:rPr>
              <w:t>51.5</w:t>
            </w:r>
          </w:p>
        </w:tc>
      </w:tr>
      <w:tr w14:paraId="0A046A3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shd w:val="clear" w:color="auto" w:fill="EAF9FF"/>
            <w:vAlign w:val="top"/>
          </w:tcPr>
          <w:p w14:paraId="2E3C33E3">
            <w:pPr>
              <w:pStyle w:val="8"/>
              <w:spacing w:before="105" w:line="184" w:lineRule="auto"/>
              <w:ind w:left="12"/>
            </w:pPr>
            <w:r>
              <w:rPr>
                <w:color w:val="2A8ABF"/>
                <w:spacing w:val="-13"/>
              </w:rPr>
              <w:t>Guyana</w:t>
            </w:r>
          </w:p>
        </w:tc>
        <w:tc>
          <w:tcPr>
            <w:tcW w:w="2446" w:type="dxa"/>
            <w:tcBorders>
              <w:left w:val="single" w:color="D7DADB" w:sz="4" w:space="0"/>
              <w:right w:val="nil"/>
            </w:tcBorders>
            <w:shd w:val="clear" w:color="auto" w:fill="EAF9FF"/>
            <w:vAlign w:val="top"/>
          </w:tcPr>
          <w:p w14:paraId="7B3B0D71">
            <w:pPr>
              <w:pStyle w:val="8"/>
              <w:spacing w:before="66" w:line="237" w:lineRule="exact"/>
              <w:ind w:left="1064"/>
            </w:pPr>
            <w:r>
              <w:rPr>
                <w:color w:val="5F6A72"/>
                <w:spacing w:val="-6"/>
                <w:position w:val="1"/>
              </w:rPr>
              <w:t>31.0</w:t>
            </w:r>
          </w:p>
        </w:tc>
        <w:tc>
          <w:tcPr>
            <w:tcW w:w="2445" w:type="dxa"/>
            <w:tcBorders>
              <w:left w:val="nil"/>
              <w:right w:val="nil"/>
            </w:tcBorders>
            <w:shd w:val="clear" w:color="auto" w:fill="EAF9FF"/>
            <w:vAlign w:val="top"/>
          </w:tcPr>
          <w:p w14:paraId="27AADC5F">
            <w:pPr>
              <w:pStyle w:val="8"/>
              <w:spacing w:before="66" w:line="237" w:lineRule="exact"/>
              <w:ind w:left="1065"/>
            </w:pPr>
            <w:r>
              <w:rPr>
                <w:color w:val="5F6A72"/>
                <w:spacing w:val="-6"/>
                <w:position w:val="1"/>
              </w:rPr>
              <w:t>35.2</w:t>
            </w:r>
          </w:p>
        </w:tc>
        <w:tc>
          <w:tcPr>
            <w:tcW w:w="1304" w:type="dxa"/>
            <w:tcBorders>
              <w:left w:val="nil"/>
              <w:right w:val="nil"/>
            </w:tcBorders>
            <w:shd w:val="clear" w:color="auto" w:fill="EAF9FF"/>
            <w:vAlign w:val="top"/>
          </w:tcPr>
          <w:p w14:paraId="5C3CD222">
            <w:pPr>
              <w:pStyle w:val="8"/>
              <w:spacing w:before="66" w:line="237" w:lineRule="exact"/>
              <w:ind w:left="500"/>
            </w:pPr>
            <w:r>
              <w:rPr>
                <w:color w:val="5F6A72"/>
                <w:spacing w:val="-7"/>
                <w:position w:val="1"/>
              </w:rPr>
              <w:t>60.6</w:t>
            </w:r>
          </w:p>
        </w:tc>
        <w:tc>
          <w:tcPr>
            <w:tcW w:w="1304" w:type="dxa"/>
            <w:tcBorders>
              <w:left w:val="nil"/>
              <w:right w:val="nil"/>
            </w:tcBorders>
            <w:shd w:val="clear" w:color="auto" w:fill="EAF9FF"/>
            <w:vAlign w:val="top"/>
          </w:tcPr>
          <w:p w14:paraId="6FE30AC1">
            <w:pPr>
              <w:pStyle w:val="8"/>
              <w:spacing w:before="66" w:line="237" w:lineRule="exact"/>
              <w:ind w:left="495"/>
            </w:pPr>
            <w:r>
              <w:rPr>
                <w:color w:val="5F6A72"/>
                <w:spacing w:val="-6"/>
                <w:position w:val="1"/>
              </w:rPr>
              <w:t>40.8</w:t>
            </w:r>
          </w:p>
        </w:tc>
        <w:tc>
          <w:tcPr>
            <w:tcW w:w="790" w:type="dxa"/>
            <w:tcBorders>
              <w:left w:val="nil"/>
              <w:right w:val="nil"/>
            </w:tcBorders>
            <w:shd w:val="clear" w:color="auto" w:fill="E5819D"/>
            <w:vAlign w:val="top"/>
          </w:tcPr>
          <w:p w14:paraId="7B7AA276">
            <w:pPr>
              <w:pStyle w:val="8"/>
              <w:spacing w:before="66" w:line="237" w:lineRule="exact"/>
              <w:ind w:left="238"/>
            </w:pPr>
            <w:r>
              <w:rPr>
                <w:color w:val="5F6A72"/>
                <w:spacing w:val="-6"/>
                <w:position w:val="1"/>
              </w:rPr>
              <w:t>44.8</w:t>
            </w:r>
          </w:p>
        </w:tc>
        <w:tc>
          <w:tcPr>
            <w:tcW w:w="611" w:type="dxa"/>
            <w:tcBorders>
              <w:left w:val="nil"/>
              <w:right w:val="nil"/>
            </w:tcBorders>
            <w:shd w:val="clear" w:color="auto" w:fill="E5819D"/>
            <w:vAlign w:val="top"/>
          </w:tcPr>
          <w:p w14:paraId="67F9C13A">
            <w:pPr>
              <w:pStyle w:val="8"/>
              <w:spacing w:before="66" w:line="237" w:lineRule="exact"/>
              <w:ind w:left="149"/>
            </w:pPr>
            <w:r>
              <w:rPr>
                <w:color w:val="5F6A72"/>
                <w:spacing w:val="-6"/>
                <w:position w:val="1"/>
              </w:rPr>
              <w:t>45.7</w:t>
            </w:r>
          </w:p>
        </w:tc>
      </w:tr>
      <w:tr w14:paraId="36E734B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7" w:hRule="atLeast"/>
        </w:trPr>
        <w:tc>
          <w:tcPr>
            <w:tcW w:w="1304" w:type="dxa"/>
            <w:tcBorders>
              <w:left w:val="nil"/>
              <w:right w:val="single" w:color="D7DADB" w:sz="4" w:space="0"/>
            </w:tcBorders>
            <w:vAlign w:val="top"/>
          </w:tcPr>
          <w:p w14:paraId="14137719">
            <w:pPr>
              <w:pStyle w:val="8"/>
              <w:spacing w:before="65" w:line="271" w:lineRule="auto"/>
              <w:ind w:left="5" w:right="381"/>
            </w:pPr>
            <w:r>
              <w:rPr>
                <w:color w:val="2A8ABF"/>
                <w:spacing w:val="-9"/>
              </w:rPr>
              <w:t>Trinidad</w:t>
            </w:r>
            <w:r>
              <w:rPr>
                <w:color w:val="2A8ABF"/>
                <w:spacing w:val="-11"/>
              </w:rPr>
              <w:t xml:space="preserve"> </w:t>
            </w:r>
            <w:r>
              <w:rPr>
                <w:color w:val="2A8ABF"/>
                <w:spacing w:val="-9"/>
              </w:rPr>
              <w:t>And</w:t>
            </w:r>
            <w:r>
              <w:rPr>
                <w:color w:val="2A8ABF"/>
              </w:rPr>
              <w:t xml:space="preserve"> </w:t>
            </w:r>
            <w:r>
              <w:rPr>
                <w:color w:val="2A8ABF"/>
                <w:spacing w:val="-11"/>
              </w:rPr>
              <w:t>Tobago</w:t>
            </w:r>
          </w:p>
        </w:tc>
        <w:tc>
          <w:tcPr>
            <w:tcW w:w="2446" w:type="dxa"/>
            <w:tcBorders>
              <w:left w:val="single" w:color="D7DADB" w:sz="4" w:space="0"/>
              <w:right w:val="nil"/>
            </w:tcBorders>
            <w:vAlign w:val="top"/>
          </w:tcPr>
          <w:p w14:paraId="3EE18C32">
            <w:pPr>
              <w:pStyle w:val="8"/>
              <w:spacing w:before="191" w:line="237" w:lineRule="exact"/>
              <w:ind w:left="1064"/>
            </w:pPr>
            <w:r>
              <w:rPr>
                <w:color w:val="5F6A72"/>
                <w:spacing w:val="-6"/>
                <w:position w:val="1"/>
              </w:rPr>
              <w:t>35.2</w:t>
            </w:r>
          </w:p>
        </w:tc>
        <w:tc>
          <w:tcPr>
            <w:tcW w:w="2445" w:type="dxa"/>
            <w:tcBorders>
              <w:left w:val="nil"/>
              <w:right w:val="nil"/>
            </w:tcBorders>
            <w:vAlign w:val="top"/>
          </w:tcPr>
          <w:p w14:paraId="77CF3F15">
            <w:pPr>
              <w:pStyle w:val="8"/>
              <w:spacing w:before="191" w:line="237" w:lineRule="exact"/>
              <w:ind w:left="1118"/>
            </w:pPr>
            <w:r>
              <w:rPr>
                <w:color w:val="5F6A72"/>
                <w:spacing w:val="-7"/>
                <w:position w:val="1"/>
              </w:rPr>
              <w:t>8.5</w:t>
            </w:r>
          </w:p>
        </w:tc>
        <w:tc>
          <w:tcPr>
            <w:tcW w:w="1304" w:type="dxa"/>
            <w:tcBorders>
              <w:left w:val="nil"/>
              <w:right w:val="nil"/>
            </w:tcBorders>
            <w:vAlign w:val="top"/>
          </w:tcPr>
          <w:p w14:paraId="0CF4BC4B">
            <w:pPr>
              <w:pStyle w:val="8"/>
              <w:spacing w:before="191" w:line="237" w:lineRule="exact"/>
              <w:ind w:left="498"/>
            </w:pPr>
            <w:r>
              <w:rPr>
                <w:color w:val="5F6A72"/>
                <w:spacing w:val="-6"/>
                <w:position w:val="1"/>
              </w:rPr>
              <w:t>27.5</w:t>
            </w:r>
          </w:p>
        </w:tc>
        <w:tc>
          <w:tcPr>
            <w:tcW w:w="1304" w:type="dxa"/>
            <w:tcBorders>
              <w:left w:val="nil"/>
              <w:right w:val="nil"/>
            </w:tcBorders>
            <w:vAlign w:val="top"/>
          </w:tcPr>
          <w:p w14:paraId="58781B9E">
            <w:pPr>
              <w:pStyle w:val="8"/>
              <w:spacing w:before="191" w:line="237" w:lineRule="exact"/>
              <w:ind w:left="500"/>
            </w:pPr>
            <w:r>
              <w:rPr>
                <w:color w:val="5F6A72"/>
                <w:spacing w:val="-7"/>
                <w:position w:val="1"/>
              </w:rPr>
              <w:t>50.7</w:t>
            </w:r>
          </w:p>
        </w:tc>
        <w:tc>
          <w:tcPr>
            <w:tcW w:w="790" w:type="dxa"/>
            <w:tcBorders>
              <w:left w:val="nil"/>
              <w:right w:val="nil"/>
            </w:tcBorders>
            <w:shd w:val="clear" w:color="auto" w:fill="E5819D"/>
            <w:vAlign w:val="top"/>
          </w:tcPr>
          <w:p w14:paraId="447B9FE0">
            <w:pPr>
              <w:pStyle w:val="8"/>
              <w:spacing w:before="191" w:line="237" w:lineRule="exact"/>
              <w:ind w:left="238"/>
            </w:pPr>
            <w:r>
              <w:rPr>
                <w:color w:val="5F6A72"/>
                <w:spacing w:val="-6"/>
                <w:position w:val="1"/>
              </w:rPr>
              <w:t>33.3</w:t>
            </w:r>
          </w:p>
        </w:tc>
        <w:tc>
          <w:tcPr>
            <w:tcW w:w="611" w:type="dxa"/>
            <w:tcBorders>
              <w:left w:val="nil"/>
              <w:right w:val="nil"/>
            </w:tcBorders>
            <w:shd w:val="clear" w:color="auto" w:fill="E5819D"/>
            <w:vAlign w:val="top"/>
          </w:tcPr>
          <w:p w14:paraId="006A9B45">
            <w:pPr>
              <w:pStyle w:val="8"/>
              <w:spacing w:before="191" w:line="237" w:lineRule="exact"/>
              <w:ind w:left="153"/>
            </w:pPr>
            <w:r>
              <w:rPr>
                <w:color w:val="5F6A72"/>
                <w:spacing w:val="-7"/>
                <w:position w:val="1"/>
              </w:rPr>
              <w:t>50.0</w:t>
            </w:r>
          </w:p>
        </w:tc>
      </w:tr>
      <w:tr w14:paraId="6FCA448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304" w:type="dxa"/>
            <w:tcBorders>
              <w:left w:val="nil"/>
              <w:right w:val="single" w:color="D7DADB" w:sz="4" w:space="0"/>
            </w:tcBorders>
            <w:shd w:val="clear" w:color="auto" w:fill="EAF9FF"/>
            <w:vAlign w:val="top"/>
          </w:tcPr>
          <w:p w14:paraId="4913DCA1">
            <w:pPr>
              <w:pStyle w:val="8"/>
              <w:spacing w:before="66" w:line="237" w:lineRule="exact"/>
              <w:ind w:left="18"/>
            </w:pPr>
            <w:r>
              <w:rPr>
                <w:color w:val="2A8ABF"/>
                <w:spacing w:val="-8"/>
                <w:position w:val="1"/>
              </w:rPr>
              <w:t>Bolivia</w:t>
            </w:r>
          </w:p>
        </w:tc>
        <w:tc>
          <w:tcPr>
            <w:tcW w:w="2446" w:type="dxa"/>
            <w:tcBorders>
              <w:left w:val="single" w:color="D7DADB" w:sz="4" w:space="0"/>
              <w:right w:val="nil"/>
            </w:tcBorders>
            <w:shd w:val="clear" w:color="auto" w:fill="EAF9FF"/>
            <w:vAlign w:val="top"/>
          </w:tcPr>
          <w:p w14:paraId="416C5B19">
            <w:pPr>
              <w:pStyle w:val="8"/>
              <w:spacing w:before="66" w:line="237" w:lineRule="exact"/>
              <w:ind w:left="1064"/>
            </w:pPr>
            <w:r>
              <w:rPr>
                <w:color w:val="5F6A72"/>
                <w:spacing w:val="-6"/>
                <w:position w:val="1"/>
              </w:rPr>
              <w:t>74.6</w:t>
            </w:r>
          </w:p>
        </w:tc>
        <w:tc>
          <w:tcPr>
            <w:tcW w:w="2445" w:type="dxa"/>
            <w:tcBorders>
              <w:left w:val="nil"/>
              <w:right w:val="nil"/>
            </w:tcBorders>
            <w:shd w:val="clear" w:color="auto" w:fill="EAF9FF"/>
            <w:vAlign w:val="top"/>
          </w:tcPr>
          <w:p w14:paraId="063B2F9E">
            <w:pPr>
              <w:pStyle w:val="8"/>
              <w:spacing w:before="66" w:line="237" w:lineRule="exact"/>
              <w:ind w:left="1070"/>
            </w:pPr>
            <w:r>
              <w:rPr>
                <w:color w:val="5F6A72"/>
                <w:spacing w:val="-7"/>
                <w:position w:val="1"/>
              </w:rPr>
              <w:t>94.4</w:t>
            </w:r>
          </w:p>
        </w:tc>
        <w:tc>
          <w:tcPr>
            <w:tcW w:w="1304" w:type="dxa"/>
            <w:tcBorders>
              <w:left w:val="nil"/>
              <w:right w:val="nil"/>
            </w:tcBorders>
            <w:shd w:val="clear" w:color="auto" w:fill="EAF9FF"/>
            <w:vAlign w:val="top"/>
          </w:tcPr>
          <w:p w14:paraId="532611A0">
            <w:pPr>
              <w:pStyle w:val="8"/>
              <w:spacing w:before="66" w:line="237" w:lineRule="exact"/>
              <w:ind w:left="500"/>
            </w:pPr>
            <w:r>
              <w:rPr>
                <w:color w:val="5F6A72"/>
                <w:spacing w:val="-7"/>
                <w:position w:val="1"/>
              </w:rPr>
              <w:t>91.5</w:t>
            </w:r>
          </w:p>
        </w:tc>
        <w:tc>
          <w:tcPr>
            <w:tcW w:w="1304" w:type="dxa"/>
            <w:tcBorders>
              <w:left w:val="nil"/>
              <w:right w:val="nil"/>
            </w:tcBorders>
            <w:shd w:val="clear" w:color="auto" w:fill="EAF9FF"/>
            <w:vAlign w:val="top"/>
          </w:tcPr>
          <w:p w14:paraId="62AC9AF8">
            <w:pPr>
              <w:pStyle w:val="8"/>
              <w:spacing w:before="66" w:line="237" w:lineRule="exact"/>
              <w:ind w:left="501"/>
            </w:pPr>
            <w:r>
              <w:rPr>
                <w:color w:val="5F6A72"/>
                <w:spacing w:val="-7"/>
                <w:position w:val="1"/>
              </w:rPr>
              <w:t>63.4</w:t>
            </w:r>
          </w:p>
        </w:tc>
        <w:tc>
          <w:tcPr>
            <w:tcW w:w="790" w:type="dxa"/>
            <w:tcBorders>
              <w:left w:val="nil"/>
              <w:right w:val="nil"/>
            </w:tcBorders>
            <w:shd w:val="clear" w:color="auto" w:fill="E5819D"/>
            <w:vAlign w:val="top"/>
          </w:tcPr>
          <w:p w14:paraId="071A4CDA">
            <w:pPr>
              <w:pStyle w:val="8"/>
              <w:spacing w:before="66" w:line="237" w:lineRule="exact"/>
              <w:ind w:left="238"/>
            </w:pPr>
            <w:r>
              <w:rPr>
                <w:color w:val="5F6A72"/>
                <w:spacing w:val="-6"/>
                <w:position w:val="1"/>
              </w:rPr>
              <w:t>79.8</w:t>
            </w:r>
          </w:p>
        </w:tc>
        <w:tc>
          <w:tcPr>
            <w:tcW w:w="611" w:type="dxa"/>
            <w:tcBorders>
              <w:left w:val="nil"/>
              <w:right w:val="nil"/>
            </w:tcBorders>
            <w:shd w:val="clear" w:color="auto" w:fill="E5819D"/>
            <w:vAlign w:val="top"/>
          </w:tcPr>
          <w:p w14:paraId="362A5C1B">
            <w:pPr>
              <w:pStyle w:val="8"/>
              <w:spacing w:before="66" w:line="237" w:lineRule="exact"/>
              <w:ind w:left="154"/>
            </w:pPr>
            <w:r>
              <w:rPr>
                <w:color w:val="5F6A72"/>
                <w:spacing w:val="-7"/>
                <w:position w:val="1"/>
              </w:rPr>
              <w:t>66.1</w:t>
            </w:r>
          </w:p>
        </w:tc>
      </w:tr>
      <w:tr w14:paraId="01C2576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304" w:type="dxa"/>
            <w:tcBorders>
              <w:left w:val="nil"/>
              <w:right w:val="single" w:color="D7DADB" w:sz="4" w:space="0"/>
            </w:tcBorders>
            <w:vAlign w:val="top"/>
          </w:tcPr>
          <w:p w14:paraId="234C7CC2">
            <w:pPr>
              <w:pStyle w:val="8"/>
              <w:spacing w:before="107" w:line="183" w:lineRule="auto"/>
              <w:ind w:left="18"/>
            </w:pPr>
            <w:r>
              <w:rPr>
                <w:color w:val="2A8ABF"/>
                <w:spacing w:val="-13"/>
              </w:rPr>
              <w:t>Peru</w:t>
            </w:r>
          </w:p>
        </w:tc>
        <w:tc>
          <w:tcPr>
            <w:tcW w:w="2446" w:type="dxa"/>
            <w:tcBorders>
              <w:left w:val="single" w:color="D7DADB" w:sz="4" w:space="0"/>
              <w:right w:val="nil"/>
            </w:tcBorders>
            <w:vAlign w:val="top"/>
          </w:tcPr>
          <w:p w14:paraId="7B6EF5E6">
            <w:pPr>
              <w:pStyle w:val="8"/>
              <w:spacing w:before="65" w:line="237" w:lineRule="exact"/>
              <w:ind w:left="1064"/>
            </w:pPr>
            <w:r>
              <w:rPr>
                <w:color w:val="5F6A72"/>
                <w:spacing w:val="-6"/>
                <w:position w:val="1"/>
              </w:rPr>
              <w:t>36.6</w:t>
            </w:r>
          </w:p>
        </w:tc>
        <w:tc>
          <w:tcPr>
            <w:tcW w:w="2445" w:type="dxa"/>
            <w:tcBorders>
              <w:left w:val="nil"/>
              <w:right w:val="nil"/>
            </w:tcBorders>
            <w:vAlign w:val="top"/>
          </w:tcPr>
          <w:p w14:paraId="359C4002">
            <w:pPr>
              <w:pStyle w:val="8"/>
              <w:spacing w:before="65" w:line="237" w:lineRule="exact"/>
              <w:ind w:left="1068"/>
            </w:pPr>
            <w:r>
              <w:rPr>
                <w:color w:val="5F6A72"/>
                <w:spacing w:val="-6"/>
                <w:position w:val="1"/>
              </w:rPr>
              <w:t>26.8</w:t>
            </w:r>
          </w:p>
        </w:tc>
        <w:tc>
          <w:tcPr>
            <w:tcW w:w="1304" w:type="dxa"/>
            <w:tcBorders>
              <w:left w:val="nil"/>
              <w:right w:val="nil"/>
            </w:tcBorders>
            <w:vAlign w:val="top"/>
          </w:tcPr>
          <w:p w14:paraId="279A8E35">
            <w:pPr>
              <w:pStyle w:val="8"/>
              <w:spacing w:before="65" w:line="237" w:lineRule="exact"/>
              <w:ind w:left="500"/>
            </w:pPr>
            <w:r>
              <w:rPr>
                <w:color w:val="5F6A72"/>
                <w:spacing w:val="-7"/>
                <w:position w:val="1"/>
              </w:rPr>
              <w:t>50.0</w:t>
            </w:r>
          </w:p>
        </w:tc>
        <w:tc>
          <w:tcPr>
            <w:tcW w:w="1304" w:type="dxa"/>
            <w:tcBorders>
              <w:left w:val="nil"/>
              <w:right w:val="nil"/>
            </w:tcBorders>
            <w:vAlign w:val="top"/>
          </w:tcPr>
          <w:p w14:paraId="6FBAEEBB">
            <w:pPr>
              <w:pStyle w:val="8"/>
              <w:spacing w:before="65" w:line="237" w:lineRule="exact"/>
              <w:ind w:left="495"/>
            </w:pPr>
            <w:r>
              <w:rPr>
                <w:color w:val="5F6A72"/>
                <w:spacing w:val="-6"/>
                <w:position w:val="1"/>
              </w:rPr>
              <w:t>47.9</w:t>
            </w:r>
          </w:p>
        </w:tc>
        <w:tc>
          <w:tcPr>
            <w:tcW w:w="790" w:type="dxa"/>
            <w:tcBorders>
              <w:left w:val="nil"/>
              <w:right w:val="nil"/>
            </w:tcBorders>
            <w:shd w:val="clear" w:color="auto" w:fill="E5819D"/>
            <w:vAlign w:val="top"/>
          </w:tcPr>
          <w:p w14:paraId="632CABE7">
            <w:pPr>
              <w:pStyle w:val="8"/>
              <w:spacing w:before="65" w:line="237" w:lineRule="exact"/>
              <w:ind w:left="238"/>
            </w:pPr>
            <w:r>
              <w:rPr>
                <w:color w:val="5F6A72"/>
                <w:spacing w:val="-6"/>
                <w:position w:val="1"/>
              </w:rPr>
              <w:t>43.2</w:t>
            </w:r>
          </w:p>
        </w:tc>
        <w:tc>
          <w:tcPr>
            <w:tcW w:w="611" w:type="dxa"/>
            <w:tcBorders>
              <w:left w:val="nil"/>
              <w:right w:val="nil"/>
            </w:tcBorders>
            <w:shd w:val="clear" w:color="auto" w:fill="E5819D"/>
            <w:vAlign w:val="top"/>
          </w:tcPr>
          <w:p w14:paraId="4C4550B6">
            <w:pPr>
              <w:pStyle w:val="8"/>
              <w:spacing w:before="65" w:line="237" w:lineRule="exact"/>
              <w:ind w:left="153"/>
            </w:pPr>
            <w:r>
              <w:rPr>
                <w:color w:val="5F6A72"/>
                <w:spacing w:val="-7"/>
                <w:position w:val="1"/>
              </w:rPr>
              <w:t>50.2</w:t>
            </w:r>
          </w:p>
        </w:tc>
      </w:tr>
      <w:tr w14:paraId="2FC57B5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shd w:val="clear" w:color="auto" w:fill="EAF9FF"/>
            <w:vAlign w:val="top"/>
          </w:tcPr>
          <w:p w14:paraId="26C50E3B">
            <w:pPr>
              <w:pStyle w:val="8"/>
              <w:spacing w:before="64" w:line="238" w:lineRule="exact"/>
              <w:ind w:left="12"/>
            </w:pPr>
            <w:r>
              <w:rPr>
                <w:color w:val="2A8ABF"/>
                <w:spacing w:val="-7"/>
                <w:position w:val="1"/>
              </w:rPr>
              <w:t>Colombia</w:t>
            </w:r>
          </w:p>
        </w:tc>
        <w:tc>
          <w:tcPr>
            <w:tcW w:w="2446" w:type="dxa"/>
            <w:tcBorders>
              <w:left w:val="single" w:color="D7DADB" w:sz="4" w:space="0"/>
              <w:right w:val="nil"/>
            </w:tcBorders>
            <w:shd w:val="clear" w:color="auto" w:fill="EAF9FF"/>
            <w:vAlign w:val="top"/>
          </w:tcPr>
          <w:p w14:paraId="62B39839">
            <w:pPr>
              <w:pStyle w:val="8"/>
              <w:spacing w:before="64" w:line="238" w:lineRule="exact"/>
              <w:ind w:left="1065"/>
            </w:pPr>
            <w:r>
              <w:rPr>
                <w:color w:val="5F6A72"/>
                <w:spacing w:val="-6"/>
                <w:position w:val="1"/>
              </w:rPr>
              <w:t>47.9</w:t>
            </w:r>
          </w:p>
        </w:tc>
        <w:tc>
          <w:tcPr>
            <w:tcW w:w="2445" w:type="dxa"/>
            <w:tcBorders>
              <w:left w:val="nil"/>
              <w:right w:val="nil"/>
            </w:tcBorders>
            <w:shd w:val="clear" w:color="auto" w:fill="EAF9FF"/>
            <w:vAlign w:val="top"/>
          </w:tcPr>
          <w:p w14:paraId="262F3FEB">
            <w:pPr>
              <w:pStyle w:val="8"/>
              <w:spacing w:before="64" w:line="238" w:lineRule="exact"/>
              <w:ind w:left="1070"/>
            </w:pPr>
            <w:r>
              <w:rPr>
                <w:color w:val="5F6A72"/>
                <w:spacing w:val="-7"/>
                <w:position w:val="1"/>
              </w:rPr>
              <w:t>53.5</w:t>
            </w:r>
          </w:p>
        </w:tc>
        <w:tc>
          <w:tcPr>
            <w:tcW w:w="1304" w:type="dxa"/>
            <w:tcBorders>
              <w:left w:val="nil"/>
              <w:right w:val="nil"/>
            </w:tcBorders>
            <w:shd w:val="clear" w:color="auto" w:fill="EAF9FF"/>
            <w:vAlign w:val="top"/>
          </w:tcPr>
          <w:p w14:paraId="0DAFB870">
            <w:pPr>
              <w:pStyle w:val="8"/>
              <w:spacing w:before="64" w:line="238" w:lineRule="exact"/>
              <w:ind w:left="500"/>
            </w:pPr>
            <w:r>
              <w:rPr>
                <w:color w:val="5F6A72"/>
                <w:spacing w:val="-7"/>
                <w:position w:val="1"/>
              </w:rPr>
              <w:t>57.7</w:t>
            </w:r>
          </w:p>
        </w:tc>
        <w:tc>
          <w:tcPr>
            <w:tcW w:w="1304" w:type="dxa"/>
            <w:tcBorders>
              <w:left w:val="nil"/>
              <w:right w:val="nil"/>
            </w:tcBorders>
            <w:shd w:val="clear" w:color="auto" w:fill="EAF9FF"/>
            <w:vAlign w:val="top"/>
          </w:tcPr>
          <w:p w14:paraId="5349603E">
            <w:pPr>
              <w:pStyle w:val="8"/>
              <w:spacing w:before="64" w:line="238" w:lineRule="exact"/>
              <w:ind w:left="495"/>
            </w:pPr>
            <w:r>
              <w:rPr>
                <w:color w:val="5F6A72"/>
                <w:spacing w:val="-6"/>
                <w:position w:val="1"/>
              </w:rPr>
              <w:t>45.1</w:t>
            </w:r>
          </w:p>
        </w:tc>
        <w:tc>
          <w:tcPr>
            <w:tcW w:w="790" w:type="dxa"/>
            <w:tcBorders>
              <w:left w:val="nil"/>
              <w:right w:val="nil"/>
            </w:tcBorders>
            <w:shd w:val="clear" w:color="auto" w:fill="E5819D"/>
            <w:vAlign w:val="top"/>
          </w:tcPr>
          <w:p w14:paraId="31D2A2E1">
            <w:pPr>
              <w:pStyle w:val="8"/>
              <w:spacing w:before="64" w:line="238" w:lineRule="exact"/>
              <w:ind w:left="243"/>
            </w:pPr>
            <w:r>
              <w:rPr>
                <w:color w:val="5F6A72"/>
                <w:spacing w:val="-7"/>
                <w:position w:val="1"/>
              </w:rPr>
              <w:t>51.2</w:t>
            </w:r>
          </w:p>
        </w:tc>
        <w:tc>
          <w:tcPr>
            <w:tcW w:w="611" w:type="dxa"/>
            <w:tcBorders>
              <w:left w:val="nil"/>
              <w:right w:val="nil"/>
            </w:tcBorders>
            <w:shd w:val="clear" w:color="auto" w:fill="E5819D"/>
            <w:vAlign w:val="top"/>
          </w:tcPr>
          <w:p w14:paraId="68649D2D">
            <w:pPr>
              <w:pStyle w:val="8"/>
              <w:spacing w:before="64" w:line="238" w:lineRule="exact"/>
              <w:ind w:left="153"/>
            </w:pPr>
            <w:r>
              <w:rPr>
                <w:color w:val="5F6A72"/>
                <w:spacing w:val="-7"/>
                <w:position w:val="1"/>
              </w:rPr>
              <w:t>56.4</w:t>
            </w:r>
          </w:p>
        </w:tc>
      </w:tr>
      <w:tr w14:paraId="47EA89D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vAlign w:val="top"/>
          </w:tcPr>
          <w:p w14:paraId="616C1F8E">
            <w:pPr>
              <w:pStyle w:val="8"/>
              <w:spacing w:before="65" w:line="237" w:lineRule="exact"/>
              <w:ind w:left="3"/>
            </w:pPr>
            <w:r>
              <w:rPr>
                <w:color w:val="2A8ABF"/>
                <w:spacing w:val="-8"/>
                <w:position w:val="1"/>
              </w:rPr>
              <w:t>Venezuela</w:t>
            </w:r>
          </w:p>
        </w:tc>
        <w:tc>
          <w:tcPr>
            <w:tcW w:w="2446" w:type="dxa"/>
            <w:tcBorders>
              <w:left w:val="single" w:color="D7DADB" w:sz="4" w:space="0"/>
              <w:right w:val="nil"/>
            </w:tcBorders>
            <w:vAlign w:val="top"/>
          </w:tcPr>
          <w:p w14:paraId="1D2B4589">
            <w:pPr>
              <w:pStyle w:val="8"/>
              <w:spacing w:before="65" w:line="237" w:lineRule="exact"/>
              <w:ind w:left="1069"/>
            </w:pPr>
            <w:r>
              <w:rPr>
                <w:color w:val="5F6A72"/>
                <w:spacing w:val="-7"/>
                <w:position w:val="1"/>
              </w:rPr>
              <w:t>94.4</w:t>
            </w:r>
          </w:p>
        </w:tc>
        <w:tc>
          <w:tcPr>
            <w:tcW w:w="2445" w:type="dxa"/>
            <w:tcBorders>
              <w:left w:val="nil"/>
              <w:right w:val="nil"/>
            </w:tcBorders>
            <w:vAlign w:val="top"/>
          </w:tcPr>
          <w:p w14:paraId="3C433436">
            <w:pPr>
              <w:pStyle w:val="8"/>
              <w:spacing w:before="65" w:line="237" w:lineRule="exact"/>
              <w:ind w:left="1070"/>
            </w:pPr>
            <w:r>
              <w:rPr>
                <w:color w:val="5F6A72"/>
                <w:spacing w:val="-7"/>
                <w:position w:val="1"/>
              </w:rPr>
              <w:t>93.0</w:t>
            </w:r>
          </w:p>
        </w:tc>
        <w:tc>
          <w:tcPr>
            <w:tcW w:w="1304" w:type="dxa"/>
            <w:tcBorders>
              <w:left w:val="nil"/>
              <w:right w:val="nil"/>
            </w:tcBorders>
            <w:vAlign w:val="top"/>
          </w:tcPr>
          <w:p w14:paraId="3F21EEDB">
            <w:pPr>
              <w:pStyle w:val="8"/>
              <w:spacing w:before="65" w:line="237" w:lineRule="exact"/>
              <w:ind w:left="454"/>
            </w:pPr>
            <w:r>
              <w:rPr>
                <w:color w:val="5F6A72"/>
                <w:spacing w:val="-7"/>
                <w:position w:val="1"/>
              </w:rPr>
              <w:t>100.0</w:t>
            </w:r>
          </w:p>
        </w:tc>
        <w:tc>
          <w:tcPr>
            <w:tcW w:w="1304" w:type="dxa"/>
            <w:tcBorders>
              <w:left w:val="nil"/>
              <w:right w:val="nil"/>
            </w:tcBorders>
            <w:vAlign w:val="top"/>
          </w:tcPr>
          <w:p w14:paraId="096D83D0">
            <w:pPr>
              <w:pStyle w:val="8"/>
              <w:spacing w:before="65" w:line="237" w:lineRule="exact"/>
              <w:ind w:left="500"/>
            </w:pPr>
            <w:r>
              <w:rPr>
                <w:color w:val="5F6A72"/>
                <w:spacing w:val="-7"/>
                <w:position w:val="1"/>
              </w:rPr>
              <w:t>90.1</w:t>
            </w:r>
          </w:p>
        </w:tc>
        <w:tc>
          <w:tcPr>
            <w:tcW w:w="790" w:type="dxa"/>
            <w:tcBorders>
              <w:left w:val="nil"/>
              <w:right w:val="nil"/>
            </w:tcBorders>
            <w:shd w:val="clear" w:color="auto" w:fill="E5819D"/>
            <w:vAlign w:val="top"/>
          </w:tcPr>
          <w:p w14:paraId="579385D5">
            <w:pPr>
              <w:pStyle w:val="8"/>
              <w:spacing w:before="65" w:line="237" w:lineRule="exact"/>
              <w:ind w:left="243"/>
            </w:pPr>
            <w:r>
              <w:rPr>
                <w:color w:val="5F6A72"/>
                <w:spacing w:val="-7"/>
                <w:position w:val="1"/>
              </w:rPr>
              <w:t>94.6</w:t>
            </w:r>
          </w:p>
        </w:tc>
        <w:tc>
          <w:tcPr>
            <w:tcW w:w="611" w:type="dxa"/>
            <w:tcBorders>
              <w:left w:val="nil"/>
              <w:right w:val="nil"/>
            </w:tcBorders>
            <w:shd w:val="clear" w:color="auto" w:fill="E5819D"/>
            <w:vAlign w:val="top"/>
          </w:tcPr>
          <w:p w14:paraId="499C3B05">
            <w:pPr>
              <w:pStyle w:val="8"/>
              <w:spacing w:before="65" w:line="237" w:lineRule="exact"/>
              <w:ind w:left="153"/>
            </w:pPr>
            <w:r>
              <w:rPr>
                <w:color w:val="5F6A72"/>
                <w:spacing w:val="-7"/>
                <w:position w:val="1"/>
              </w:rPr>
              <w:t>95.5</w:t>
            </w:r>
          </w:p>
        </w:tc>
      </w:tr>
      <w:tr w14:paraId="6584BD4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304" w:type="dxa"/>
            <w:tcBorders>
              <w:left w:val="nil"/>
              <w:right w:val="single" w:color="D7DADB" w:sz="4" w:space="0"/>
            </w:tcBorders>
            <w:shd w:val="clear" w:color="auto" w:fill="EAF9FF"/>
            <w:vAlign w:val="top"/>
          </w:tcPr>
          <w:p w14:paraId="1A8DD702">
            <w:pPr>
              <w:pStyle w:val="8"/>
              <w:spacing w:before="65" w:line="238" w:lineRule="exact"/>
              <w:ind w:left="18"/>
            </w:pPr>
            <w:r>
              <w:rPr>
                <w:color w:val="2A8ABF"/>
                <w:spacing w:val="-12"/>
                <w:position w:val="1"/>
              </w:rPr>
              <w:t>Ecuador</w:t>
            </w:r>
          </w:p>
        </w:tc>
        <w:tc>
          <w:tcPr>
            <w:tcW w:w="2446" w:type="dxa"/>
            <w:tcBorders>
              <w:left w:val="single" w:color="D7DADB" w:sz="4" w:space="0"/>
              <w:right w:val="nil"/>
            </w:tcBorders>
            <w:shd w:val="clear" w:color="auto" w:fill="EAF9FF"/>
            <w:vAlign w:val="top"/>
          </w:tcPr>
          <w:p w14:paraId="59615919">
            <w:pPr>
              <w:pStyle w:val="8"/>
              <w:spacing w:before="65" w:line="237" w:lineRule="exact"/>
              <w:ind w:left="1065"/>
            </w:pPr>
            <w:r>
              <w:rPr>
                <w:color w:val="5F6A72"/>
                <w:spacing w:val="-6"/>
                <w:position w:val="1"/>
              </w:rPr>
              <w:t>43.0</w:t>
            </w:r>
          </w:p>
        </w:tc>
        <w:tc>
          <w:tcPr>
            <w:tcW w:w="2445" w:type="dxa"/>
            <w:tcBorders>
              <w:left w:val="nil"/>
              <w:right w:val="nil"/>
            </w:tcBorders>
            <w:shd w:val="clear" w:color="auto" w:fill="EAF9FF"/>
            <w:vAlign w:val="top"/>
          </w:tcPr>
          <w:p w14:paraId="41E33DAD">
            <w:pPr>
              <w:pStyle w:val="8"/>
              <w:spacing w:before="65" w:line="237" w:lineRule="exact"/>
              <w:ind w:left="1065"/>
            </w:pPr>
            <w:r>
              <w:rPr>
                <w:color w:val="5F6A72"/>
                <w:spacing w:val="-6"/>
                <w:position w:val="1"/>
              </w:rPr>
              <w:t>40.8</w:t>
            </w:r>
          </w:p>
        </w:tc>
        <w:tc>
          <w:tcPr>
            <w:tcW w:w="1304" w:type="dxa"/>
            <w:tcBorders>
              <w:left w:val="nil"/>
              <w:right w:val="nil"/>
            </w:tcBorders>
            <w:shd w:val="clear" w:color="auto" w:fill="EAF9FF"/>
            <w:vAlign w:val="top"/>
          </w:tcPr>
          <w:p w14:paraId="01D1113B">
            <w:pPr>
              <w:pStyle w:val="8"/>
              <w:spacing w:before="65" w:line="237" w:lineRule="exact"/>
              <w:ind w:left="500"/>
            </w:pPr>
            <w:r>
              <w:rPr>
                <w:color w:val="5F6A72"/>
                <w:spacing w:val="-7"/>
                <w:position w:val="1"/>
              </w:rPr>
              <w:t>66.2</w:t>
            </w:r>
          </w:p>
        </w:tc>
        <w:tc>
          <w:tcPr>
            <w:tcW w:w="1304" w:type="dxa"/>
            <w:tcBorders>
              <w:left w:val="nil"/>
              <w:right w:val="nil"/>
            </w:tcBorders>
            <w:shd w:val="clear" w:color="auto" w:fill="EAF9FF"/>
            <w:vAlign w:val="top"/>
          </w:tcPr>
          <w:p w14:paraId="430B8AAB">
            <w:pPr>
              <w:pStyle w:val="8"/>
              <w:spacing w:before="65" w:line="237" w:lineRule="exact"/>
              <w:ind w:left="500"/>
            </w:pPr>
            <w:r>
              <w:rPr>
                <w:color w:val="5F6A72"/>
                <w:spacing w:val="-7"/>
                <w:position w:val="1"/>
              </w:rPr>
              <w:t>52.1</w:t>
            </w:r>
          </w:p>
        </w:tc>
        <w:tc>
          <w:tcPr>
            <w:tcW w:w="790" w:type="dxa"/>
            <w:tcBorders>
              <w:left w:val="nil"/>
              <w:right w:val="nil"/>
            </w:tcBorders>
            <w:shd w:val="clear" w:color="auto" w:fill="E5819D"/>
            <w:vAlign w:val="top"/>
          </w:tcPr>
          <w:p w14:paraId="5C1FBF60">
            <w:pPr>
              <w:pStyle w:val="8"/>
              <w:spacing w:before="65" w:line="237" w:lineRule="exact"/>
              <w:ind w:left="243"/>
            </w:pPr>
            <w:r>
              <w:rPr>
                <w:color w:val="5F6A72"/>
                <w:spacing w:val="-7"/>
                <w:position w:val="1"/>
              </w:rPr>
              <w:t>53.4</w:t>
            </w:r>
          </w:p>
        </w:tc>
        <w:tc>
          <w:tcPr>
            <w:tcW w:w="611" w:type="dxa"/>
            <w:tcBorders>
              <w:left w:val="nil"/>
              <w:right w:val="nil"/>
            </w:tcBorders>
            <w:shd w:val="clear" w:color="auto" w:fill="E5819D"/>
            <w:vAlign w:val="top"/>
          </w:tcPr>
          <w:p w14:paraId="276132C5">
            <w:pPr>
              <w:pStyle w:val="8"/>
              <w:spacing w:before="65" w:line="237" w:lineRule="exact"/>
              <w:ind w:left="154"/>
            </w:pPr>
            <w:r>
              <w:rPr>
                <w:color w:val="5F6A72"/>
                <w:spacing w:val="-7"/>
                <w:position w:val="1"/>
              </w:rPr>
              <w:t>66.7</w:t>
            </w:r>
          </w:p>
        </w:tc>
      </w:tr>
      <w:tr w14:paraId="54E0B5A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vAlign w:val="top"/>
          </w:tcPr>
          <w:p w14:paraId="337A414B">
            <w:pPr>
              <w:pStyle w:val="8"/>
              <w:rPr>
                <w:sz w:val="21"/>
              </w:rPr>
            </w:pPr>
          </w:p>
        </w:tc>
        <w:tc>
          <w:tcPr>
            <w:tcW w:w="2446" w:type="dxa"/>
            <w:tcBorders>
              <w:left w:val="single" w:color="D7DADB" w:sz="4" w:space="0"/>
              <w:right w:val="nil"/>
            </w:tcBorders>
            <w:vAlign w:val="top"/>
          </w:tcPr>
          <w:p w14:paraId="48431731">
            <w:pPr>
              <w:pStyle w:val="8"/>
              <w:rPr>
                <w:sz w:val="21"/>
              </w:rPr>
            </w:pPr>
          </w:p>
        </w:tc>
        <w:tc>
          <w:tcPr>
            <w:tcW w:w="2445" w:type="dxa"/>
            <w:tcBorders>
              <w:left w:val="nil"/>
              <w:right w:val="nil"/>
            </w:tcBorders>
            <w:vAlign w:val="top"/>
          </w:tcPr>
          <w:p w14:paraId="25889197">
            <w:pPr>
              <w:pStyle w:val="8"/>
              <w:rPr>
                <w:sz w:val="21"/>
              </w:rPr>
            </w:pPr>
          </w:p>
        </w:tc>
        <w:tc>
          <w:tcPr>
            <w:tcW w:w="1304" w:type="dxa"/>
            <w:tcBorders>
              <w:left w:val="nil"/>
              <w:right w:val="nil"/>
            </w:tcBorders>
            <w:vAlign w:val="top"/>
          </w:tcPr>
          <w:p w14:paraId="5857F503">
            <w:pPr>
              <w:pStyle w:val="8"/>
              <w:rPr>
                <w:sz w:val="21"/>
              </w:rPr>
            </w:pPr>
          </w:p>
        </w:tc>
        <w:tc>
          <w:tcPr>
            <w:tcW w:w="1304" w:type="dxa"/>
            <w:tcBorders>
              <w:left w:val="nil"/>
              <w:right w:val="nil"/>
            </w:tcBorders>
            <w:vAlign w:val="top"/>
          </w:tcPr>
          <w:p w14:paraId="5E7A1689">
            <w:pPr>
              <w:pStyle w:val="8"/>
              <w:rPr>
                <w:sz w:val="21"/>
              </w:rPr>
            </w:pPr>
          </w:p>
        </w:tc>
        <w:tc>
          <w:tcPr>
            <w:tcW w:w="790" w:type="dxa"/>
            <w:tcBorders>
              <w:left w:val="nil"/>
              <w:right w:val="nil"/>
            </w:tcBorders>
            <w:shd w:val="clear" w:color="auto" w:fill="E5819D"/>
            <w:vAlign w:val="top"/>
          </w:tcPr>
          <w:p w14:paraId="3B2D9686">
            <w:pPr>
              <w:pStyle w:val="8"/>
              <w:rPr>
                <w:sz w:val="21"/>
              </w:rPr>
            </w:pPr>
          </w:p>
        </w:tc>
        <w:tc>
          <w:tcPr>
            <w:tcW w:w="611" w:type="dxa"/>
            <w:tcBorders>
              <w:left w:val="nil"/>
              <w:right w:val="nil"/>
            </w:tcBorders>
            <w:shd w:val="clear" w:color="auto" w:fill="E5819D"/>
            <w:vAlign w:val="top"/>
          </w:tcPr>
          <w:p w14:paraId="60E2A573">
            <w:pPr>
              <w:pStyle w:val="8"/>
              <w:rPr>
                <w:sz w:val="21"/>
              </w:rPr>
            </w:pPr>
          </w:p>
        </w:tc>
      </w:tr>
      <w:tr w14:paraId="2EE652F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304" w:type="dxa"/>
            <w:tcBorders>
              <w:left w:val="nil"/>
              <w:right w:val="single" w:color="D7DADB" w:sz="4" w:space="0"/>
            </w:tcBorders>
            <w:shd w:val="clear" w:color="auto" w:fill="EAF9FF"/>
            <w:vAlign w:val="top"/>
          </w:tcPr>
          <w:p w14:paraId="736B508F">
            <w:pPr>
              <w:pStyle w:val="8"/>
              <w:spacing w:before="65" w:line="234" w:lineRule="auto"/>
              <w:ind w:left="12"/>
            </w:pPr>
            <w:r>
              <w:rPr>
                <w:color w:val="2A8ABF"/>
                <w:spacing w:val="-11"/>
              </w:rPr>
              <w:t>Global</w:t>
            </w:r>
            <w:r>
              <w:rPr>
                <w:color w:val="2A8ABF"/>
                <w:spacing w:val="-2"/>
              </w:rPr>
              <w:t xml:space="preserve"> </w:t>
            </w:r>
            <w:r>
              <w:rPr>
                <w:color w:val="2A8ABF"/>
                <w:spacing w:val="-11"/>
              </w:rPr>
              <w:t>average</w:t>
            </w:r>
          </w:p>
        </w:tc>
        <w:tc>
          <w:tcPr>
            <w:tcW w:w="2446" w:type="dxa"/>
            <w:tcBorders>
              <w:left w:val="single" w:color="D7DADB" w:sz="4" w:space="0"/>
              <w:right w:val="nil"/>
            </w:tcBorders>
            <w:shd w:val="clear" w:color="auto" w:fill="EAF9FF"/>
            <w:vAlign w:val="top"/>
          </w:tcPr>
          <w:p w14:paraId="64FEAC60">
            <w:pPr>
              <w:pStyle w:val="8"/>
              <w:spacing w:before="65" w:line="237" w:lineRule="exact"/>
              <w:ind w:left="1069"/>
            </w:pPr>
            <w:r>
              <w:rPr>
                <w:color w:val="5F6A72"/>
                <w:spacing w:val="-7"/>
                <w:position w:val="1"/>
              </w:rPr>
              <w:t>50.0</w:t>
            </w:r>
          </w:p>
        </w:tc>
        <w:tc>
          <w:tcPr>
            <w:tcW w:w="2445" w:type="dxa"/>
            <w:tcBorders>
              <w:left w:val="nil"/>
              <w:right w:val="nil"/>
            </w:tcBorders>
            <w:shd w:val="clear" w:color="auto" w:fill="EAF9FF"/>
            <w:vAlign w:val="top"/>
          </w:tcPr>
          <w:p w14:paraId="44867EA7">
            <w:pPr>
              <w:pStyle w:val="8"/>
              <w:spacing w:before="65" w:line="237" w:lineRule="exact"/>
              <w:ind w:left="1070"/>
            </w:pPr>
            <w:r>
              <w:rPr>
                <w:color w:val="5F6A72"/>
                <w:spacing w:val="-7"/>
                <w:position w:val="1"/>
              </w:rPr>
              <w:t>50.0</w:t>
            </w:r>
          </w:p>
        </w:tc>
        <w:tc>
          <w:tcPr>
            <w:tcW w:w="1304" w:type="dxa"/>
            <w:tcBorders>
              <w:left w:val="nil"/>
              <w:right w:val="nil"/>
            </w:tcBorders>
            <w:shd w:val="clear" w:color="auto" w:fill="EAF9FF"/>
            <w:vAlign w:val="top"/>
          </w:tcPr>
          <w:p w14:paraId="34C437DF">
            <w:pPr>
              <w:pStyle w:val="8"/>
              <w:spacing w:before="65" w:line="237" w:lineRule="exact"/>
              <w:ind w:left="500"/>
            </w:pPr>
            <w:r>
              <w:rPr>
                <w:color w:val="5F6A72"/>
                <w:spacing w:val="-7"/>
                <w:position w:val="1"/>
              </w:rPr>
              <w:t>50.0</w:t>
            </w:r>
          </w:p>
        </w:tc>
        <w:tc>
          <w:tcPr>
            <w:tcW w:w="1304" w:type="dxa"/>
            <w:tcBorders>
              <w:left w:val="nil"/>
              <w:right w:val="nil"/>
            </w:tcBorders>
            <w:shd w:val="clear" w:color="auto" w:fill="EAF9FF"/>
            <w:vAlign w:val="top"/>
          </w:tcPr>
          <w:p w14:paraId="4EB01B74">
            <w:pPr>
              <w:pStyle w:val="8"/>
              <w:spacing w:before="65" w:line="237" w:lineRule="exact"/>
              <w:ind w:left="500"/>
            </w:pPr>
            <w:r>
              <w:rPr>
                <w:color w:val="5F6A72"/>
                <w:spacing w:val="-7"/>
                <w:position w:val="1"/>
              </w:rPr>
              <w:t>50.0</w:t>
            </w:r>
          </w:p>
        </w:tc>
        <w:tc>
          <w:tcPr>
            <w:tcW w:w="790" w:type="dxa"/>
            <w:tcBorders>
              <w:left w:val="nil"/>
              <w:right w:val="nil"/>
            </w:tcBorders>
            <w:shd w:val="clear" w:color="auto" w:fill="E5819D"/>
            <w:vAlign w:val="top"/>
          </w:tcPr>
          <w:p w14:paraId="562557FA">
            <w:pPr>
              <w:pStyle w:val="8"/>
              <w:spacing w:before="65" w:line="237" w:lineRule="exact"/>
              <w:ind w:left="243"/>
            </w:pPr>
            <w:r>
              <w:rPr>
                <w:color w:val="5F6A72"/>
                <w:spacing w:val="-7"/>
                <w:position w:val="1"/>
              </w:rPr>
              <w:t>50.0</w:t>
            </w:r>
          </w:p>
        </w:tc>
        <w:tc>
          <w:tcPr>
            <w:tcW w:w="611" w:type="dxa"/>
            <w:tcBorders>
              <w:left w:val="nil"/>
              <w:right w:val="nil"/>
            </w:tcBorders>
            <w:shd w:val="clear" w:color="auto" w:fill="E5819D"/>
            <w:vAlign w:val="top"/>
          </w:tcPr>
          <w:p w14:paraId="53A80D48">
            <w:pPr>
              <w:pStyle w:val="8"/>
              <w:spacing w:before="65" w:line="237" w:lineRule="exact"/>
              <w:ind w:left="153"/>
            </w:pPr>
            <w:r>
              <w:rPr>
                <w:color w:val="5F6A72"/>
                <w:spacing w:val="-7"/>
                <w:position w:val="1"/>
              </w:rPr>
              <w:t>50.0</w:t>
            </w:r>
          </w:p>
        </w:tc>
      </w:tr>
      <w:tr w14:paraId="7295288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1304" w:type="dxa"/>
            <w:tcBorders>
              <w:left w:val="nil"/>
              <w:bottom w:val="nil"/>
              <w:right w:val="single" w:color="D7DADB" w:sz="4" w:space="0"/>
            </w:tcBorders>
            <w:vAlign w:val="top"/>
          </w:tcPr>
          <w:p w14:paraId="0C59D936">
            <w:pPr>
              <w:pStyle w:val="8"/>
              <w:spacing w:before="65" w:line="234" w:lineRule="auto"/>
              <w:ind w:left="18"/>
            </w:pPr>
            <w:r>
              <w:rPr>
                <w:color w:val="2A8ABF"/>
                <w:spacing w:val="-11"/>
              </w:rPr>
              <w:t>Regional</w:t>
            </w:r>
            <w:r>
              <w:rPr>
                <w:color w:val="2A8ABF"/>
              </w:rPr>
              <w:t xml:space="preserve"> </w:t>
            </w:r>
            <w:r>
              <w:rPr>
                <w:color w:val="2A8ABF"/>
                <w:spacing w:val="-11"/>
              </w:rPr>
              <w:t>average</w:t>
            </w:r>
          </w:p>
        </w:tc>
        <w:tc>
          <w:tcPr>
            <w:tcW w:w="2446" w:type="dxa"/>
            <w:tcBorders>
              <w:left w:val="single" w:color="D7DADB" w:sz="4" w:space="0"/>
              <w:bottom w:val="nil"/>
              <w:right w:val="nil"/>
            </w:tcBorders>
            <w:vAlign w:val="top"/>
          </w:tcPr>
          <w:p w14:paraId="449892F6">
            <w:pPr>
              <w:pStyle w:val="8"/>
              <w:spacing w:before="65" w:line="238" w:lineRule="exact"/>
              <w:ind w:left="1069"/>
            </w:pPr>
            <w:r>
              <w:rPr>
                <w:color w:val="5F6A72"/>
                <w:spacing w:val="-7"/>
                <w:position w:val="1"/>
              </w:rPr>
              <w:t>50.9</w:t>
            </w:r>
          </w:p>
        </w:tc>
        <w:tc>
          <w:tcPr>
            <w:tcW w:w="2445" w:type="dxa"/>
            <w:tcBorders>
              <w:left w:val="nil"/>
              <w:bottom w:val="nil"/>
              <w:right w:val="nil"/>
            </w:tcBorders>
            <w:vAlign w:val="top"/>
          </w:tcPr>
          <w:p w14:paraId="4A3C00D5">
            <w:pPr>
              <w:pStyle w:val="8"/>
              <w:spacing w:before="65" w:line="238" w:lineRule="exact"/>
              <w:ind w:left="1070"/>
            </w:pPr>
            <w:r>
              <w:rPr>
                <w:color w:val="5F6A72"/>
                <w:spacing w:val="-7"/>
                <w:position w:val="1"/>
              </w:rPr>
              <w:t>52.3</w:t>
            </w:r>
          </w:p>
        </w:tc>
        <w:tc>
          <w:tcPr>
            <w:tcW w:w="1304" w:type="dxa"/>
            <w:tcBorders>
              <w:left w:val="nil"/>
              <w:bottom w:val="nil"/>
              <w:right w:val="nil"/>
            </w:tcBorders>
            <w:vAlign w:val="top"/>
          </w:tcPr>
          <w:p w14:paraId="4C9D9221">
            <w:pPr>
              <w:pStyle w:val="8"/>
              <w:spacing w:before="65" w:line="238" w:lineRule="exact"/>
              <w:ind w:left="500"/>
            </w:pPr>
            <w:r>
              <w:rPr>
                <w:color w:val="5F6A72"/>
                <w:spacing w:val="-7"/>
                <w:position w:val="1"/>
              </w:rPr>
              <w:t>58.7</w:t>
            </w:r>
          </w:p>
        </w:tc>
        <w:tc>
          <w:tcPr>
            <w:tcW w:w="1304" w:type="dxa"/>
            <w:tcBorders>
              <w:left w:val="nil"/>
              <w:bottom w:val="nil"/>
              <w:right w:val="nil"/>
            </w:tcBorders>
            <w:vAlign w:val="top"/>
          </w:tcPr>
          <w:p w14:paraId="0DF9B837">
            <w:pPr>
              <w:pStyle w:val="8"/>
              <w:spacing w:before="65" w:line="238" w:lineRule="exact"/>
              <w:ind w:left="500"/>
            </w:pPr>
            <w:r>
              <w:rPr>
                <w:color w:val="5F6A72"/>
                <w:spacing w:val="-7"/>
                <w:position w:val="1"/>
              </w:rPr>
              <w:t>55.8</w:t>
            </w:r>
          </w:p>
        </w:tc>
        <w:tc>
          <w:tcPr>
            <w:tcW w:w="790" w:type="dxa"/>
            <w:tcBorders>
              <w:left w:val="nil"/>
              <w:bottom w:val="nil"/>
              <w:right w:val="nil"/>
            </w:tcBorders>
            <w:shd w:val="clear" w:color="auto" w:fill="E5819D"/>
            <w:vAlign w:val="top"/>
          </w:tcPr>
          <w:p w14:paraId="69B9F651">
            <w:pPr>
              <w:pStyle w:val="8"/>
              <w:spacing w:before="65" w:line="238" w:lineRule="exact"/>
              <w:ind w:left="243"/>
            </w:pPr>
            <w:r>
              <w:rPr>
                <w:color w:val="5F6A72"/>
                <w:spacing w:val="-7"/>
                <w:position w:val="1"/>
              </w:rPr>
              <w:t>55.3</w:t>
            </w:r>
          </w:p>
        </w:tc>
        <w:tc>
          <w:tcPr>
            <w:tcW w:w="611" w:type="dxa"/>
            <w:tcBorders>
              <w:left w:val="nil"/>
              <w:bottom w:val="nil"/>
              <w:right w:val="nil"/>
            </w:tcBorders>
            <w:shd w:val="clear" w:color="auto" w:fill="E5819D"/>
            <w:vAlign w:val="top"/>
          </w:tcPr>
          <w:p w14:paraId="1D54BD6A">
            <w:pPr>
              <w:pStyle w:val="8"/>
              <w:spacing w:before="65" w:line="238" w:lineRule="exact"/>
              <w:ind w:left="153"/>
            </w:pPr>
            <w:r>
              <w:rPr>
                <w:color w:val="5F6A72"/>
                <w:spacing w:val="-7"/>
                <w:position w:val="1"/>
              </w:rPr>
              <w:t>59.1</w:t>
            </w:r>
          </w:p>
        </w:tc>
      </w:tr>
    </w:tbl>
    <w:p w14:paraId="40E9488B">
      <w:pPr>
        <w:pStyle w:val="4"/>
        <w:spacing w:before="149" w:line="235" w:lineRule="auto"/>
        <w:ind w:left="372"/>
        <w:rPr>
          <w:sz w:val="15"/>
          <w:szCs w:val="15"/>
        </w:rPr>
      </w:pPr>
      <w:r>
        <w:drawing>
          <wp:anchor distT="0" distB="0" distL="0" distR="0" simplePos="0" relativeHeight="251874304"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w:t>
      </w:r>
      <w:r>
        <w:rPr>
          <w:i/>
          <w:iCs/>
          <w:color w:val="333333"/>
          <w:spacing w:val="-8"/>
          <w:sz w:val="15"/>
          <w:szCs w:val="15"/>
        </w:rPr>
        <w:t xml:space="preserve"> </w:t>
      </w:r>
      <w:r>
        <w:rPr>
          <w:i/>
          <w:iCs/>
          <w:color w:val="333333"/>
          <w:spacing w:val="-5"/>
          <w:w w:val="94"/>
          <w:sz w:val="15"/>
          <w:szCs w:val="15"/>
        </w:rPr>
        <w:t>lower</w:t>
      </w:r>
      <w:r>
        <w:rPr>
          <w:i/>
          <w:iCs/>
          <w:color w:val="333333"/>
          <w:spacing w:val="-20"/>
          <w:sz w:val="15"/>
          <w:szCs w:val="15"/>
        </w:rPr>
        <w:t xml:space="preserve"> </w:t>
      </w:r>
      <w:r>
        <w:rPr>
          <w:i/>
          <w:iCs/>
          <w:color w:val="333333"/>
          <w:spacing w:val="-5"/>
          <w:w w:val="94"/>
          <w:sz w:val="15"/>
          <w:szCs w:val="15"/>
        </w:rPr>
        <w:t>score = more attracti</w:t>
      </w:r>
      <w:r>
        <w:rPr>
          <w:i/>
          <w:iCs/>
          <w:color w:val="333333"/>
          <w:spacing w:val="-6"/>
          <w:w w:val="94"/>
          <w:sz w:val="15"/>
          <w:szCs w:val="15"/>
        </w:rPr>
        <w:t>ve market. Source: BMI Upstream</w:t>
      </w:r>
      <w:r>
        <w:rPr>
          <w:i/>
          <w:iCs/>
          <w:color w:val="333333"/>
          <w:spacing w:val="5"/>
          <w:sz w:val="15"/>
          <w:szCs w:val="15"/>
        </w:rPr>
        <w:t xml:space="preserve"> </w:t>
      </w:r>
      <w:r>
        <w:rPr>
          <w:i/>
          <w:iCs/>
          <w:color w:val="333333"/>
          <w:spacing w:val="-6"/>
          <w:w w:val="94"/>
          <w:sz w:val="15"/>
          <w:szCs w:val="15"/>
        </w:rPr>
        <w:t>Oil</w:t>
      </w:r>
      <w:r>
        <w:rPr>
          <w:i/>
          <w:iCs/>
          <w:color w:val="333333"/>
          <w:spacing w:val="-13"/>
          <w:sz w:val="15"/>
          <w:szCs w:val="15"/>
        </w:rPr>
        <w:t xml:space="preserve"> </w:t>
      </w:r>
      <w:r>
        <w:rPr>
          <w:i/>
          <w:iCs/>
          <w:color w:val="333333"/>
          <w:spacing w:val="-6"/>
          <w:w w:val="94"/>
          <w:sz w:val="15"/>
          <w:szCs w:val="15"/>
        </w:rPr>
        <w:t>&amp; Gas Risk/Reward Index</w:t>
      </w:r>
    </w:p>
    <w:p w14:paraId="4E07353F">
      <w:pPr>
        <w:pStyle w:val="4"/>
        <w:spacing w:line="384" w:lineRule="auto"/>
      </w:pPr>
    </w:p>
    <w:p w14:paraId="7FA1E4D0">
      <w:pPr>
        <w:pStyle w:val="4"/>
        <w:spacing w:before="58" w:line="274" w:lineRule="auto"/>
        <w:ind w:left="381" w:right="364" w:firstLine="12"/>
        <w:rPr>
          <w:sz w:val="20"/>
          <w:szCs w:val="20"/>
        </w:rPr>
      </w:pPr>
      <w:r>
        <w:rPr>
          <w:b/>
          <w:bCs/>
          <w:i/>
          <w:iCs/>
          <w:color w:val="57585A"/>
          <w:spacing w:val="-8"/>
          <w:w w:val="97"/>
          <w:sz w:val="20"/>
          <w:szCs w:val="20"/>
        </w:rPr>
        <w:t>Please</w:t>
      </w:r>
      <w:r>
        <w:rPr>
          <w:b/>
          <w:bCs/>
          <w:i/>
          <w:iCs/>
          <w:color w:val="57585A"/>
          <w:spacing w:val="8"/>
          <w:sz w:val="20"/>
          <w:szCs w:val="20"/>
        </w:rPr>
        <w:t xml:space="preserve"> </w:t>
      </w:r>
      <w:r>
        <w:rPr>
          <w:b/>
          <w:bCs/>
          <w:i/>
          <w:iCs/>
          <w:color w:val="57585A"/>
          <w:spacing w:val="-8"/>
          <w:w w:val="97"/>
          <w:sz w:val="20"/>
          <w:szCs w:val="20"/>
        </w:rPr>
        <w:t xml:space="preserve">Note: </w:t>
      </w:r>
      <w:r>
        <w:rPr>
          <w:i/>
          <w:iCs/>
          <w:color w:val="57585A"/>
          <w:spacing w:val="-8"/>
          <w:w w:val="97"/>
          <w:sz w:val="20"/>
          <w:szCs w:val="20"/>
        </w:rPr>
        <w:t>Our</w:t>
      </w:r>
      <w:r>
        <w:rPr>
          <w:i/>
          <w:iCs/>
          <w:color w:val="57585A"/>
          <w:spacing w:val="-21"/>
          <w:sz w:val="20"/>
          <w:szCs w:val="20"/>
        </w:rPr>
        <w:t xml:space="preserve"> </w:t>
      </w:r>
      <w:r>
        <w:rPr>
          <w:i/>
          <w:iCs/>
          <w:color w:val="57585A"/>
          <w:spacing w:val="-8"/>
          <w:w w:val="97"/>
          <w:sz w:val="20"/>
          <w:szCs w:val="20"/>
        </w:rPr>
        <w:t>Risk/Rewa</w:t>
      </w:r>
      <w:r>
        <w:rPr>
          <w:i/>
          <w:iCs/>
          <w:color w:val="57585A"/>
          <w:spacing w:val="-9"/>
          <w:w w:val="97"/>
          <w:sz w:val="20"/>
          <w:szCs w:val="20"/>
        </w:rPr>
        <w:t>rd Indices are updated frequently; as</w:t>
      </w:r>
      <w:r>
        <w:rPr>
          <w:i/>
          <w:iCs/>
          <w:color w:val="57585A"/>
          <w:spacing w:val="-13"/>
          <w:sz w:val="20"/>
          <w:szCs w:val="20"/>
        </w:rPr>
        <w:t xml:space="preserve"> </w:t>
      </w:r>
      <w:r>
        <w:rPr>
          <w:i/>
          <w:iCs/>
          <w:color w:val="57585A"/>
          <w:spacing w:val="-9"/>
          <w:w w:val="97"/>
          <w:sz w:val="20"/>
          <w:szCs w:val="20"/>
        </w:rPr>
        <w:t>a result, scores in this section may</w:t>
      </w:r>
      <w:r>
        <w:rPr>
          <w:i/>
          <w:iCs/>
          <w:color w:val="57585A"/>
          <w:spacing w:val="-23"/>
          <w:sz w:val="20"/>
          <w:szCs w:val="20"/>
        </w:rPr>
        <w:t xml:space="preserve"> </w:t>
      </w:r>
      <w:r>
        <w:rPr>
          <w:i/>
          <w:iCs/>
          <w:color w:val="57585A"/>
          <w:spacing w:val="-9"/>
          <w:w w:val="97"/>
          <w:sz w:val="20"/>
          <w:szCs w:val="20"/>
        </w:rPr>
        <w:t>not</w:t>
      </w:r>
      <w:r>
        <w:rPr>
          <w:i/>
          <w:iCs/>
          <w:color w:val="57585A"/>
          <w:spacing w:val="-19"/>
          <w:sz w:val="20"/>
          <w:szCs w:val="20"/>
        </w:rPr>
        <w:t xml:space="preserve"> </w:t>
      </w:r>
      <w:r>
        <w:rPr>
          <w:i/>
          <w:iCs/>
          <w:color w:val="57585A"/>
          <w:spacing w:val="-9"/>
          <w:w w:val="97"/>
          <w:sz w:val="20"/>
          <w:szCs w:val="20"/>
        </w:rPr>
        <w:t>match scores in the rest of</w:t>
      </w:r>
      <w:r>
        <w:rPr>
          <w:i/>
          <w:iCs/>
          <w:color w:val="57585A"/>
          <w:sz w:val="20"/>
          <w:szCs w:val="20"/>
        </w:rPr>
        <w:t xml:space="preserve"> </w:t>
      </w:r>
      <w:r>
        <w:rPr>
          <w:i/>
          <w:iCs/>
          <w:color w:val="57585A"/>
          <w:spacing w:val="-8"/>
          <w:sz w:val="20"/>
          <w:szCs w:val="20"/>
        </w:rPr>
        <w:t>the report.</w:t>
      </w:r>
    </w:p>
    <w:p w14:paraId="3B85EE85">
      <w:pPr>
        <w:spacing w:line="274" w:lineRule="auto"/>
        <w:rPr>
          <w:sz w:val="20"/>
          <w:szCs w:val="20"/>
        </w:rPr>
        <w:sectPr>
          <w:footerReference r:id="rId55" w:type="default"/>
          <w:pgSz w:w="11906" w:h="16838"/>
          <w:pgMar w:top="400" w:right="490" w:bottom="883" w:left="490" w:header="0" w:footer="0" w:gutter="0"/>
          <w:cols w:space="720" w:num="1"/>
        </w:sectPr>
      </w:pPr>
    </w:p>
    <w:p w14:paraId="2B207F00">
      <w:pPr>
        <w:pStyle w:val="4"/>
        <w:spacing w:before="73" w:line="241" w:lineRule="auto"/>
        <w:ind w:left="7372"/>
        <w:rPr>
          <w:sz w:val="20"/>
          <w:szCs w:val="20"/>
        </w:rPr>
      </w:pPr>
      <w:r>
        <w:drawing>
          <wp:anchor distT="0" distB="0" distL="0" distR="0" simplePos="0" relativeHeight="25187840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79424" behindDoc="0" locked="0" layoutInCell="0" allowOverlap="1">
            <wp:simplePos x="0" y="0"/>
            <wp:positionH relativeFrom="page">
              <wp:posOffset>311150</wp:posOffset>
            </wp:positionH>
            <wp:positionV relativeFrom="page">
              <wp:posOffset>0</wp:posOffset>
            </wp:positionV>
            <wp:extent cx="19050" cy="814070"/>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BD90B5B">
      <w:pPr>
        <w:pStyle w:val="4"/>
        <w:spacing w:line="278" w:lineRule="auto"/>
      </w:pPr>
    </w:p>
    <w:p w14:paraId="64AF562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389F51E">
      <w:pPr>
        <w:pStyle w:val="4"/>
        <w:spacing w:line="428" w:lineRule="auto"/>
      </w:pPr>
    </w:p>
    <w:p w14:paraId="07FCE653">
      <w:pPr>
        <w:pStyle w:val="4"/>
        <w:spacing w:before="86" w:line="395" w:lineRule="exact"/>
        <w:ind w:left="384"/>
        <w:outlineLvl w:val="0"/>
        <w:rPr>
          <w:sz w:val="30"/>
          <w:szCs w:val="30"/>
        </w:rPr>
      </w:pPr>
      <w:bookmarkStart w:id="23" w:name="bookmark16"/>
      <w:bookmarkEnd w:id="23"/>
      <w:r>
        <w:rPr>
          <w:color w:val="2A8ABF"/>
          <w:spacing w:val="-14"/>
          <w:position w:val="1"/>
          <w:sz w:val="30"/>
          <w:szCs w:val="30"/>
        </w:rPr>
        <w:t>LatinAmerica Downstream Oil &amp; Gas Risk/Reward Index</w:t>
      </w:r>
    </w:p>
    <w:p w14:paraId="636D86DE">
      <w:pPr>
        <w:pStyle w:val="4"/>
        <w:spacing w:before="268" w:line="279" w:lineRule="auto"/>
        <w:ind w:left="373" w:right="531" w:firstLine="12"/>
        <w:jc w:val="both"/>
        <w:rPr>
          <w:sz w:val="20"/>
          <w:szCs w:val="20"/>
        </w:rPr>
      </w:pPr>
      <w:r>
        <w:rPr>
          <w:b/>
          <w:bCs/>
          <w:i/>
          <w:iCs/>
          <w:color w:val="57585A"/>
          <w:spacing w:val="-7"/>
          <w:w w:val="95"/>
          <w:sz w:val="20"/>
          <w:szCs w:val="20"/>
        </w:rPr>
        <w:t xml:space="preserve">Key View: </w:t>
      </w:r>
      <w:r>
        <w:rPr>
          <w:i/>
          <w:iCs/>
          <w:color w:val="57585A"/>
          <w:spacing w:val="-7"/>
          <w:w w:val="95"/>
          <w:sz w:val="20"/>
          <w:szCs w:val="20"/>
        </w:rPr>
        <w:t>Latin</w:t>
      </w:r>
      <w:r>
        <w:rPr>
          <w:i/>
          <w:iCs/>
          <w:color w:val="57585A"/>
          <w:spacing w:val="-16"/>
          <w:sz w:val="20"/>
          <w:szCs w:val="20"/>
        </w:rPr>
        <w:t xml:space="preserve"> </w:t>
      </w:r>
      <w:r>
        <w:rPr>
          <w:i/>
          <w:iCs/>
          <w:color w:val="57585A"/>
          <w:spacing w:val="-7"/>
          <w:w w:val="95"/>
          <w:sz w:val="20"/>
          <w:szCs w:val="20"/>
        </w:rPr>
        <w:t>America continues to underperform in our</w:t>
      </w:r>
      <w:r>
        <w:rPr>
          <w:i/>
          <w:iCs/>
          <w:color w:val="57585A"/>
          <w:spacing w:val="-21"/>
          <w:sz w:val="20"/>
          <w:szCs w:val="20"/>
        </w:rPr>
        <w:t xml:space="preserve"> </w:t>
      </w:r>
      <w:r>
        <w:rPr>
          <w:i/>
          <w:iCs/>
          <w:color w:val="57585A"/>
          <w:spacing w:val="-7"/>
          <w:w w:val="95"/>
          <w:sz w:val="20"/>
          <w:szCs w:val="20"/>
        </w:rPr>
        <w:t>Downstream</w:t>
      </w:r>
      <w:r>
        <w:rPr>
          <w:i/>
          <w:iCs/>
          <w:color w:val="57585A"/>
          <w:spacing w:val="6"/>
          <w:sz w:val="20"/>
          <w:szCs w:val="20"/>
        </w:rPr>
        <w:t xml:space="preserve"> </w:t>
      </w:r>
      <w:r>
        <w:rPr>
          <w:i/>
          <w:iCs/>
          <w:color w:val="57585A"/>
          <w:spacing w:val="-7"/>
          <w:w w:val="95"/>
          <w:sz w:val="20"/>
          <w:szCs w:val="20"/>
        </w:rPr>
        <w:t>Oil</w:t>
      </w:r>
      <w:r>
        <w:rPr>
          <w:i/>
          <w:iCs/>
          <w:color w:val="57585A"/>
          <w:spacing w:val="-16"/>
          <w:sz w:val="20"/>
          <w:szCs w:val="20"/>
        </w:rPr>
        <w:t xml:space="preserve"> </w:t>
      </w:r>
      <w:r>
        <w:rPr>
          <w:i/>
          <w:iCs/>
          <w:color w:val="57585A"/>
          <w:spacing w:val="-7"/>
          <w:w w:val="95"/>
          <w:sz w:val="20"/>
          <w:szCs w:val="20"/>
        </w:rPr>
        <w:t>&amp; Gas Risk/Reward Index</w:t>
      </w:r>
      <w:r>
        <w:rPr>
          <w:i/>
          <w:iCs/>
          <w:color w:val="57585A"/>
          <w:spacing w:val="-22"/>
          <w:sz w:val="20"/>
          <w:szCs w:val="20"/>
        </w:rPr>
        <w:t xml:space="preserve"> </w:t>
      </w:r>
      <w:r>
        <w:rPr>
          <w:i/>
          <w:iCs/>
          <w:color w:val="57585A"/>
          <w:spacing w:val="-7"/>
          <w:w w:val="95"/>
          <w:sz w:val="20"/>
          <w:szCs w:val="20"/>
        </w:rPr>
        <w:t>as a resu</w:t>
      </w:r>
      <w:r>
        <w:rPr>
          <w:i/>
          <w:iCs/>
          <w:color w:val="57585A"/>
          <w:spacing w:val="-8"/>
          <w:w w:val="95"/>
          <w:sz w:val="20"/>
          <w:szCs w:val="20"/>
        </w:rPr>
        <w:t>lt of</w:t>
      </w:r>
      <w:r>
        <w:rPr>
          <w:i/>
          <w:iCs/>
          <w:color w:val="57585A"/>
          <w:spacing w:val="-35"/>
          <w:sz w:val="20"/>
          <w:szCs w:val="20"/>
        </w:rPr>
        <w:t xml:space="preserve"> </w:t>
      </w:r>
      <w:r>
        <w:rPr>
          <w:i/>
          <w:iCs/>
          <w:color w:val="57585A"/>
          <w:spacing w:val="-8"/>
          <w:w w:val="95"/>
          <w:sz w:val="20"/>
          <w:szCs w:val="20"/>
        </w:rPr>
        <w:t>common state</w:t>
      </w:r>
      <w:r>
        <w:rPr>
          <w:i/>
          <w:iCs/>
          <w:color w:val="57585A"/>
          <w:sz w:val="20"/>
          <w:szCs w:val="20"/>
        </w:rPr>
        <w:t xml:space="preserve"> </w:t>
      </w:r>
      <w:r>
        <w:rPr>
          <w:i/>
          <w:iCs/>
          <w:color w:val="57585A"/>
          <w:spacing w:val="-7"/>
          <w:w w:val="96"/>
          <w:sz w:val="20"/>
          <w:szCs w:val="20"/>
        </w:rPr>
        <w:t>intervention, low</w:t>
      </w:r>
      <w:r>
        <w:rPr>
          <w:i/>
          <w:iCs/>
          <w:color w:val="57585A"/>
          <w:spacing w:val="-3"/>
          <w:sz w:val="20"/>
          <w:szCs w:val="20"/>
        </w:rPr>
        <w:t xml:space="preserve"> </w:t>
      </w:r>
      <w:r>
        <w:rPr>
          <w:i/>
          <w:iCs/>
          <w:color w:val="57585A"/>
          <w:spacing w:val="-7"/>
          <w:w w:val="96"/>
          <w:sz w:val="20"/>
          <w:szCs w:val="20"/>
        </w:rPr>
        <w:t>utilisation rates and</w:t>
      </w:r>
      <w:r>
        <w:rPr>
          <w:i/>
          <w:iCs/>
          <w:color w:val="57585A"/>
          <w:spacing w:val="-17"/>
          <w:sz w:val="20"/>
          <w:szCs w:val="20"/>
        </w:rPr>
        <w:t xml:space="preserve"> </w:t>
      </w:r>
      <w:r>
        <w:rPr>
          <w:i/>
          <w:iCs/>
          <w:color w:val="57585A"/>
          <w:spacing w:val="-7"/>
          <w:w w:val="96"/>
          <w:sz w:val="20"/>
          <w:szCs w:val="20"/>
        </w:rPr>
        <w:t>relatively</w:t>
      </w:r>
      <w:r>
        <w:rPr>
          <w:i/>
          <w:iCs/>
          <w:color w:val="57585A"/>
          <w:spacing w:val="-17"/>
          <w:sz w:val="20"/>
          <w:szCs w:val="20"/>
        </w:rPr>
        <w:t xml:space="preserve"> </w:t>
      </w:r>
      <w:r>
        <w:rPr>
          <w:i/>
          <w:iCs/>
          <w:color w:val="57585A"/>
          <w:spacing w:val="-7"/>
          <w:w w:val="96"/>
          <w:sz w:val="20"/>
          <w:szCs w:val="20"/>
        </w:rPr>
        <w:t>weak fuel demand</w:t>
      </w:r>
      <w:r>
        <w:rPr>
          <w:i/>
          <w:iCs/>
          <w:color w:val="57585A"/>
          <w:spacing w:val="-26"/>
          <w:sz w:val="20"/>
          <w:szCs w:val="20"/>
        </w:rPr>
        <w:t xml:space="preserve"> </w:t>
      </w:r>
      <w:r>
        <w:rPr>
          <w:i/>
          <w:iCs/>
          <w:color w:val="57585A"/>
          <w:spacing w:val="-7"/>
          <w:w w:val="96"/>
          <w:sz w:val="20"/>
          <w:szCs w:val="20"/>
        </w:rPr>
        <w:t>growth.</w:t>
      </w:r>
      <w:r>
        <w:rPr>
          <w:i/>
          <w:iCs/>
          <w:color w:val="57585A"/>
          <w:spacing w:val="11"/>
          <w:sz w:val="20"/>
          <w:szCs w:val="20"/>
        </w:rPr>
        <w:t xml:space="preserve"> </w:t>
      </w:r>
      <w:r>
        <w:rPr>
          <w:i/>
          <w:iCs/>
          <w:color w:val="57585A"/>
          <w:spacing w:val="-7"/>
          <w:w w:val="96"/>
          <w:sz w:val="20"/>
          <w:szCs w:val="20"/>
        </w:rPr>
        <w:t>The liberalisation of</w:t>
      </w:r>
      <w:r>
        <w:rPr>
          <w:i/>
          <w:iCs/>
          <w:color w:val="57585A"/>
          <w:spacing w:val="-32"/>
          <w:sz w:val="20"/>
          <w:szCs w:val="20"/>
        </w:rPr>
        <w:t xml:space="preserve"> </w:t>
      </w:r>
      <w:r>
        <w:rPr>
          <w:i/>
          <w:iCs/>
          <w:color w:val="57585A"/>
          <w:spacing w:val="-7"/>
          <w:w w:val="96"/>
          <w:sz w:val="20"/>
          <w:szCs w:val="20"/>
        </w:rPr>
        <w:t>the downstream sector</w:t>
      </w:r>
      <w:r>
        <w:rPr>
          <w:i/>
          <w:iCs/>
          <w:color w:val="57585A"/>
          <w:spacing w:val="-23"/>
          <w:sz w:val="20"/>
          <w:szCs w:val="20"/>
        </w:rPr>
        <w:t xml:space="preserve"> </w:t>
      </w:r>
      <w:r>
        <w:rPr>
          <w:i/>
          <w:iCs/>
          <w:color w:val="57585A"/>
          <w:spacing w:val="-7"/>
          <w:w w:val="96"/>
          <w:sz w:val="20"/>
          <w:szCs w:val="20"/>
        </w:rPr>
        <w:t>is</w:t>
      </w:r>
      <w:r>
        <w:rPr>
          <w:i/>
          <w:iCs/>
          <w:color w:val="57585A"/>
          <w:spacing w:val="-15"/>
          <w:sz w:val="20"/>
          <w:szCs w:val="20"/>
        </w:rPr>
        <w:t xml:space="preserve"> </w:t>
      </w:r>
      <w:r>
        <w:rPr>
          <w:i/>
          <w:iCs/>
          <w:color w:val="57585A"/>
          <w:spacing w:val="-7"/>
          <w:w w:val="96"/>
          <w:sz w:val="20"/>
          <w:szCs w:val="20"/>
        </w:rPr>
        <w:t>slow</w:t>
      </w:r>
      <w:r>
        <w:rPr>
          <w:i/>
          <w:iCs/>
          <w:color w:val="57585A"/>
          <w:spacing w:val="-23"/>
          <w:sz w:val="20"/>
          <w:szCs w:val="20"/>
        </w:rPr>
        <w:t xml:space="preserve"> </w:t>
      </w:r>
      <w:r>
        <w:rPr>
          <w:i/>
          <w:iCs/>
          <w:color w:val="57585A"/>
          <w:spacing w:val="-7"/>
          <w:w w:val="96"/>
          <w:sz w:val="20"/>
          <w:szCs w:val="20"/>
        </w:rPr>
        <w:t>and</w:t>
      </w:r>
      <w:r>
        <w:rPr>
          <w:i/>
          <w:iCs/>
          <w:color w:val="57585A"/>
          <w:sz w:val="20"/>
          <w:szCs w:val="20"/>
        </w:rPr>
        <w:t xml:space="preserve"> </w:t>
      </w:r>
      <w:r>
        <w:rPr>
          <w:i/>
          <w:iCs/>
          <w:color w:val="57585A"/>
          <w:spacing w:val="-7"/>
          <w:w w:val="95"/>
          <w:sz w:val="20"/>
          <w:szCs w:val="20"/>
        </w:rPr>
        <w:t>faces</w:t>
      </w:r>
      <w:r>
        <w:rPr>
          <w:i/>
          <w:iCs/>
          <w:color w:val="57585A"/>
          <w:spacing w:val="-13"/>
          <w:sz w:val="20"/>
          <w:szCs w:val="20"/>
        </w:rPr>
        <w:t xml:space="preserve"> </w:t>
      </w:r>
      <w:r>
        <w:rPr>
          <w:i/>
          <w:iCs/>
          <w:color w:val="57585A"/>
          <w:spacing w:val="-7"/>
          <w:w w:val="95"/>
          <w:sz w:val="20"/>
          <w:szCs w:val="20"/>
        </w:rPr>
        <w:t>many</w:t>
      </w:r>
      <w:r>
        <w:rPr>
          <w:i/>
          <w:iCs/>
          <w:color w:val="57585A"/>
          <w:spacing w:val="-18"/>
          <w:sz w:val="20"/>
          <w:szCs w:val="20"/>
        </w:rPr>
        <w:t xml:space="preserve"> </w:t>
      </w:r>
      <w:r>
        <w:rPr>
          <w:i/>
          <w:iCs/>
          <w:color w:val="57585A"/>
          <w:spacing w:val="-7"/>
          <w:w w:val="95"/>
          <w:sz w:val="20"/>
          <w:szCs w:val="20"/>
        </w:rPr>
        <w:t>challenges</w:t>
      </w:r>
      <w:r>
        <w:rPr>
          <w:i/>
          <w:iCs/>
          <w:color w:val="57585A"/>
          <w:spacing w:val="-13"/>
          <w:sz w:val="20"/>
          <w:szCs w:val="20"/>
        </w:rPr>
        <w:t xml:space="preserve"> </w:t>
      </w:r>
      <w:r>
        <w:rPr>
          <w:i/>
          <w:iCs/>
          <w:color w:val="57585A"/>
          <w:spacing w:val="-7"/>
          <w:w w:val="95"/>
          <w:sz w:val="20"/>
          <w:szCs w:val="20"/>
        </w:rPr>
        <w:t>a</w:t>
      </w:r>
      <w:r>
        <w:rPr>
          <w:i/>
          <w:iCs/>
          <w:color w:val="57585A"/>
          <w:spacing w:val="-8"/>
          <w:w w:val="95"/>
          <w:sz w:val="20"/>
          <w:szCs w:val="20"/>
        </w:rPr>
        <w:t>cross the region.</w:t>
      </w:r>
    </w:p>
    <w:p w14:paraId="7EE4D435">
      <w:pPr>
        <w:pStyle w:val="4"/>
        <w:spacing w:line="295" w:lineRule="auto"/>
      </w:pPr>
    </w:p>
    <w:p w14:paraId="766B3069">
      <w:pPr>
        <w:pStyle w:val="4"/>
        <w:spacing w:line="295" w:lineRule="auto"/>
      </w:pPr>
    </w:p>
    <w:p w14:paraId="286F312C">
      <w:pPr>
        <w:pStyle w:val="4"/>
        <w:spacing w:before="69" w:line="302" w:lineRule="exact"/>
        <w:ind w:left="4119"/>
        <w:rPr>
          <w:sz w:val="24"/>
          <w:szCs w:val="24"/>
        </w:rPr>
      </w:pPr>
      <w:r>
        <w:rPr>
          <w:color w:val="174174"/>
          <w:spacing w:val="-12"/>
          <w:position w:val="1"/>
          <w:sz w:val="24"/>
          <w:szCs w:val="24"/>
        </w:rPr>
        <w:t>Brazil</w:t>
      </w:r>
      <w:r>
        <w:rPr>
          <w:color w:val="174174"/>
          <w:spacing w:val="-2"/>
          <w:position w:val="1"/>
          <w:sz w:val="24"/>
          <w:szCs w:val="24"/>
        </w:rPr>
        <w:t xml:space="preserve"> </w:t>
      </w:r>
      <w:r>
        <w:rPr>
          <w:color w:val="174174"/>
          <w:spacing w:val="-12"/>
          <w:position w:val="1"/>
          <w:sz w:val="24"/>
          <w:szCs w:val="24"/>
        </w:rPr>
        <w:t>And Mexico Dominate</w:t>
      </w:r>
    </w:p>
    <w:p w14:paraId="53E9704C">
      <w:pPr>
        <w:pStyle w:val="4"/>
        <w:spacing w:line="233" w:lineRule="auto"/>
        <w:ind w:left="3420"/>
        <w:rPr>
          <w:sz w:val="20"/>
          <w:szCs w:val="20"/>
        </w:rPr>
      </w:pPr>
      <w:r>
        <w:rPr>
          <w:color w:val="333333"/>
          <w:spacing w:val="-10"/>
          <w:sz w:val="20"/>
          <w:szCs w:val="20"/>
        </w:rPr>
        <w:t>LatinAmerica - Downstr</w:t>
      </w:r>
      <w:r>
        <w:rPr>
          <w:color w:val="333333"/>
          <w:spacing w:val="-11"/>
          <w:sz w:val="20"/>
          <w:szCs w:val="20"/>
        </w:rPr>
        <w:t>eam LatinAmerica Heat Map</w:t>
      </w:r>
    </w:p>
    <w:p w14:paraId="08C4D02A">
      <w:pPr>
        <w:spacing w:before="94" w:line="7500" w:lineRule="exact"/>
        <w:ind w:firstLine="2544"/>
      </w:pPr>
      <w:r>
        <w:rPr>
          <w:position w:val="-150"/>
        </w:rPr>
        <w:drawing>
          <wp:inline distT="0" distB="0" distL="0" distR="0">
            <wp:extent cx="3705225" cy="476250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37"/>
                    <a:stretch>
                      <a:fillRect/>
                    </a:stretch>
                  </pic:blipFill>
                  <pic:spPr>
                    <a:xfrm>
                      <a:off x="0" y="0"/>
                      <a:ext cx="3705225" cy="4762500"/>
                    </a:xfrm>
                    <a:prstGeom prst="rect">
                      <a:avLst/>
                    </a:prstGeom>
                  </pic:spPr>
                </pic:pic>
              </a:graphicData>
            </a:graphic>
          </wp:inline>
        </w:drawing>
      </w:r>
    </w:p>
    <w:p w14:paraId="1C33CF38">
      <w:pPr>
        <w:pStyle w:val="4"/>
        <w:spacing w:before="149" w:line="177" w:lineRule="exact"/>
        <w:ind w:left="2097"/>
        <w:rPr>
          <w:sz w:val="15"/>
          <w:szCs w:val="15"/>
        </w:rPr>
      </w:pPr>
      <w:r>
        <w:drawing>
          <wp:anchor distT="0" distB="0" distL="0" distR="0" simplePos="0" relativeHeight="251877376" behindDoc="1" locked="0" layoutInCell="1" allowOverlap="1">
            <wp:simplePos x="0" y="0"/>
            <wp:positionH relativeFrom="column">
              <wp:posOffset>1323975</wp:posOffset>
            </wp:positionH>
            <wp:positionV relativeFrom="paragraph">
              <wp:posOffset>87630</wp:posOffset>
            </wp:positionV>
            <wp:extent cx="4288790" cy="9525"/>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38"/>
                    <a:stretch>
                      <a:fillRect/>
                    </a:stretch>
                  </pic:blipFill>
                  <pic:spPr>
                    <a:xfrm>
                      <a:off x="0" y="0"/>
                      <a:ext cx="4288726" cy="9525"/>
                    </a:xfrm>
                    <a:prstGeom prst="rect">
                      <a:avLst/>
                    </a:prstGeom>
                  </pic:spPr>
                </pic:pic>
              </a:graphicData>
            </a:graphic>
          </wp:anchor>
        </w:drawing>
      </w:r>
      <w:r>
        <w:rPr>
          <w:i/>
          <w:iCs/>
          <w:color w:val="333333"/>
          <w:spacing w:val="-5"/>
          <w:w w:val="94"/>
          <w:position w:val="1"/>
          <w:sz w:val="15"/>
          <w:szCs w:val="15"/>
        </w:rPr>
        <w:t>Note: Scores out</w:t>
      </w:r>
      <w:r>
        <w:rPr>
          <w:i/>
          <w:iCs/>
          <w:color w:val="333333"/>
          <w:spacing w:val="-10"/>
          <w:position w:val="1"/>
          <w:sz w:val="15"/>
          <w:szCs w:val="15"/>
        </w:rPr>
        <w:t xml:space="preserve"> </w:t>
      </w:r>
      <w:r>
        <w:rPr>
          <w:i/>
          <w:iCs/>
          <w:color w:val="333333"/>
          <w:spacing w:val="-5"/>
          <w:w w:val="94"/>
          <w:position w:val="1"/>
          <w:sz w:val="15"/>
          <w:szCs w:val="15"/>
        </w:rPr>
        <w:t>of</w:t>
      </w:r>
      <w:r>
        <w:rPr>
          <w:i/>
          <w:iCs/>
          <w:color w:val="333333"/>
          <w:spacing w:val="-11"/>
          <w:position w:val="1"/>
          <w:sz w:val="15"/>
          <w:szCs w:val="15"/>
        </w:rPr>
        <w:t xml:space="preserve"> </w:t>
      </w:r>
      <w:r>
        <w:rPr>
          <w:i/>
          <w:iCs/>
          <w:color w:val="333333"/>
          <w:spacing w:val="-5"/>
          <w:w w:val="94"/>
          <w:position w:val="1"/>
          <w:sz w:val="15"/>
          <w:szCs w:val="15"/>
        </w:rPr>
        <w:t>100;</w:t>
      </w:r>
      <w:r>
        <w:rPr>
          <w:i/>
          <w:iCs/>
          <w:color w:val="333333"/>
          <w:spacing w:val="-8"/>
          <w:position w:val="1"/>
          <w:sz w:val="15"/>
          <w:szCs w:val="15"/>
        </w:rPr>
        <w:t xml:space="preserve"> </w:t>
      </w:r>
      <w:r>
        <w:rPr>
          <w:i/>
          <w:iCs/>
          <w:color w:val="333333"/>
          <w:spacing w:val="-5"/>
          <w:w w:val="94"/>
          <w:position w:val="1"/>
          <w:sz w:val="15"/>
          <w:szCs w:val="15"/>
        </w:rPr>
        <w:t>lower</w:t>
      </w:r>
      <w:r>
        <w:rPr>
          <w:i/>
          <w:iCs/>
          <w:color w:val="333333"/>
          <w:spacing w:val="-19"/>
          <w:position w:val="1"/>
          <w:sz w:val="15"/>
          <w:szCs w:val="15"/>
        </w:rPr>
        <w:t xml:space="preserve"> </w:t>
      </w:r>
      <w:r>
        <w:rPr>
          <w:i/>
          <w:iCs/>
          <w:color w:val="333333"/>
          <w:spacing w:val="-5"/>
          <w:w w:val="94"/>
          <w:position w:val="1"/>
          <w:sz w:val="15"/>
          <w:szCs w:val="15"/>
        </w:rPr>
        <w:t>score = more attractive mark</w:t>
      </w:r>
      <w:r>
        <w:rPr>
          <w:i/>
          <w:iCs/>
          <w:color w:val="333333"/>
          <w:spacing w:val="-6"/>
          <w:w w:val="94"/>
          <w:position w:val="1"/>
          <w:sz w:val="15"/>
          <w:szCs w:val="15"/>
        </w:rPr>
        <w:t>et. Source: BMI Downstream</w:t>
      </w:r>
      <w:r>
        <w:rPr>
          <w:i/>
          <w:iCs/>
          <w:color w:val="333333"/>
          <w:spacing w:val="4"/>
          <w:position w:val="1"/>
          <w:sz w:val="15"/>
          <w:szCs w:val="15"/>
        </w:rPr>
        <w:t xml:space="preserve"> </w:t>
      </w:r>
      <w:r>
        <w:rPr>
          <w:i/>
          <w:iCs/>
          <w:color w:val="333333"/>
          <w:spacing w:val="-6"/>
          <w:w w:val="94"/>
          <w:position w:val="1"/>
          <w:sz w:val="15"/>
          <w:szCs w:val="15"/>
        </w:rPr>
        <w:t>Oil</w:t>
      </w:r>
      <w:r>
        <w:rPr>
          <w:i/>
          <w:iCs/>
          <w:color w:val="333333"/>
          <w:spacing w:val="-12"/>
          <w:position w:val="1"/>
          <w:sz w:val="15"/>
          <w:szCs w:val="15"/>
        </w:rPr>
        <w:t xml:space="preserve"> </w:t>
      </w:r>
      <w:r>
        <w:rPr>
          <w:i/>
          <w:iCs/>
          <w:color w:val="333333"/>
          <w:spacing w:val="-6"/>
          <w:w w:val="94"/>
          <w:position w:val="1"/>
          <w:sz w:val="15"/>
          <w:szCs w:val="15"/>
        </w:rPr>
        <w:t>&amp; Gas Risk/Reward</w:t>
      </w:r>
      <w:r>
        <w:rPr>
          <w:i/>
          <w:iCs/>
          <w:color w:val="333333"/>
          <w:spacing w:val="-11"/>
          <w:position w:val="1"/>
          <w:sz w:val="15"/>
          <w:szCs w:val="15"/>
        </w:rPr>
        <w:t xml:space="preserve"> </w:t>
      </w:r>
      <w:r>
        <w:rPr>
          <w:i/>
          <w:iCs/>
          <w:color w:val="333333"/>
          <w:spacing w:val="-6"/>
          <w:w w:val="94"/>
          <w:position w:val="1"/>
          <w:sz w:val="15"/>
          <w:szCs w:val="15"/>
        </w:rPr>
        <w:t>Index</w:t>
      </w:r>
    </w:p>
    <w:p w14:paraId="5BA654A3">
      <w:pPr>
        <w:spacing w:line="177" w:lineRule="exact"/>
        <w:rPr>
          <w:sz w:val="15"/>
          <w:szCs w:val="15"/>
        </w:rPr>
        <w:sectPr>
          <w:footerReference r:id="rId56" w:type="default"/>
          <w:pgSz w:w="11906" w:h="16838"/>
          <w:pgMar w:top="400" w:right="490" w:bottom="883" w:left="490" w:header="0" w:footer="0" w:gutter="0"/>
          <w:cols w:space="720" w:num="1"/>
        </w:sectPr>
      </w:pPr>
    </w:p>
    <w:p w14:paraId="56B63735">
      <w:pPr>
        <w:pStyle w:val="4"/>
        <w:spacing w:before="73" w:line="241" w:lineRule="auto"/>
        <w:ind w:left="7372"/>
        <w:rPr>
          <w:sz w:val="20"/>
          <w:szCs w:val="20"/>
        </w:rPr>
      </w:pPr>
      <w:r>
        <w:drawing>
          <wp:anchor distT="0" distB="0" distL="0" distR="0" simplePos="0" relativeHeight="25188044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81472" behindDoc="0" locked="0" layoutInCell="0" allowOverlap="1">
            <wp:simplePos x="0" y="0"/>
            <wp:positionH relativeFrom="page">
              <wp:posOffset>311150</wp:posOffset>
            </wp:positionH>
            <wp:positionV relativeFrom="page">
              <wp:posOffset>0</wp:posOffset>
            </wp:positionV>
            <wp:extent cx="19050" cy="814070"/>
            <wp:effectExtent l="0" t="0" r="0" b="0"/>
            <wp:wrapNone/>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62AAD38">
      <w:pPr>
        <w:pStyle w:val="4"/>
        <w:spacing w:line="278" w:lineRule="auto"/>
      </w:pPr>
    </w:p>
    <w:p w14:paraId="4C4895E8">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445611C">
      <w:pPr>
        <w:pStyle w:val="4"/>
        <w:spacing w:line="251" w:lineRule="auto"/>
      </w:pPr>
    </w:p>
    <w:p w14:paraId="6C3BB8A4">
      <w:pPr>
        <w:pStyle w:val="4"/>
        <w:spacing w:line="251" w:lineRule="auto"/>
      </w:pPr>
    </w:p>
    <w:p w14:paraId="17F61FC7">
      <w:pPr>
        <w:pStyle w:val="4"/>
        <w:spacing w:line="251" w:lineRule="auto"/>
      </w:pPr>
    </w:p>
    <w:p w14:paraId="62CB48DD">
      <w:pPr>
        <w:pStyle w:val="4"/>
        <w:spacing w:before="58" w:line="241" w:lineRule="auto"/>
        <w:ind w:left="375"/>
        <w:rPr>
          <w:sz w:val="20"/>
          <w:szCs w:val="20"/>
        </w:rPr>
      </w:pPr>
      <w:r>
        <w:rPr>
          <w:b/>
          <w:bCs/>
          <w:color w:val="57585A"/>
          <w:spacing w:val="-9"/>
          <w:sz w:val="20"/>
          <w:szCs w:val="20"/>
        </w:rPr>
        <w:t>Main Regional Features &amp; Latest Updates</w:t>
      </w:r>
    </w:p>
    <w:p w14:paraId="00549008">
      <w:pPr>
        <w:pStyle w:val="4"/>
        <w:spacing w:line="280" w:lineRule="auto"/>
      </w:pPr>
    </w:p>
    <w:p w14:paraId="74E17179">
      <w:pPr>
        <w:pStyle w:val="4"/>
        <w:spacing w:before="57" w:line="262" w:lineRule="auto"/>
        <w:ind w:left="618" w:right="503" w:hanging="261"/>
        <w:rPr>
          <w:sz w:val="20"/>
          <w:szCs w:val="20"/>
        </w:rPr>
      </w:pPr>
      <w:r>
        <w:rPr>
          <w:color w:val="33CCFF"/>
          <w:spacing w:val="-12"/>
          <w:sz w:val="20"/>
          <w:szCs w:val="20"/>
        </w:rPr>
        <w:t xml:space="preserve">•   </w:t>
      </w:r>
      <w:r>
        <w:rPr>
          <w:color w:val="57585A"/>
          <w:spacing w:val="-12"/>
          <w:sz w:val="20"/>
          <w:szCs w:val="20"/>
        </w:rPr>
        <w:t>Latin</w:t>
      </w:r>
      <w:r>
        <w:rPr>
          <w:color w:val="57585A"/>
          <w:spacing w:val="-1"/>
          <w:sz w:val="20"/>
          <w:szCs w:val="20"/>
        </w:rPr>
        <w:t xml:space="preserve"> </w:t>
      </w:r>
      <w:r>
        <w:rPr>
          <w:color w:val="57585A"/>
          <w:spacing w:val="-12"/>
          <w:sz w:val="20"/>
          <w:szCs w:val="20"/>
        </w:rPr>
        <w:t>America's downstream sector continues to be an underperformer in our global</w:t>
      </w:r>
      <w:r>
        <w:rPr>
          <w:color w:val="57585A"/>
          <w:spacing w:val="1"/>
          <w:sz w:val="20"/>
          <w:szCs w:val="20"/>
        </w:rPr>
        <w:t xml:space="preserve"> </w:t>
      </w:r>
      <w:r>
        <w:rPr>
          <w:color w:val="57585A"/>
          <w:spacing w:val="-12"/>
          <w:sz w:val="20"/>
          <w:szCs w:val="20"/>
        </w:rPr>
        <w:t>Downstream</w:t>
      </w:r>
      <w:r>
        <w:rPr>
          <w:color w:val="57585A"/>
          <w:sz w:val="20"/>
          <w:szCs w:val="20"/>
        </w:rPr>
        <w:t xml:space="preserve"> </w:t>
      </w:r>
      <w:r>
        <w:rPr>
          <w:color w:val="57585A"/>
          <w:spacing w:val="-12"/>
          <w:sz w:val="20"/>
          <w:szCs w:val="20"/>
        </w:rPr>
        <w:t>Risk/Reward</w:t>
      </w:r>
      <w:r>
        <w:rPr>
          <w:color w:val="57585A"/>
          <w:spacing w:val="1"/>
          <w:sz w:val="20"/>
          <w:szCs w:val="20"/>
        </w:rPr>
        <w:t xml:space="preserve"> </w:t>
      </w:r>
      <w:r>
        <w:rPr>
          <w:color w:val="57585A"/>
          <w:spacing w:val="-12"/>
          <w:sz w:val="20"/>
          <w:szCs w:val="20"/>
        </w:rPr>
        <w:t>Index (RRI). The</w:t>
      </w:r>
      <w:r>
        <w:rPr>
          <w:color w:val="57585A"/>
          <w:sz w:val="20"/>
          <w:szCs w:val="20"/>
        </w:rPr>
        <w:t xml:space="preserve"> </w:t>
      </w:r>
      <w:r>
        <w:rPr>
          <w:color w:val="57585A"/>
          <w:spacing w:val="-12"/>
          <w:sz w:val="20"/>
          <w:szCs w:val="20"/>
        </w:rPr>
        <w:t>regional score is now 53.6, slightly above the global average o</w:t>
      </w:r>
      <w:r>
        <w:rPr>
          <w:color w:val="57585A"/>
          <w:spacing w:val="-13"/>
          <w:sz w:val="20"/>
          <w:szCs w:val="20"/>
        </w:rPr>
        <w:t>f 50.0.</w:t>
      </w:r>
    </w:p>
    <w:p w14:paraId="13C4F6CF">
      <w:pPr>
        <w:pStyle w:val="4"/>
        <w:spacing w:before="57" w:line="262" w:lineRule="auto"/>
        <w:ind w:left="607" w:right="385" w:hanging="250"/>
        <w:rPr>
          <w:sz w:val="20"/>
          <w:szCs w:val="20"/>
        </w:rPr>
      </w:pPr>
      <w:r>
        <w:rPr>
          <w:color w:val="33CCFF"/>
          <w:spacing w:val="-11"/>
          <w:sz w:val="20"/>
          <w:szCs w:val="20"/>
        </w:rPr>
        <w:t xml:space="preserve">•   </w:t>
      </w:r>
      <w:r>
        <w:rPr>
          <w:color w:val="57585A"/>
          <w:spacing w:val="-11"/>
          <w:sz w:val="20"/>
          <w:szCs w:val="20"/>
        </w:rPr>
        <w:t>Latin</w:t>
      </w:r>
      <w:r>
        <w:rPr>
          <w:color w:val="57585A"/>
          <w:spacing w:val="-16"/>
          <w:sz w:val="20"/>
          <w:szCs w:val="20"/>
        </w:rPr>
        <w:t xml:space="preserve"> </w:t>
      </w:r>
      <w:r>
        <w:rPr>
          <w:color w:val="57585A"/>
          <w:spacing w:val="-11"/>
          <w:sz w:val="20"/>
          <w:szCs w:val="20"/>
        </w:rPr>
        <w:t>America continues to underperform in</w:t>
      </w:r>
      <w:r>
        <w:rPr>
          <w:color w:val="57585A"/>
          <w:spacing w:val="-15"/>
          <w:sz w:val="20"/>
          <w:szCs w:val="20"/>
        </w:rPr>
        <w:t xml:space="preserve"> </w:t>
      </w:r>
      <w:r>
        <w:rPr>
          <w:color w:val="57585A"/>
          <w:spacing w:val="-11"/>
          <w:sz w:val="20"/>
          <w:szCs w:val="20"/>
        </w:rPr>
        <w:t xml:space="preserve">various categories. The </w:t>
      </w:r>
      <w:r>
        <w:rPr>
          <w:color w:val="57585A"/>
          <w:spacing w:val="-12"/>
          <w:sz w:val="20"/>
          <w:szCs w:val="20"/>
        </w:rPr>
        <w:t>regional average for Industry Rewards</w:t>
      </w:r>
      <w:r>
        <w:rPr>
          <w:color w:val="57585A"/>
          <w:spacing w:val="-4"/>
          <w:sz w:val="20"/>
          <w:szCs w:val="20"/>
        </w:rPr>
        <w:t xml:space="preserve"> </w:t>
      </w:r>
      <w:r>
        <w:rPr>
          <w:color w:val="57585A"/>
          <w:spacing w:val="-12"/>
          <w:sz w:val="20"/>
          <w:szCs w:val="20"/>
        </w:rPr>
        <w:t>is 52.4,</w:t>
      </w:r>
      <w:r>
        <w:rPr>
          <w:color w:val="57585A"/>
          <w:spacing w:val="-16"/>
          <w:sz w:val="20"/>
          <w:szCs w:val="20"/>
        </w:rPr>
        <w:t xml:space="preserve"> </w:t>
      </w:r>
      <w:r>
        <w:rPr>
          <w:color w:val="57585A"/>
          <w:spacing w:val="-12"/>
          <w:sz w:val="20"/>
          <w:szCs w:val="20"/>
        </w:rPr>
        <w:t>which</w:t>
      </w:r>
      <w:r>
        <w:rPr>
          <w:color w:val="57585A"/>
          <w:spacing w:val="-2"/>
          <w:sz w:val="20"/>
          <w:szCs w:val="20"/>
        </w:rPr>
        <w:t xml:space="preserve"> </w:t>
      </w:r>
      <w:r>
        <w:rPr>
          <w:color w:val="57585A"/>
          <w:spacing w:val="-12"/>
          <w:sz w:val="20"/>
          <w:szCs w:val="20"/>
        </w:rPr>
        <w:t>remains</w:t>
      </w:r>
      <w:r>
        <w:rPr>
          <w:color w:val="57585A"/>
          <w:sz w:val="20"/>
          <w:szCs w:val="20"/>
        </w:rPr>
        <w:t xml:space="preserve"> </w:t>
      </w:r>
      <w:r>
        <w:rPr>
          <w:color w:val="57585A"/>
          <w:spacing w:val="-10"/>
          <w:sz w:val="20"/>
          <w:szCs w:val="20"/>
        </w:rPr>
        <w:t>the best performance across all categories. The rel</w:t>
      </w:r>
      <w:r>
        <w:rPr>
          <w:color w:val="57585A"/>
          <w:spacing w:val="-11"/>
          <w:sz w:val="20"/>
          <w:szCs w:val="20"/>
        </w:rPr>
        <w:t>atively high level of</w:t>
      </w:r>
      <w:r>
        <w:rPr>
          <w:color w:val="57585A"/>
          <w:spacing w:val="-21"/>
          <w:sz w:val="20"/>
          <w:szCs w:val="20"/>
        </w:rPr>
        <w:t xml:space="preserve"> </w:t>
      </w:r>
      <w:r>
        <w:rPr>
          <w:color w:val="57585A"/>
          <w:spacing w:val="-11"/>
          <w:sz w:val="20"/>
          <w:szCs w:val="20"/>
        </w:rPr>
        <w:t>theoretical net crude oil exports, significant refining</w:t>
      </w:r>
    </w:p>
    <w:p w14:paraId="3EECB1EC">
      <w:pPr>
        <w:pStyle w:val="4"/>
        <w:spacing w:before="59" w:line="231" w:lineRule="auto"/>
        <w:ind w:left="614"/>
        <w:rPr>
          <w:sz w:val="20"/>
          <w:szCs w:val="20"/>
        </w:rPr>
      </w:pPr>
      <w:r>
        <w:rPr>
          <w:color w:val="57585A"/>
          <w:spacing w:val="-10"/>
          <w:sz w:val="20"/>
          <w:szCs w:val="20"/>
        </w:rPr>
        <w:t>capacity base, and rela</w:t>
      </w:r>
      <w:r>
        <w:rPr>
          <w:color w:val="57585A"/>
          <w:spacing w:val="-11"/>
          <w:sz w:val="20"/>
          <w:szCs w:val="20"/>
        </w:rPr>
        <w:t>tively bullish outlook on domestic fuel demand support the performance of</w:t>
      </w:r>
      <w:r>
        <w:rPr>
          <w:color w:val="57585A"/>
          <w:spacing w:val="-21"/>
          <w:sz w:val="20"/>
          <w:szCs w:val="20"/>
        </w:rPr>
        <w:t xml:space="preserve"> </w:t>
      </w:r>
      <w:r>
        <w:rPr>
          <w:color w:val="57585A"/>
          <w:spacing w:val="-11"/>
          <w:sz w:val="20"/>
          <w:szCs w:val="20"/>
        </w:rPr>
        <w:t>the Industry Rewards.</w:t>
      </w:r>
    </w:p>
    <w:p w14:paraId="10495A53">
      <w:pPr>
        <w:pStyle w:val="4"/>
        <w:spacing w:before="58" w:line="272" w:lineRule="auto"/>
        <w:ind w:left="613" w:right="377" w:hanging="256"/>
        <w:rPr>
          <w:sz w:val="20"/>
          <w:szCs w:val="20"/>
        </w:rPr>
      </w:pPr>
      <w:r>
        <w:rPr>
          <w:color w:val="33CCFF"/>
          <w:spacing w:val="-12"/>
          <w:sz w:val="20"/>
          <w:szCs w:val="20"/>
        </w:rPr>
        <w:t xml:space="preserve">•   </w:t>
      </w:r>
      <w:r>
        <w:rPr>
          <w:color w:val="57585A"/>
          <w:spacing w:val="-12"/>
          <w:sz w:val="20"/>
          <w:szCs w:val="20"/>
        </w:rPr>
        <w:t>The region scores 53.7 in Country Rewards,</w:t>
      </w:r>
      <w:r>
        <w:rPr>
          <w:color w:val="57585A"/>
          <w:spacing w:val="-16"/>
          <w:sz w:val="20"/>
          <w:szCs w:val="20"/>
        </w:rPr>
        <w:t xml:space="preserve"> </w:t>
      </w:r>
      <w:r>
        <w:rPr>
          <w:color w:val="57585A"/>
          <w:spacing w:val="-12"/>
          <w:sz w:val="20"/>
          <w:szCs w:val="20"/>
        </w:rPr>
        <w:t>where State</w:t>
      </w:r>
      <w:r>
        <w:rPr>
          <w:color w:val="57585A"/>
          <w:spacing w:val="-15"/>
          <w:sz w:val="20"/>
          <w:szCs w:val="20"/>
        </w:rPr>
        <w:t xml:space="preserve"> </w:t>
      </w:r>
      <w:r>
        <w:rPr>
          <w:color w:val="57585A"/>
          <w:spacing w:val="-12"/>
          <w:sz w:val="20"/>
          <w:szCs w:val="20"/>
        </w:rPr>
        <w:t>Asset Ownership continues to impact attractiveness negative</w:t>
      </w:r>
      <w:r>
        <w:rPr>
          <w:color w:val="57585A"/>
          <w:spacing w:val="-13"/>
          <w:sz w:val="20"/>
          <w:szCs w:val="20"/>
        </w:rPr>
        <w:t>ly.</w:t>
      </w:r>
      <w:r>
        <w:rPr>
          <w:color w:val="57585A"/>
          <w:sz w:val="20"/>
          <w:szCs w:val="20"/>
        </w:rPr>
        <w:t xml:space="preserve"> </w:t>
      </w:r>
      <w:r>
        <w:rPr>
          <w:color w:val="57585A"/>
          <w:spacing w:val="-13"/>
          <w:sz w:val="20"/>
          <w:szCs w:val="20"/>
        </w:rPr>
        <w:t>Reliance</w:t>
      </w:r>
      <w:r>
        <w:rPr>
          <w:color w:val="57585A"/>
          <w:sz w:val="20"/>
          <w:szCs w:val="20"/>
        </w:rPr>
        <w:t xml:space="preserve"> </w:t>
      </w:r>
      <w:r>
        <w:rPr>
          <w:color w:val="57585A"/>
          <w:spacing w:val="-11"/>
          <w:sz w:val="20"/>
          <w:szCs w:val="20"/>
        </w:rPr>
        <w:t>on fuel subsidies, coupled</w:t>
      </w:r>
      <w:r>
        <w:rPr>
          <w:color w:val="57585A"/>
          <w:spacing w:val="-16"/>
          <w:sz w:val="20"/>
          <w:szCs w:val="20"/>
        </w:rPr>
        <w:t xml:space="preserve"> </w:t>
      </w:r>
      <w:r>
        <w:rPr>
          <w:color w:val="57585A"/>
          <w:spacing w:val="-11"/>
          <w:sz w:val="20"/>
          <w:szCs w:val="20"/>
        </w:rPr>
        <w:t xml:space="preserve">with heightened logistical risk, affects the </w:t>
      </w:r>
      <w:r>
        <w:rPr>
          <w:color w:val="57585A"/>
          <w:spacing w:val="-12"/>
          <w:sz w:val="20"/>
          <w:szCs w:val="20"/>
        </w:rPr>
        <w:t>Industry Risk score,</w:t>
      </w:r>
      <w:r>
        <w:rPr>
          <w:color w:val="57585A"/>
          <w:spacing w:val="-16"/>
          <w:sz w:val="20"/>
          <w:szCs w:val="20"/>
        </w:rPr>
        <w:t xml:space="preserve"> </w:t>
      </w:r>
      <w:r>
        <w:rPr>
          <w:color w:val="57585A"/>
          <w:spacing w:val="-12"/>
          <w:sz w:val="20"/>
          <w:szCs w:val="20"/>
        </w:rPr>
        <w:t>which is now 60.9, marking the region as</w:t>
      </w:r>
      <w:r>
        <w:rPr>
          <w:color w:val="57585A"/>
          <w:sz w:val="20"/>
          <w:szCs w:val="20"/>
        </w:rPr>
        <w:t xml:space="preserve"> </w:t>
      </w:r>
      <w:r>
        <w:rPr>
          <w:color w:val="57585A"/>
          <w:spacing w:val="-11"/>
          <w:sz w:val="20"/>
          <w:szCs w:val="20"/>
        </w:rPr>
        <w:t>relatively unattractive for downstream producers. Latin</w:t>
      </w:r>
      <w:r>
        <w:rPr>
          <w:color w:val="57585A"/>
          <w:spacing w:val="-16"/>
          <w:sz w:val="20"/>
          <w:szCs w:val="20"/>
        </w:rPr>
        <w:t xml:space="preserve"> </w:t>
      </w:r>
      <w:r>
        <w:rPr>
          <w:color w:val="57585A"/>
          <w:spacing w:val="-11"/>
          <w:sz w:val="20"/>
          <w:szCs w:val="20"/>
        </w:rPr>
        <w:t>America scores h</w:t>
      </w:r>
      <w:r>
        <w:rPr>
          <w:color w:val="57585A"/>
          <w:spacing w:val="-12"/>
          <w:sz w:val="20"/>
          <w:szCs w:val="20"/>
        </w:rPr>
        <w:t>ighest in Industry Risks.</w:t>
      </w:r>
    </w:p>
    <w:p w14:paraId="6AD52B42">
      <w:pPr>
        <w:pStyle w:val="4"/>
        <w:spacing w:before="58" w:line="262" w:lineRule="auto"/>
        <w:ind w:left="613" w:right="449" w:hanging="256"/>
        <w:rPr>
          <w:sz w:val="20"/>
          <w:szCs w:val="20"/>
        </w:rPr>
      </w:pPr>
      <w:r>
        <w:rPr>
          <w:color w:val="33CCFF"/>
          <w:spacing w:val="-10"/>
          <w:sz w:val="20"/>
          <w:szCs w:val="20"/>
        </w:rPr>
        <w:t xml:space="preserve">•   </w:t>
      </w:r>
      <w:r>
        <w:rPr>
          <w:color w:val="57585A"/>
          <w:spacing w:val="-10"/>
          <w:sz w:val="20"/>
          <w:szCs w:val="20"/>
        </w:rPr>
        <w:t>The region also underperforms in t</w:t>
      </w:r>
      <w:r>
        <w:rPr>
          <w:color w:val="57585A"/>
          <w:spacing w:val="-11"/>
          <w:sz w:val="20"/>
          <w:szCs w:val="20"/>
        </w:rPr>
        <w:t>erms of Country Risk scores. Despite modest performance in long- and short-term economic</w:t>
      </w:r>
      <w:r>
        <w:rPr>
          <w:color w:val="57585A"/>
          <w:sz w:val="20"/>
          <w:szCs w:val="20"/>
        </w:rPr>
        <w:t xml:space="preserve"> </w:t>
      </w:r>
      <w:r>
        <w:rPr>
          <w:color w:val="57585A"/>
          <w:spacing w:val="-11"/>
          <w:sz w:val="20"/>
          <w:szCs w:val="20"/>
        </w:rPr>
        <w:t>outlooks, elevated political and operational risks</w:t>
      </w:r>
      <w:r>
        <w:rPr>
          <w:color w:val="57585A"/>
          <w:spacing w:val="-16"/>
          <w:sz w:val="20"/>
          <w:szCs w:val="20"/>
        </w:rPr>
        <w:t xml:space="preserve"> </w:t>
      </w:r>
      <w:r>
        <w:rPr>
          <w:color w:val="57585A"/>
          <w:spacing w:val="-11"/>
          <w:sz w:val="20"/>
          <w:szCs w:val="20"/>
        </w:rPr>
        <w:t>weigh on the score in this category. Relatively attractive</w:t>
      </w:r>
      <w:r>
        <w:rPr>
          <w:color w:val="57585A"/>
          <w:spacing w:val="-12"/>
          <w:sz w:val="20"/>
          <w:szCs w:val="20"/>
        </w:rPr>
        <w:t xml:space="preserve"> markets like Brazil</w:t>
      </w:r>
    </w:p>
    <w:p w14:paraId="066D1C9A">
      <w:pPr>
        <w:pStyle w:val="4"/>
        <w:spacing w:before="58" w:line="272" w:lineRule="auto"/>
        <w:ind w:left="608" w:right="486" w:firstLine="5"/>
        <w:rPr>
          <w:sz w:val="20"/>
          <w:szCs w:val="20"/>
        </w:rPr>
      </w:pPr>
      <w:r>
        <w:rPr>
          <w:color w:val="57585A"/>
          <w:spacing w:val="-12"/>
          <w:sz w:val="20"/>
          <w:szCs w:val="20"/>
        </w:rPr>
        <w:t>(regional rank 1, global rank 7) an</w:t>
      </w:r>
      <w:r>
        <w:rPr>
          <w:color w:val="57585A"/>
          <w:spacing w:val="-13"/>
          <w:sz w:val="20"/>
          <w:szCs w:val="20"/>
        </w:rPr>
        <w:t>d Mexico (regional rank 2, global</w:t>
      </w:r>
      <w:r>
        <w:rPr>
          <w:color w:val="57585A"/>
          <w:spacing w:val="-2"/>
          <w:sz w:val="20"/>
          <w:szCs w:val="20"/>
        </w:rPr>
        <w:t xml:space="preserve"> </w:t>
      </w:r>
      <w:r>
        <w:rPr>
          <w:color w:val="57585A"/>
          <w:spacing w:val="-13"/>
          <w:sz w:val="20"/>
          <w:szCs w:val="20"/>
        </w:rPr>
        <w:t>rank</w:t>
      </w:r>
      <w:r>
        <w:rPr>
          <w:color w:val="57585A"/>
          <w:spacing w:val="-4"/>
          <w:sz w:val="20"/>
          <w:szCs w:val="20"/>
        </w:rPr>
        <w:t xml:space="preserve"> </w:t>
      </w:r>
      <w:r>
        <w:rPr>
          <w:color w:val="57585A"/>
          <w:spacing w:val="-13"/>
          <w:sz w:val="20"/>
          <w:szCs w:val="20"/>
        </w:rPr>
        <w:t>23)</w:t>
      </w:r>
      <w:r>
        <w:rPr>
          <w:color w:val="57585A"/>
          <w:spacing w:val="-2"/>
          <w:sz w:val="20"/>
          <w:szCs w:val="20"/>
        </w:rPr>
        <w:t xml:space="preserve"> </w:t>
      </w:r>
      <w:r>
        <w:rPr>
          <w:color w:val="57585A"/>
          <w:spacing w:val="-13"/>
          <w:sz w:val="20"/>
          <w:szCs w:val="20"/>
        </w:rPr>
        <w:t>help</w:t>
      </w:r>
      <w:r>
        <w:rPr>
          <w:color w:val="57585A"/>
          <w:spacing w:val="-2"/>
          <w:sz w:val="20"/>
          <w:szCs w:val="20"/>
        </w:rPr>
        <w:t xml:space="preserve"> </w:t>
      </w:r>
      <w:r>
        <w:rPr>
          <w:color w:val="57585A"/>
          <w:spacing w:val="-13"/>
          <w:sz w:val="20"/>
          <w:szCs w:val="20"/>
        </w:rPr>
        <w:t>balance</w:t>
      </w:r>
      <w:r>
        <w:rPr>
          <w:color w:val="57585A"/>
          <w:spacing w:val="-6"/>
          <w:sz w:val="20"/>
          <w:szCs w:val="20"/>
        </w:rPr>
        <w:t xml:space="preserve"> </w:t>
      </w:r>
      <w:r>
        <w:rPr>
          <w:color w:val="57585A"/>
          <w:spacing w:val="-13"/>
          <w:sz w:val="20"/>
          <w:szCs w:val="20"/>
        </w:rPr>
        <w:t>out smaller,</w:t>
      </w:r>
      <w:r>
        <w:rPr>
          <w:color w:val="57585A"/>
          <w:spacing w:val="-2"/>
          <w:sz w:val="20"/>
          <w:szCs w:val="20"/>
        </w:rPr>
        <w:t xml:space="preserve"> </w:t>
      </w:r>
      <w:r>
        <w:rPr>
          <w:color w:val="57585A"/>
          <w:spacing w:val="-13"/>
          <w:sz w:val="20"/>
          <w:szCs w:val="20"/>
        </w:rPr>
        <w:t>less attractive</w:t>
      </w:r>
      <w:r>
        <w:rPr>
          <w:color w:val="57585A"/>
          <w:spacing w:val="-1"/>
          <w:sz w:val="20"/>
          <w:szCs w:val="20"/>
        </w:rPr>
        <w:t xml:space="preserve"> </w:t>
      </w:r>
      <w:r>
        <w:rPr>
          <w:color w:val="57585A"/>
          <w:spacing w:val="-13"/>
          <w:sz w:val="20"/>
          <w:szCs w:val="20"/>
        </w:rPr>
        <w:t>markets</w:t>
      </w:r>
      <w:r>
        <w:rPr>
          <w:color w:val="57585A"/>
          <w:spacing w:val="-2"/>
          <w:sz w:val="20"/>
          <w:szCs w:val="20"/>
        </w:rPr>
        <w:t xml:space="preserve"> </w:t>
      </w:r>
      <w:r>
        <w:rPr>
          <w:color w:val="57585A"/>
          <w:spacing w:val="-13"/>
          <w:sz w:val="20"/>
          <w:szCs w:val="20"/>
        </w:rPr>
        <w:t>like</w:t>
      </w:r>
      <w:r>
        <w:rPr>
          <w:color w:val="57585A"/>
          <w:sz w:val="20"/>
          <w:szCs w:val="20"/>
        </w:rPr>
        <w:t xml:space="preserve"> </w:t>
      </w:r>
      <w:r>
        <w:rPr>
          <w:color w:val="57585A"/>
          <w:spacing w:val="-12"/>
          <w:sz w:val="20"/>
          <w:szCs w:val="20"/>
        </w:rPr>
        <w:t xml:space="preserve">Guyana (regional rank 11, global rank 91) and Trinidad and Tobago (regional rank 10, global rank 89), which </w:t>
      </w:r>
      <w:r>
        <w:rPr>
          <w:color w:val="57585A"/>
          <w:spacing w:val="-13"/>
          <w:sz w:val="20"/>
          <w:szCs w:val="20"/>
        </w:rPr>
        <w:t>are at the bottom of</w:t>
      </w:r>
      <w:r>
        <w:rPr>
          <w:color w:val="57585A"/>
          <w:sz w:val="20"/>
          <w:szCs w:val="20"/>
        </w:rPr>
        <w:t xml:space="preserve"> </w:t>
      </w:r>
      <w:r>
        <w:rPr>
          <w:color w:val="57585A"/>
          <w:spacing w:val="-9"/>
          <w:sz w:val="20"/>
          <w:szCs w:val="20"/>
        </w:rPr>
        <w:t>the list for</w:t>
      </w:r>
      <w:r>
        <w:rPr>
          <w:color w:val="57585A"/>
          <w:spacing w:val="-11"/>
          <w:sz w:val="20"/>
          <w:szCs w:val="20"/>
        </w:rPr>
        <w:t xml:space="preserve"> </w:t>
      </w:r>
      <w:r>
        <w:rPr>
          <w:color w:val="57585A"/>
          <w:spacing w:val="-9"/>
          <w:sz w:val="20"/>
          <w:szCs w:val="20"/>
        </w:rPr>
        <w:t>this category.</w:t>
      </w:r>
    </w:p>
    <w:p w14:paraId="0F026F6C">
      <w:pPr>
        <w:pStyle w:val="4"/>
        <w:spacing w:line="285" w:lineRule="auto"/>
      </w:pPr>
    </w:p>
    <w:p w14:paraId="3A3337A4">
      <w:pPr>
        <w:pStyle w:val="4"/>
        <w:spacing w:line="285" w:lineRule="auto"/>
      </w:pPr>
    </w:p>
    <w:p w14:paraId="7E827F7E">
      <w:pPr>
        <w:pStyle w:val="4"/>
        <w:spacing w:before="58" w:line="241" w:lineRule="exact"/>
        <w:ind w:left="375"/>
        <w:rPr>
          <w:sz w:val="20"/>
          <w:szCs w:val="20"/>
        </w:rPr>
      </w:pPr>
      <w:r>
        <w:rPr>
          <w:b/>
          <w:bCs/>
          <w:color w:val="57585A"/>
          <w:spacing w:val="-9"/>
          <w:position w:val="2"/>
          <w:sz w:val="20"/>
          <w:szCs w:val="20"/>
        </w:rPr>
        <w:t>Investments In Brazil</w:t>
      </w:r>
      <w:r>
        <w:rPr>
          <w:b/>
          <w:bCs/>
          <w:color w:val="57585A"/>
          <w:spacing w:val="-15"/>
          <w:position w:val="2"/>
          <w:sz w:val="20"/>
          <w:szCs w:val="20"/>
        </w:rPr>
        <w:t xml:space="preserve"> </w:t>
      </w:r>
      <w:r>
        <w:rPr>
          <w:b/>
          <w:bCs/>
          <w:color w:val="57585A"/>
          <w:spacing w:val="-9"/>
          <w:position w:val="2"/>
          <w:sz w:val="20"/>
          <w:szCs w:val="20"/>
        </w:rPr>
        <w:t>And Mexico</w:t>
      </w:r>
      <w:r>
        <w:rPr>
          <w:b/>
          <w:bCs/>
          <w:color w:val="57585A"/>
          <w:spacing w:val="-15"/>
          <w:position w:val="2"/>
          <w:sz w:val="20"/>
          <w:szCs w:val="20"/>
        </w:rPr>
        <w:t xml:space="preserve"> </w:t>
      </w:r>
      <w:r>
        <w:rPr>
          <w:b/>
          <w:bCs/>
          <w:color w:val="57585A"/>
          <w:spacing w:val="-9"/>
          <w:position w:val="2"/>
          <w:sz w:val="20"/>
          <w:szCs w:val="20"/>
        </w:rPr>
        <w:t>Add</w:t>
      </w:r>
      <w:r>
        <w:rPr>
          <w:b/>
          <w:bCs/>
          <w:color w:val="57585A"/>
          <w:spacing w:val="-15"/>
          <w:position w:val="2"/>
          <w:sz w:val="20"/>
          <w:szCs w:val="20"/>
        </w:rPr>
        <w:t xml:space="preserve"> </w:t>
      </w:r>
      <w:r>
        <w:rPr>
          <w:b/>
          <w:bCs/>
          <w:color w:val="57585A"/>
          <w:spacing w:val="-9"/>
          <w:position w:val="2"/>
          <w:sz w:val="20"/>
          <w:szCs w:val="20"/>
        </w:rPr>
        <w:t>To Rewards, Other Markets Fall Behind</w:t>
      </w:r>
    </w:p>
    <w:p w14:paraId="65C2EED7">
      <w:pPr>
        <w:pStyle w:val="4"/>
        <w:spacing w:line="270" w:lineRule="auto"/>
      </w:pPr>
    </w:p>
    <w:p w14:paraId="5782AC3F">
      <w:pPr>
        <w:pStyle w:val="4"/>
        <w:spacing w:before="58" w:line="273" w:lineRule="auto"/>
        <w:ind w:left="376" w:right="665"/>
        <w:rPr>
          <w:sz w:val="20"/>
          <w:szCs w:val="20"/>
        </w:rPr>
      </w:pPr>
      <w:r>
        <w:rPr>
          <w:color w:val="57585A"/>
          <w:spacing w:val="-11"/>
          <w:sz w:val="20"/>
          <w:szCs w:val="20"/>
        </w:rPr>
        <w:t>Brazil and Mexico remain the largest and most attractive downstream markets in the region, accordi</w:t>
      </w:r>
      <w:r>
        <w:rPr>
          <w:color w:val="57585A"/>
          <w:spacing w:val="-12"/>
          <w:sz w:val="20"/>
          <w:szCs w:val="20"/>
        </w:rPr>
        <w:t>ng to our Downstream Risk/</w:t>
      </w:r>
      <w:r>
        <w:rPr>
          <w:color w:val="57585A"/>
          <w:sz w:val="20"/>
          <w:szCs w:val="20"/>
        </w:rPr>
        <w:t xml:space="preserve"> </w:t>
      </w:r>
      <w:r>
        <w:rPr>
          <w:color w:val="57585A"/>
          <w:spacing w:val="-11"/>
          <w:sz w:val="20"/>
          <w:szCs w:val="20"/>
        </w:rPr>
        <w:t>Reward Index. Brazil's efforts to revitalise its downstream sector</w:t>
      </w:r>
      <w:r>
        <w:rPr>
          <w:color w:val="57585A"/>
          <w:spacing w:val="-12"/>
          <w:sz w:val="20"/>
          <w:szCs w:val="20"/>
        </w:rPr>
        <w:t xml:space="preserve"> have been gradually</w:t>
      </w:r>
      <w:r>
        <w:rPr>
          <w:color w:val="57585A"/>
          <w:spacing w:val="-16"/>
          <w:sz w:val="20"/>
          <w:szCs w:val="20"/>
        </w:rPr>
        <w:t xml:space="preserve"> </w:t>
      </w:r>
      <w:r>
        <w:rPr>
          <w:color w:val="57585A"/>
          <w:spacing w:val="-12"/>
          <w:sz w:val="20"/>
          <w:szCs w:val="20"/>
        </w:rPr>
        <w:t>yielding results,</w:t>
      </w:r>
      <w:r>
        <w:rPr>
          <w:color w:val="57585A"/>
          <w:spacing w:val="-15"/>
          <w:sz w:val="20"/>
          <w:szCs w:val="20"/>
        </w:rPr>
        <w:t xml:space="preserve"> </w:t>
      </w:r>
      <w:r>
        <w:rPr>
          <w:color w:val="57585A"/>
          <w:spacing w:val="-12"/>
          <w:sz w:val="20"/>
          <w:szCs w:val="20"/>
        </w:rPr>
        <w:t>with refined</w:t>
      </w:r>
      <w:r>
        <w:rPr>
          <w:color w:val="57585A"/>
          <w:spacing w:val="-2"/>
          <w:sz w:val="20"/>
          <w:szCs w:val="20"/>
        </w:rPr>
        <w:t xml:space="preserve"> </w:t>
      </w:r>
      <w:r>
        <w:rPr>
          <w:color w:val="57585A"/>
          <w:spacing w:val="-12"/>
          <w:sz w:val="20"/>
          <w:szCs w:val="20"/>
        </w:rPr>
        <w:t>production</w:t>
      </w:r>
    </w:p>
    <w:p w14:paraId="4C040950">
      <w:pPr>
        <w:pStyle w:val="4"/>
        <w:spacing w:before="37" w:line="273" w:lineRule="auto"/>
        <w:ind w:left="373" w:right="520"/>
        <w:rPr>
          <w:sz w:val="20"/>
          <w:szCs w:val="20"/>
        </w:rPr>
      </w:pPr>
      <w:r>
        <w:rPr>
          <w:color w:val="57585A"/>
          <w:spacing w:val="-10"/>
          <w:sz w:val="20"/>
          <w:szCs w:val="20"/>
        </w:rPr>
        <w:t>reaching 2.16mn b/d in 2024—a 22% increase</w:t>
      </w:r>
      <w:r>
        <w:rPr>
          <w:color w:val="57585A"/>
          <w:spacing w:val="-11"/>
          <w:sz w:val="20"/>
          <w:szCs w:val="20"/>
        </w:rPr>
        <w:t xml:space="preserve"> from 2018-2019 levels. Brazil is expected to sustain growth in fuel output over the</w:t>
      </w:r>
      <w:r>
        <w:rPr>
          <w:color w:val="57585A"/>
          <w:sz w:val="20"/>
          <w:szCs w:val="20"/>
        </w:rPr>
        <w:t xml:space="preserve"> </w:t>
      </w:r>
      <w:r>
        <w:rPr>
          <w:color w:val="57585A"/>
          <w:spacing w:val="-11"/>
          <w:sz w:val="20"/>
          <w:szCs w:val="20"/>
        </w:rPr>
        <w:t>medium term,</w:t>
      </w:r>
      <w:r>
        <w:rPr>
          <w:color w:val="57585A"/>
          <w:spacing w:val="-16"/>
          <w:sz w:val="20"/>
          <w:szCs w:val="20"/>
        </w:rPr>
        <w:t xml:space="preserve"> </w:t>
      </w:r>
      <w:r>
        <w:rPr>
          <w:color w:val="57585A"/>
          <w:spacing w:val="-11"/>
          <w:sz w:val="20"/>
          <w:szCs w:val="20"/>
        </w:rPr>
        <w:t>with strategic investments from Petrobras and smaller investors, supported by a 91% utilisation rate forecast for</w:t>
      </w:r>
    </w:p>
    <w:p w14:paraId="555B27E9">
      <w:pPr>
        <w:pStyle w:val="4"/>
        <w:spacing w:before="37" w:line="273" w:lineRule="auto"/>
        <w:ind w:left="369" w:right="406" w:firstLine="2"/>
        <w:rPr>
          <w:sz w:val="20"/>
          <w:szCs w:val="20"/>
        </w:rPr>
      </w:pPr>
      <w:r>
        <w:rPr>
          <w:color w:val="57585A"/>
          <w:spacing w:val="-12"/>
          <w:sz w:val="20"/>
          <w:szCs w:val="20"/>
        </w:rPr>
        <w:t>2025. Petrobras's refining capacity expansion plans, including the RNEST expansion</w:t>
      </w:r>
      <w:r>
        <w:rPr>
          <w:color w:val="57585A"/>
          <w:spacing w:val="-13"/>
          <w:sz w:val="20"/>
          <w:szCs w:val="20"/>
        </w:rPr>
        <w:t>, aim to increase capacity to 2.1mn b/d by</w:t>
      </w:r>
      <w:r>
        <w:rPr>
          <w:color w:val="57585A"/>
          <w:spacing w:val="-5"/>
          <w:sz w:val="20"/>
          <w:szCs w:val="20"/>
        </w:rPr>
        <w:t xml:space="preserve"> </w:t>
      </w:r>
      <w:r>
        <w:rPr>
          <w:color w:val="57585A"/>
          <w:spacing w:val="-13"/>
          <w:sz w:val="20"/>
          <w:szCs w:val="20"/>
        </w:rPr>
        <w:t>2029,</w:t>
      </w:r>
      <w:r>
        <w:rPr>
          <w:color w:val="57585A"/>
          <w:sz w:val="20"/>
          <w:szCs w:val="20"/>
        </w:rPr>
        <w:t xml:space="preserve"> </w:t>
      </w:r>
      <w:r>
        <w:rPr>
          <w:color w:val="57585A"/>
          <w:spacing w:val="-10"/>
          <w:sz w:val="20"/>
          <w:szCs w:val="20"/>
        </w:rPr>
        <w:t xml:space="preserve">despite reduced capital expenditure allocations </w:t>
      </w:r>
      <w:r>
        <w:rPr>
          <w:color w:val="57585A"/>
          <w:spacing w:val="-11"/>
          <w:sz w:val="20"/>
          <w:szCs w:val="20"/>
        </w:rPr>
        <w:t>in the latest strategic update.</w:t>
      </w:r>
    </w:p>
    <w:p w14:paraId="12392E20">
      <w:pPr>
        <w:pStyle w:val="4"/>
        <w:spacing w:line="265" w:lineRule="auto"/>
      </w:pPr>
    </w:p>
    <w:p w14:paraId="247FD106">
      <w:pPr>
        <w:pStyle w:val="4"/>
        <w:spacing w:before="58" w:line="231" w:lineRule="auto"/>
        <w:ind w:left="376"/>
        <w:rPr>
          <w:sz w:val="20"/>
          <w:szCs w:val="20"/>
        </w:rPr>
      </w:pPr>
      <w:r>
        <w:rPr>
          <w:color w:val="57585A"/>
          <w:spacing w:val="-11"/>
          <w:sz w:val="20"/>
          <w:szCs w:val="20"/>
        </w:rPr>
        <w:t>Brazil benefits from running larger and complex plants, competing in domestic markets</w:t>
      </w:r>
      <w:r>
        <w:rPr>
          <w:color w:val="57585A"/>
          <w:spacing w:val="-15"/>
          <w:sz w:val="20"/>
          <w:szCs w:val="20"/>
        </w:rPr>
        <w:t xml:space="preserve"> </w:t>
      </w:r>
      <w:r>
        <w:rPr>
          <w:color w:val="57585A"/>
          <w:spacing w:val="-11"/>
          <w:sz w:val="20"/>
          <w:szCs w:val="20"/>
        </w:rPr>
        <w:t>while enjoying access to crude suppl</w:t>
      </w:r>
      <w:r>
        <w:rPr>
          <w:color w:val="57585A"/>
          <w:spacing w:val="-12"/>
          <w:sz w:val="20"/>
          <w:szCs w:val="20"/>
        </w:rPr>
        <w:t>ies.</w:t>
      </w:r>
    </w:p>
    <w:p w14:paraId="01EACC7A">
      <w:pPr>
        <w:pStyle w:val="4"/>
        <w:spacing w:before="60" w:line="279" w:lineRule="auto"/>
        <w:ind w:left="367" w:right="741" w:firstLine="8"/>
        <w:jc w:val="both"/>
        <w:rPr>
          <w:sz w:val="20"/>
          <w:szCs w:val="20"/>
        </w:rPr>
      </w:pPr>
      <w:r>
        <w:rPr>
          <w:color w:val="57585A"/>
          <w:spacing w:val="-11"/>
          <w:sz w:val="20"/>
          <w:szCs w:val="20"/>
        </w:rPr>
        <w:t>Despite a shift in strategy under Lula's administration away from market liberalisation, Petrobras</w:t>
      </w:r>
      <w:r>
        <w:rPr>
          <w:color w:val="57585A"/>
          <w:spacing w:val="-12"/>
          <w:sz w:val="20"/>
          <w:szCs w:val="20"/>
        </w:rPr>
        <w:t xml:space="preserve"> continues to drive downstream</w:t>
      </w:r>
      <w:r>
        <w:rPr>
          <w:color w:val="57585A"/>
          <w:sz w:val="20"/>
          <w:szCs w:val="20"/>
        </w:rPr>
        <w:t xml:space="preserve"> </w:t>
      </w:r>
      <w:r>
        <w:rPr>
          <w:color w:val="57585A"/>
          <w:spacing w:val="-11"/>
          <w:sz w:val="20"/>
          <w:szCs w:val="20"/>
        </w:rPr>
        <w:t>investments, including potential repurchases of previously sold assets li</w:t>
      </w:r>
      <w:r>
        <w:rPr>
          <w:color w:val="57585A"/>
          <w:spacing w:val="-12"/>
          <w:sz w:val="20"/>
          <w:szCs w:val="20"/>
        </w:rPr>
        <w:t>ke the Mataripe refinery, posing upside risks to capacity</w:t>
      </w:r>
      <w:r>
        <w:rPr>
          <w:color w:val="57585A"/>
          <w:sz w:val="20"/>
          <w:szCs w:val="20"/>
        </w:rPr>
        <w:t xml:space="preserve"> </w:t>
      </w:r>
      <w:r>
        <w:rPr>
          <w:color w:val="57585A"/>
          <w:spacing w:val="-8"/>
          <w:sz w:val="20"/>
          <w:szCs w:val="20"/>
        </w:rPr>
        <w:t>growth.</w:t>
      </w:r>
    </w:p>
    <w:p w14:paraId="7086D6C5">
      <w:pPr>
        <w:pStyle w:val="4"/>
        <w:spacing w:line="265" w:lineRule="auto"/>
      </w:pPr>
    </w:p>
    <w:p w14:paraId="1FB8C0CE">
      <w:pPr>
        <w:pStyle w:val="4"/>
        <w:spacing w:before="58" w:line="231" w:lineRule="auto"/>
        <w:ind w:left="376"/>
        <w:rPr>
          <w:sz w:val="20"/>
          <w:szCs w:val="20"/>
        </w:rPr>
      </w:pPr>
      <w:r>
        <w:rPr>
          <w:color w:val="57585A"/>
          <w:spacing w:val="-10"/>
          <w:sz w:val="20"/>
          <w:szCs w:val="20"/>
        </w:rPr>
        <w:t>In Mexico, refined produ</w:t>
      </w:r>
      <w:r>
        <w:rPr>
          <w:color w:val="57585A"/>
          <w:spacing w:val="-11"/>
          <w:sz w:val="20"/>
          <w:szCs w:val="20"/>
        </w:rPr>
        <w:t>cts production is poised for growth, driven by the ramp-up of</w:t>
      </w:r>
      <w:r>
        <w:rPr>
          <w:color w:val="57585A"/>
          <w:spacing w:val="-15"/>
          <w:sz w:val="20"/>
          <w:szCs w:val="20"/>
        </w:rPr>
        <w:t xml:space="preserve"> </w:t>
      </w:r>
      <w:r>
        <w:rPr>
          <w:color w:val="57585A"/>
          <w:spacing w:val="-11"/>
          <w:sz w:val="20"/>
          <w:szCs w:val="20"/>
        </w:rPr>
        <w:t>operations at the Olmeca refinery and</w:t>
      </w:r>
    </w:p>
    <w:p w14:paraId="52B9A325">
      <w:pPr>
        <w:pStyle w:val="4"/>
        <w:spacing w:before="59" w:line="273" w:lineRule="auto"/>
        <w:ind w:left="359" w:right="399" w:firstLine="11"/>
        <w:rPr>
          <w:sz w:val="20"/>
          <w:szCs w:val="20"/>
        </w:rPr>
      </w:pPr>
      <w:r>
        <w:rPr>
          <w:color w:val="57585A"/>
          <w:spacing w:val="-11"/>
          <w:sz w:val="20"/>
          <w:szCs w:val="20"/>
        </w:rPr>
        <w:t>investments in existing facilities. The country's refined products production is expected to grow strongly,</w:t>
      </w:r>
      <w:r>
        <w:rPr>
          <w:color w:val="57585A"/>
          <w:spacing w:val="-3"/>
          <w:sz w:val="20"/>
          <w:szCs w:val="20"/>
        </w:rPr>
        <w:t xml:space="preserve"> </w:t>
      </w:r>
      <w:r>
        <w:rPr>
          <w:color w:val="57585A"/>
          <w:spacing w:val="-11"/>
          <w:sz w:val="20"/>
          <w:szCs w:val="20"/>
        </w:rPr>
        <w:t>with a forecasted 4.0%</w:t>
      </w:r>
      <w:r>
        <w:rPr>
          <w:color w:val="57585A"/>
          <w:spacing w:val="-15"/>
          <w:sz w:val="20"/>
          <w:szCs w:val="20"/>
        </w:rPr>
        <w:t xml:space="preserve"> </w:t>
      </w:r>
      <w:r>
        <w:rPr>
          <w:color w:val="57585A"/>
          <w:spacing w:val="-11"/>
          <w:sz w:val="20"/>
          <w:szCs w:val="20"/>
        </w:rPr>
        <w:t>y-o-</w:t>
      </w:r>
      <w:r>
        <w:rPr>
          <w:color w:val="57585A"/>
          <w:sz w:val="20"/>
          <w:szCs w:val="20"/>
        </w:rPr>
        <w:t xml:space="preserve"> </w:t>
      </w:r>
      <w:r>
        <w:rPr>
          <w:color w:val="57585A"/>
          <w:spacing w:val="-11"/>
          <w:sz w:val="20"/>
          <w:szCs w:val="20"/>
        </w:rPr>
        <w:t>y increase in 2025. The Olmeca refinery's gradual capacity ramp-up and up</w:t>
      </w:r>
      <w:r>
        <w:rPr>
          <w:color w:val="57585A"/>
          <w:spacing w:val="-12"/>
          <w:sz w:val="20"/>
          <w:szCs w:val="20"/>
        </w:rPr>
        <w:t>grades to older facilities are projected to raise the</w:t>
      </w:r>
    </w:p>
    <w:p w14:paraId="312EB180">
      <w:pPr>
        <w:pStyle w:val="4"/>
        <w:spacing w:before="37" w:line="231" w:lineRule="auto"/>
        <w:ind w:left="372"/>
        <w:rPr>
          <w:sz w:val="20"/>
          <w:szCs w:val="20"/>
        </w:rPr>
      </w:pPr>
      <w:r>
        <w:rPr>
          <w:color w:val="57585A"/>
          <w:spacing w:val="-11"/>
          <w:sz w:val="20"/>
          <w:szCs w:val="20"/>
        </w:rPr>
        <w:t>utilisation rate to 54% in 2025. However, Pemex faces challenges</w:t>
      </w:r>
      <w:r>
        <w:rPr>
          <w:color w:val="57585A"/>
          <w:spacing w:val="-16"/>
          <w:sz w:val="20"/>
          <w:szCs w:val="20"/>
        </w:rPr>
        <w:t xml:space="preserve"> </w:t>
      </w:r>
      <w:r>
        <w:rPr>
          <w:color w:val="57585A"/>
          <w:spacing w:val="-11"/>
          <w:sz w:val="20"/>
          <w:szCs w:val="20"/>
        </w:rPr>
        <w:t>with ageing infrastructure and low utili</w:t>
      </w:r>
      <w:r>
        <w:rPr>
          <w:color w:val="57585A"/>
          <w:spacing w:val="-12"/>
          <w:sz w:val="20"/>
          <w:szCs w:val="20"/>
        </w:rPr>
        <w:t>sation rates, impacting</w:t>
      </w:r>
    </w:p>
    <w:p w14:paraId="58C056C2">
      <w:pPr>
        <w:pStyle w:val="4"/>
        <w:spacing w:before="58" w:line="273" w:lineRule="auto"/>
        <w:ind w:left="366" w:right="410" w:firstLine="2"/>
        <w:rPr>
          <w:sz w:val="20"/>
          <w:szCs w:val="20"/>
        </w:rPr>
      </w:pPr>
      <w:r>
        <w:rPr>
          <w:color w:val="57585A"/>
          <w:spacing w:val="-10"/>
          <w:sz w:val="20"/>
          <w:szCs w:val="20"/>
        </w:rPr>
        <w:t>overall production. Des</w:t>
      </w:r>
      <w:r>
        <w:rPr>
          <w:color w:val="57585A"/>
          <w:spacing w:val="-11"/>
          <w:sz w:val="20"/>
          <w:szCs w:val="20"/>
        </w:rPr>
        <w:t>pite these challenges, Mexico remains committed to increasing the share of higher-quality fuels in its output,</w:t>
      </w:r>
      <w:r>
        <w:rPr>
          <w:color w:val="57585A"/>
          <w:sz w:val="20"/>
          <w:szCs w:val="20"/>
        </w:rPr>
        <w:t xml:space="preserve"> </w:t>
      </w:r>
      <w:r>
        <w:rPr>
          <w:color w:val="57585A"/>
          <w:spacing w:val="-11"/>
          <w:sz w:val="20"/>
          <w:szCs w:val="20"/>
        </w:rPr>
        <w:t>supported by refinery upgrades and new capacity additio</w:t>
      </w:r>
      <w:r>
        <w:rPr>
          <w:color w:val="57585A"/>
          <w:spacing w:val="-12"/>
          <w:sz w:val="20"/>
          <w:szCs w:val="20"/>
        </w:rPr>
        <w:t>ns.</w:t>
      </w:r>
    </w:p>
    <w:p w14:paraId="6F291958">
      <w:pPr>
        <w:pStyle w:val="4"/>
        <w:spacing w:line="266" w:lineRule="auto"/>
      </w:pPr>
    </w:p>
    <w:p w14:paraId="6139952D">
      <w:pPr>
        <w:pStyle w:val="4"/>
        <w:spacing w:before="59" w:line="279" w:lineRule="auto"/>
        <w:ind w:left="366" w:right="559" w:hanging="7"/>
        <w:rPr>
          <w:sz w:val="20"/>
          <w:szCs w:val="20"/>
        </w:rPr>
      </w:pPr>
      <w:r>
        <w:rPr>
          <w:color w:val="57585A"/>
          <w:spacing w:val="-11"/>
          <w:sz w:val="20"/>
          <w:szCs w:val="20"/>
        </w:rPr>
        <w:t>Argentina, Colombia, and Peru occupy a central position on the list due to their</w:t>
      </w:r>
      <w:r>
        <w:rPr>
          <w:color w:val="57585A"/>
          <w:spacing w:val="-16"/>
          <w:sz w:val="20"/>
          <w:szCs w:val="20"/>
        </w:rPr>
        <w:t xml:space="preserve"> </w:t>
      </w:r>
      <w:r>
        <w:rPr>
          <w:color w:val="57585A"/>
          <w:spacing w:val="-11"/>
          <w:sz w:val="20"/>
          <w:szCs w:val="20"/>
        </w:rPr>
        <w:t>well-established downstream markets,</w:t>
      </w:r>
      <w:r>
        <w:rPr>
          <w:color w:val="57585A"/>
          <w:spacing w:val="-12"/>
          <w:sz w:val="20"/>
          <w:szCs w:val="20"/>
        </w:rPr>
        <w:t xml:space="preserve"> despite the</w:t>
      </w:r>
      <w:r>
        <w:rPr>
          <w:color w:val="57585A"/>
          <w:sz w:val="20"/>
          <w:szCs w:val="20"/>
        </w:rPr>
        <w:t xml:space="preserve"> </w:t>
      </w:r>
      <w:r>
        <w:rPr>
          <w:color w:val="57585A"/>
          <w:spacing w:val="-10"/>
          <w:sz w:val="20"/>
          <w:szCs w:val="20"/>
        </w:rPr>
        <w:t>absence of new planned investments.</w:t>
      </w:r>
      <w:r>
        <w:rPr>
          <w:color w:val="57585A"/>
          <w:spacing w:val="-16"/>
          <w:sz w:val="20"/>
          <w:szCs w:val="20"/>
        </w:rPr>
        <w:t xml:space="preserve"> </w:t>
      </w:r>
      <w:r>
        <w:rPr>
          <w:color w:val="57585A"/>
          <w:spacing w:val="-10"/>
          <w:sz w:val="20"/>
          <w:szCs w:val="20"/>
        </w:rPr>
        <w:t>Ar</w:t>
      </w:r>
      <w:r>
        <w:rPr>
          <w:color w:val="57585A"/>
          <w:spacing w:val="-11"/>
          <w:sz w:val="20"/>
          <w:szCs w:val="20"/>
        </w:rPr>
        <w:t>gentina benefits from high utilization rates and relatively modern infrastructure,</w:t>
      </w:r>
      <w:r>
        <w:rPr>
          <w:color w:val="57585A"/>
          <w:spacing w:val="-15"/>
          <w:sz w:val="20"/>
          <w:szCs w:val="20"/>
        </w:rPr>
        <w:t xml:space="preserve"> </w:t>
      </w:r>
      <w:r>
        <w:rPr>
          <w:color w:val="57585A"/>
          <w:spacing w:val="-11"/>
          <w:sz w:val="20"/>
          <w:szCs w:val="20"/>
        </w:rPr>
        <w:t>whereas</w:t>
      </w:r>
      <w:r>
        <w:rPr>
          <w:color w:val="57585A"/>
          <w:sz w:val="20"/>
          <w:szCs w:val="20"/>
        </w:rPr>
        <w:t xml:space="preserve"> </w:t>
      </w:r>
      <w:r>
        <w:rPr>
          <w:color w:val="57585A"/>
          <w:spacing w:val="-12"/>
          <w:sz w:val="20"/>
          <w:szCs w:val="20"/>
        </w:rPr>
        <w:t>Peru stands out for its appealing fuel demand growth. However, all Latin</w:t>
      </w:r>
      <w:r>
        <w:rPr>
          <w:color w:val="57585A"/>
          <w:spacing w:val="-2"/>
          <w:sz w:val="20"/>
          <w:szCs w:val="20"/>
        </w:rPr>
        <w:t xml:space="preserve"> </w:t>
      </w:r>
      <w:r>
        <w:rPr>
          <w:color w:val="57585A"/>
          <w:spacing w:val="-12"/>
          <w:sz w:val="20"/>
          <w:szCs w:val="20"/>
        </w:rPr>
        <w:t>American countries lag in the Regional Fuel Demand</w:t>
      </w:r>
    </w:p>
    <w:p w14:paraId="72D9109F">
      <w:pPr>
        <w:pStyle w:val="4"/>
        <w:spacing w:before="36" w:line="231" w:lineRule="auto"/>
        <w:ind w:left="369"/>
        <w:rPr>
          <w:sz w:val="20"/>
          <w:szCs w:val="20"/>
        </w:rPr>
      </w:pPr>
      <w:r>
        <w:rPr>
          <w:color w:val="57585A"/>
          <w:spacing w:val="-10"/>
          <w:sz w:val="20"/>
          <w:szCs w:val="20"/>
        </w:rPr>
        <w:t>category.</w:t>
      </w:r>
    </w:p>
    <w:p w14:paraId="08A6FABA">
      <w:pPr>
        <w:spacing w:line="231" w:lineRule="auto"/>
        <w:rPr>
          <w:sz w:val="20"/>
          <w:szCs w:val="20"/>
        </w:rPr>
        <w:sectPr>
          <w:footerReference r:id="rId57" w:type="default"/>
          <w:pgSz w:w="11906" w:h="16838"/>
          <w:pgMar w:top="400" w:right="490" w:bottom="883" w:left="490" w:header="0" w:footer="0" w:gutter="0"/>
          <w:cols w:space="720" w:num="1"/>
        </w:sectPr>
      </w:pPr>
    </w:p>
    <w:p w14:paraId="585443A7">
      <w:pPr>
        <w:pStyle w:val="4"/>
        <w:spacing w:before="73" w:line="241" w:lineRule="auto"/>
        <w:ind w:left="7372"/>
        <w:rPr>
          <w:sz w:val="20"/>
          <w:szCs w:val="20"/>
        </w:rPr>
      </w:pPr>
      <w:r>
        <w:drawing>
          <wp:anchor distT="0" distB="0" distL="0" distR="0" simplePos="0" relativeHeight="25188454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85568" behindDoc="0" locked="0" layoutInCell="0" allowOverlap="1">
            <wp:simplePos x="0" y="0"/>
            <wp:positionH relativeFrom="page">
              <wp:posOffset>311150</wp:posOffset>
            </wp:positionH>
            <wp:positionV relativeFrom="page">
              <wp:posOffset>0</wp:posOffset>
            </wp:positionV>
            <wp:extent cx="19050" cy="814070"/>
            <wp:effectExtent l="0" t="0" r="0" b="0"/>
            <wp:wrapNone/>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FB0F856">
      <w:pPr>
        <w:pStyle w:val="4"/>
        <w:spacing w:line="278" w:lineRule="auto"/>
      </w:pPr>
    </w:p>
    <w:p w14:paraId="7E7050A7">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BF06403">
      <w:pPr>
        <w:pStyle w:val="4"/>
        <w:spacing w:line="437" w:lineRule="auto"/>
      </w:pPr>
    </w:p>
    <w:p w14:paraId="312E9DEF">
      <w:pPr>
        <w:pStyle w:val="4"/>
        <w:spacing w:before="69" w:line="302" w:lineRule="exact"/>
        <w:ind w:left="3865"/>
        <w:outlineLvl w:val="1"/>
        <w:rPr>
          <w:sz w:val="24"/>
          <w:szCs w:val="24"/>
        </w:rPr>
      </w:pPr>
      <w:r>
        <w:rPr>
          <w:color w:val="174174"/>
          <w:spacing w:val="-10"/>
          <w:position w:val="1"/>
          <w:sz w:val="24"/>
          <w:szCs w:val="24"/>
        </w:rPr>
        <w:t>Brazil</w:t>
      </w:r>
      <w:r>
        <w:rPr>
          <w:color w:val="174174"/>
          <w:spacing w:val="-18"/>
          <w:position w:val="1"/>
          <w:sz w:val="24"/>
          <w:szCs w:val="24"/>
        </w:rPr>
        <w:t xml:space="preserve"> </w:t>
      </w:r>
      <w:r>
        <w:rPr>
          <w:color w:val="174174"/>
          <w:spacing w:val="-10"/>
          <w:position w:val="1"/>
          <w:sz w:val="24"/>
          <w:szCs w:val="24"/>
        </w:rPr>
        <w:t>And Mexico Most</w:t>
      </w:r>
      <w:r>
        <w:rPr>
          <w:color w:val="174174"/>
          <w:spacing w:val="-19"/>
          <w:position w:val="1"/>
          <w:sz w:val="24"/>
          <w:szCs w:val="24"/>
        </w:rPr>
        <w:t xml:space="preserve"> </w:t>
      </w:r>
      <w:r>
        <w:rPr>
          <w:color w:val="174174"/>
          <w:spacing w:val="-10"/>
          <w:position w:val="1"/>
          <w:sz w:val="24"/>
          <w:szCs w:val="24"/>
        </w:rPr>
        <w:t>Attract</w:t>
      </w:r>
      <w:r>
        <w:rPr>
          <w:color w:val="174174"/>
          <w:spacing w:val="-11"/>
          <w:position w:val="1"/>
          <w:sz w:val="24"/>
          <w:szCs w:val="24"/>
        </w:rPr>
        <w:t>ive</w:t>
      </w:r>
    </w:p>
    <w:p w14:paraId="49E5338F">
      <w:pPr>
        <w:pStyle w:val="4"/>
        <w:spacing w:line="231" w:lineRule="auto"/>
        <w:ind w:left="2959"/>
        <w:outlineLvl w:val="1"/>
        <w:rPr>
          <w:sz w:val="20"/>
          <w:szCs w:val="20"/>
        </w:rPr>
      </w:pPr>
      <w:r>
        <w:rPr>
          <w:color w:val="333333"/>
          <w:spacing w:val="-14"/>
          <w:sz w:val="20"/>
          <w:szCs w:val="20"/>
        </w:rPr>
        <w:t>Brazil</w:t>
      </w:r>
      <w:r>
        <w:rPr>
          <w:color w:val="333333"/>
          <w:spacing w:val="-1"/>
          <w:sz w:val="20"/>
          <w:szCs w:val="20"/>
        </w:rPr>
        <w:t xml:space="preserve"> </w:t>
      </w:r>
      <w:r>
        <w:rPr>
          <w:color w:val="333333"/>
          <w:spacing w:val="-14"/>
          <w:sz w:val="20"/>
          <w:szCs w:val="20"/>
        </w:rPr>
        <w:t>And Mexico - Scores For Industry Rewards Subcomponents</w:t>
      </w:r>
    </w:p>
    <w:p w14:paraId="19A248A1">
      <w:pPr>
        <w:spacing w:before="96" w:line="4500" w:lineRule="exact"/>
        <w:ind w:firstLine="1862"/>
      </w:pPr>
      <w:r>
        <w:rPr>
          <w:position w:val="-89"/>
        </w:rPr>
        <w:drawing>
          <wp:inline distT="0" distB="0" distL="0" distR="0">
            <wp:extent cx="4572000" cy="2856865"/>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39"/>
                    <a:stretch>
                      <a:fillRect/>
                    </a:stretch>
                  </pic:blipFill>
                  <pic:spPr>
                    <a:xfrm>
                      <a:off x="0" y="0"/>
                      <a:ext cx="4572000" cy="2857499"/>
                    </a:xfrm>
                    <a:prstGeom prst="rect">
                      <a:avLst/>
                    </a:prstGeom>
                  </pic:spPr>
                </pic:pic>
              </a:graphicData>
            </a:graphic>
          </wp:inline>
        </w:drawing>
      </w:r>
    </w:p>
    <w:p w14:paraId="5B751B54">
      <w:pPr>
        <w:pStyle w:val="4"/>
        <w:spacing w:before="148" w:line="178" w:lineRule="exact"/>
        <w:ind w:left="1874"/>
        <w:rPr>
          <w:sz w:val="15"/>
          <w:szCs w:val="15"/>
        </w:rPr>
      </w:pPr>
      <w:r>
        <w:drawing>
          <wp:anchor distT="0" distB="0" distL="0" distR="0" simplePos="0" relativeHeight="25188249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5"/>
          <w:position w:val="1"/>
          <w:sz w:val="15"/>
          <w:szCs w:val="15"/>
        </w:rPr>
        <w:t>Note: Scores out</w:t>
      </w:r>
      <w:r>
        <w:rPr>
          <w:i/>
          <w:iCs/>
          <w:color w:val="333333"/>
          <w:spacing w:val="-11"/>
          <w:position w:val="1"/>
          <w:sz w:val="15"/>
          <w:szCs w:val="15"/>
        </w:rPr>
        <w:t xml:space="preserve"> </w:t>
      </w:r>
      <w:r>
        <w:rPr>
          <w:i/>
          <w:iCs/>
          <w:color w:val="333333"/>
          <w:spacing w:val="-5"/>
          <w:w w:val="95"/>
          <w:position w:val="1"/>
          <w:sz w:val="15"/>
          <w:szCs w:val="15"/>
        </w:rPr>
        <w:t>of</w:t>
      </w:r>
      <w:r>
        <w:rPr>
          <w:i/>
          <w:iCs/>
          <w:color w:val="333333"/>
          <w:spacing w:val="-10"/>
          <w:position w:val="1"/>
          <w:sz w:val="15"/>
          <w:szCs w:val="15"/>
        </w:rPr>
        <w:t xml:space="preserve"> </w:t>
      </w:r>
      <w:r>
        <w:rPr>
          <w:i/>
          <w:iCs/>
          <w:color w:val="333333"/>
          <w:spacing w:val="-5"/>
          <w:w w:val="95"/>
          <w:position w:val="1"/>
          <w:sz w:val="15"/>
          <w:szCs w:val="15"/>
        </w:rPr>
        <w:t>100;</w:t>
      </w:r>
      <w:r>
        <w:rPr>
          <w:i/>
          <w:iCs/>
          <w:color w:val="333333"/>
          <w:spacing w:val="-9"/>
          <w:position w:val="1"/>
          <w:sz w:val="15"/>
          <w:szCs w:val="15"/>
        </w:rPr>
        <w:t xml:space="preserve"> </w:t>
      </w:r>
      <w:r>
        <w:rPr>
          <w:i/>
          <w:iCs/>
          <w:color w:val="333333"/>
          <w:spacing w:val="-5"/>
          <w:w w:val="95"/>
          <w:position w:val="1"/>
          <w:sz w:val="15"/>
          <w:szCs w:val="15"/>
        </w:rPr>
        <w:t>lower</w:t>
      </w:r>
      <w:r>
        <w:rPr>
          <w:i/>
          <w:iCs/>
          <w:color w:val="333333"/>
          <w:spacing w:val="-19"/>
          <w:position w:val="1"/>
          <w:sz w:val="15"/>
          <w:szCs w:val="15"/>
        </w:rPr>
        <w:t xml:space="preserve"> </w:t>
      </w:r>
      <w:r>
        <w:rPr>
          <w:i/>
          <w:iCs/>
          <w:color w:val="333333"/>
          <w:spacing w:val="-5"/>
          <w:w w:val="95"/>
          <w:position w:val="1"/>
          <w:sz w:val="15"/>
          <w:szCs w:val="15"/>
        </w:rPr>
        <w:t>score =</w:t>
      </w:r>
      <w:r>
        <w:rPr>
          <w:i/>
          <w:iCs/>
          <w:color w:val="333333"/>
          <w:spacing w:val="-6"/>
          <w:w w:val="95"/>
          <w:position w:val="1"/>
          <w:sz w:val="15"/>
          <w:szCs w:val="15"/>
        </w:rPr>
        <w:t xml:space="preserve"> more attractive market. Source: BMI</w:t>
      </w:r>
    </w:p>
    <w:p w14:paraId="04D7E464">
      <w:pPr>
        <w:pStyle w:val="4"/>
        <w:spacing w:line="355" w:lineRule="auto"/>
      </w:pPr>
    </w:p>
    <w:p w14:paraId="4D130E6C">
      <w:pPr>
        <w:pStyle w:val="4"/>
        <w:spacing w:before="57" w:line="241" w:lineRule="auto"/>
        <w:ind w:left="375"/>
        <w:rPr>
          <w:sz w:val="20"/>
          <w:szCs w:val="20"/>
        </w:rPr>
      </w:pPr>
      <w:r>
        <w:rPr>
          <w:b/>
          <w:bCs/>
          <w:color w:val="57585A"/>
          <w:spacing w:val="-9"/>
          <w:sz w:val="20"/>
          <w:szCs w:val="20"/>
        </w:rPr>
        <w:t>Large Population Base Enhances</w:t>
      </w:r>
      <w:r>
        <w:rPr>
          <w:b/>
          <w:bCs/>
          <w:color w:val="57585A"/>
          <w:spacing w:val="-16"/>
          <w:sz w:val="20"/>
          <w:szCs w:val="20"/>
        </w:rPr>
        <w:t xml:space="preserve"> </w:t>
      </w:r>
      <w:r>
        <w:rPr>
          <w:b/>
          <w:bCs/>
          <w:color w:val="57585A"/>
          <w:spacing w:val="-9"/>
          <w:sz w:val="20"/>
          <w:szCs w:val="20"/>
        </w:rPr>
        <w:t>Appeal, but State Dominance Hampers Performance</w:t>
      </w:r>
    </w:p>
    <w:p w14:paraId="0B1E0910">
      <w:pPr>
        <w:pStyle w:val="4"/>
        <w:spacing w:line="281" w:lineRule="auto"/>
      </w:pPr>
    </w:p>
    <w:p w14:paraId="757021C1">
      <w:pPr>
        <w:pStyle w:val="4"/>
        <w:spacing w:before="58" w:line="273" w:lineRule="auto"/>
        <w:ind w:left="373" w:right="514" w:firstLine="2"/>
        <w:rPr>
          <w:sz w:val="20"/>
          <w:szCs w:val="20"/>
        </w:rPr>
      </w:pPr>
      <w:r>
        <w:rPr>
          <w:color w:val="57585A"/>
          <w:spacing w:val="-12"/>
          <w:sz w:val="20"/>
          <w:szCs w:val="20"/>
        </w:rPr>
        <w:t>Latin</w:t>
      </w:r>
      <w:r>
        <w:rPr>
          <w:color w:val="57585A"/>
          <w:spacing w:val="-16"/>
          <w:sz w:val="20"/>
          <w:szCs w:val="20"/>
        </w:rPr>
        <w:t xml:space="preserve"> </w:t>
      </w:r>
      <w:r>
        <w:rPr>
          <w:color w:val="57585A"/>
          <w:spacing w:val="-12"/>
          <w:sz w:val="20"/>
          <w:szCs w:val="20"/>
        </w:rPr>
        <w:t>America, notably Brazil, Mexico, Colombia, Argentina, and Peru, enjoys the</w:t>
      </w:r>
      <w:r>
        <w:rPr>
          <w:color w:val="57585A"/>
          <w:spacing w:val="-13"/>
          <w:sz w:val="20"/>
          <w:szCs w:val="20"/>
        </w:rPr>
        <w:t xml:space="preserve"> advantage of</w:t>
      </w:r>
      <w:r>
        <w:rPr>
          <w:color w:val="57585A"/>
          <w:spacing w:val="-16"/>
          <w:sz w:val="20"/>
          <w:szCs w:val="20"/>
        </w:rPr>
        <w:t xml:space="preserve"> </w:t>
      </w:r>
      <w:r>
        <w:rPr>
          <w:color w:val="57585A"/>
          <w:spacing w:val="-13"/>
          <w:sz w:val="20"/>
          <w:szCs w:val="20"/>
        </w:rPr>
        <w:t>a significant population base, though</w:t>
      </w:r>
      <w:r>
        <w:rPr>
          <w:color w:val="57585A"/>
          <w:sz w:val="20"/>
          <w:szCs w:val="20"/>
        </w:rPr>
        <w:t xml:space="preserve"> </w:t>
      </w:r>
      <w:r>
        <w:rPr>
          <w:color w:val="57585A"/>
          <w:spacing w:val="-10"/>
          <w:sz w:val="20"/>
          <w:szCs w:val="20"/>
        </w:rPr>
        <w:t>population growth in the region is anticipated to be modest.</w:t>
      </w:r>
      <w:r>
        <w:rPr>
          <w:color w:val="57585A"/>
          <w:spacing w:val="-16"/>
          <w:sz w:val="20"/>
          <w:szCs w:val="20"/>
        </w:rPr>
        <w:t xml:space="preserve"> </w:t>
      </w:r>
      <w:r>
        <w:rPr>
          <w:color w:val="57585A"/>
          <w:spacing w:val="-10"/>
          <w:sz w:val="20"/>
          <w:szCs w:val="20"/>
        </w:rPr>
        <w:t>Additionally, the region shows rela</w:t>
      </w:r>
      <w:r>
        <w:rPr>
          <w:color w:val="57585A"/>
          <w:spacing w:val="-11"/>
          <w:sz w:val="20"/>
          <w:szCs w:val="20"/>
        </w:rPr>
        <w:t>tively poor performance in the</w:t>
      </w:r>
    </w:p>
    <w:p w14:paraId="25333550">
      <w:pPr>
        <w:pStyle w:val="4"/>
        <w:spacing w:before="38" w:line="279" w:lineRule="auto"/>
        <w:ind w:left="369" w:right="393"/>
        <w:rPr>
          <w:sz w:val="20"/>
          <w:szCs w:val="20"/>
        </w:rPr>
      </w:pPr>
      <w:r>
        <w:rPr>
          <w:color w:val="57585A"/>
          <w:spacing w:val="-11"/>
          <w:sz w:val="20"/>
          <w:szCs w:val="20"/>
        </w:rPr>
        <w:t>Country Rewards category, largely due to the prevalence of</w:t>
      </w:r>
      <w:r>
        <w:rPr>
          <w:color w:val="57585A"/>
          <w:spacing w:val="-18"/>
          <w:sz w:val="20"/>
          <w:szCs w:val="20"/>
        </w:rPr>
        <w:t xml:space="preserve"> </w:t>
      </w:r>
      <w:r>
        <w:rPr>
          <w:color w:val="57585A"/>
          <w:spacing w:val="-11"/>
          <w:sz w:val="20"/>
          <w:szCs w:val="20"/>
        </w:rPr>
        <w:t>state-owned a</w:t>
      </w:r>
      <w:r>
        <w:rPr>
          <w:color w:val="57585A"/>
          <w:spacing w:val="-12"/>
          <w:sz w:val="20"/>
          <w:szCs w:val="20"/>
        </w:rPr>
        <w:t>ssets. With liberalisation efforts in Brazil potentially stalling</w:t>
      </w:r>
      <w:r>
        <w:rPr>
          <w:color w:val="57585A"/>
          <w:sz w:val="20"/>
          <w:szCs w:val="20"/>
        </w:rPr>
        <w:t xml:space="preserve"> </w:t>
      </w:r>
      <w:r>
        <w:rPr>
          <w:color w:val="57585A"/>
          <w:spacing w:val="-11"/>
          <w:sz w:val="20"/>
          <w:szCs w:val="20"/>
        </w:rPr>
        <w:t>or reversing, the medium-term outlook remains unfavorable, as private downstream producers are likely to face ongoing limitations</w:t>
      </w:r>
      <w:r>
        <w:rPr>
          <w:color w:val="57585A"/>
          <w:spacing w:val="8"/>
          <w:sz w:val="20"/>
          <w:szCs w:val="20"/>
        </w:rPr>
        <w:t xml:space="preserve"> </w:t>
      </w:r>
      <w:r>
        <w:rPr>
          <w:color w:val="57585A"/>
          <w:spacing w:val="-11"/>
          <w:sz w:val="20"/>
          <w:szCs w:val="20"/>
        </w:rPr>
        <w:t>in</w:t>
      </w:r>
      <w:r>
        <w:rPr>
          <w:color w:val="57585A"/>
          <w:spacing w:val="-3"/>
          <w:sz w:val="20"/>
          <w:szCs w:val="20"/>
        </w:rPr>
        <w:t xml:space="preserve"> </w:t>
      </w:r>
      <w:r>
        <w:rPr>
          <w:color w:val="57585A"/>
          <w:spacing w:val="-11"/>
          <w:sz w:val="20"/>
          <w:szCs w:val="20"/>
        </w:rPr>
        <w:t>the largest markets.</w:t>
      </w:r>
    </w:p>
    <w:p w14:paraId="290D6802">
      <w:pPr>
        <w:pStyle w:val="4"/>
        <w:spacing w:line="295" w:lineRule="auto"/>
      </w:pPr>
    </w:p>
    <w:p w14:paraId="698F0660">
      <w:pPr>
        <w:pStyle w:val="4"/>
        <w:spacing w:line="295" w:lineRule="auto"/>
      </w:pPr>
    </w:p>
    <w:p w14:paraId="69EC1B36">
      <w:pPr>
        <w:pStyle w:val="4"/>
        <w:spacing w:before="69" w:line="234" w:lineRule="auto"/>
        <w:ind w:left="2304"/>
        <w:outlineLvl w:val="1"/>
        <w:rPr>
          <w:sz w:val="24"/>
          <w:szCs w:val="24"/>
        </w:rPr>
      </w:pPr>
      <w:r>
        <w:rPr>
          <w:color w:val="174174"/>
          <w:spacing w:val="-11"/>
          <w:sz w:val="24"/>
          <w:szCs w:val="24"/>
        </w:rPr>
        <w:t>Large population</w:t>
      </w:r>
      <w:r>
        <w:rPr>
          <w:color w:val="174174"/>
          <w:spacing w:val="-18"/>
          <w:sz w:val="24"/>
          <w:szCs w:val="24"/>
        </w:rPr>
        <w:t xml:space="preserve"> </w:t>
      </w:r>
      <w:r>
        <w:rPr>
          <w:color w:val="174174"/>
          <w:spacing w:val="-11"/>
          <w:sz w:val="24"/>
          <w:szCs w:val="24"/>
        </w:rPr>
        <w:t>And Demand Growth Support Brazi</w:t>
      </w:r>
      <w:r>
        <w:rPr>
          <w:color w:val="174174"/>
          <w:spacing w:val="-12"/>
          <w:sz w:val="24"/>
          <w:szCs w:val="24"/>
        </w:rPr>
        <w:t>lIs High Rank</w:t>
      </w:r>
    </w:p>
    <w:p w14:paraId="77A64D08">
      <w:pPr>
        <w:pStyle w:val="4"/>
        <w:spacing w:before="33" w:line="231" w:lineRule="auto"/>
        <w:ind w:left="3027"/>
        <w:outlineLvl w:val="1"/>
        <w:rPr>
          <w:sz w:val="20"/>
          <w:szCs w:val="20"/>
        </w:rPr>
      </w:pPr>
      <w:r>
        <w:rPr>
          <w:color w:val="333333"/>
          <w:spacing w:val="-12"/>
          <w:sz w:val="20"/>
          <w:szCs w:val="20"/>
        </w:rPr>
        <w:t>Latin</w:t>
      </w:r>
      <w:r>
        <w:rPr>
          <w:color w:val="333333"/>
          <w:spacing w:val="-15"/>
          <w:sz w:val="20"/>
          <w:szCs w:val="20"/>
        </w:rPr>
        <w:t xml:space="preserve"> </w:t>
      </w:r>
      <w:r>
        <w:rPr>
          <w:color w:val="333333"/>
          <w:spacing w:val="-12"/>
          <w:sz w:val="20"/>
          <w:szCs w:val="20"/>
        </w:rPr>
        <w:t xml:space="preserve">America - Downstream Country &amp; Industry </w:t>
      </w:r>
      <w:r>
        <w:rPr>
          <w:color w:val="333333"/>
          <w:spacing w:val="-13"/>
          <w:sz w:val="20"/>
          <w:szCs w:val="20"/>
        </w:rPr>
        <w:t>Risks/Rewards</w:t>
      </w:r>
    </w:p>
    <w:p w14:paraId="634D5DD3">
      <w:pPr>
        <w:spacing w:before="96" w:line="4500" w:lineRule="exact"/>
        <w:ind w:firstLine="1862"/>
      </w:pPr>
      <w:r>
        <w:rPr>
          <w:position w:val="-90"/>
        </w:rPr>
        <w:drawing>
          <wp:inline distT="0" distB="0" distL="0" distR="0">
            <wp:extent cx="4572000" cy="285750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40"/>
                    <a:stretch>
                      <a:fillRect/>
                    </a:stretch>
                  </pic:blipFill>
                  <pic:spPr>
                    <a:xfrm>
                      <a:off x="0" y="0"/>
                      <a:ext cx="4572000" cy="2857500"/>
                    </a:xfrm>
                    <a:prstGeom prst="rect">
                      <a:avLst/>
                    </a:prstGeom>
                  </pic:spPr>
                </pic:pic>
              </a:graphicData>
            </a:graphic>
          </wp:inline>
        </w:drawing>
      </w:r>
    </w:p>
    <w:p w14:paraId="63BE87EC">
      <w:pPr>
        <w:pStyle w:val="4"/>
        <w:spacing w:before="149" w:line="177" w:lineRule="exact"/>
        <w:ind w:left="1874"/>
        <w:rPr>
          <w:sz w:val="15"/>
          <w:szCs w:val="15"/>
        </w:rPr>
      </w:pPr>
      <w:r>
        <w:drawing>
          <wp:anchor distT="0" distB="0" distL="0" distR="0" simplePos="0" relativeHeight="251883520"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7"/>
          <w:w w:val="98"/>
          <w:position w:val="1"/>
          <w:sz w:val="15"/>
          <w:szCs w:val="15"/>
        </w:rPr>
        <w:t>Note: Scores out</w:t>
      </w:r>
      <w:r>
        <w:rPr>
          <w:i/>
          <w:iCs/>
          <w:color w:val="333333"/>
          <w:spacing w:val="-10"/>
          <w:position w:val="1"/>
          <w:sz w:val="15"/>
          <w:szCs w:val="15"/>
        </w:rPr>
        <w:t xml:space="preserve"> </w:t>
      </w:r>
      <w:r>
        <w:rPr>
          <w:i/>
          <w:iCs/>
          <w:color w:val="333333"/>
          <w:spacing w:val="-7"/>
          <w:w w:val="98"/>
          <w:position w:val="1"/>
          <w:sz w:val="15"/>
          <w:szCs w:val="15"/>
        </w:rPr>
        <w:t>of</w:t>
      </w:r>
      <w:r>
        <w:rPr>
          <w:i/>
          <w:iCs/>
          <w:color w:val="333333"/>
          <w:spacing w:val="-11"/>
          <w:position w:val="1"/>
          <w:sz w:val="15"/>
          <w:szCs w:val="15"/>
        </w:rPr>
        <w:t xml:space="preserve"> </w:t>
      </w:r>
      <w:r>
        <w:rPr>
          <w:i/>
          <w:iCs/>
          <w:color w:val="333333"/>
          <w:spacing w:val="-7"/>
          <w:w w:val="98"/>
          <w:position w:val="1"/>
          <w:sz w:val="15"/>
          <w:szCs w:val="15"/>
        </w:rPr>
        <w:t>100;</w:t>
      </w:r>
      <w:r>
        <w:rPr>
          <w:i/>
          <w:iCs/>
          <w:color w:val="333333"/>
          <w:spacing w:val="-8"/>
          <w:position w:val="1"/>
          <w:sz w:val="15"/>
          <w:szCs w:val="15"/>
        </w:rPr>
        <w:t xml:space="preserve"> </w:t>
      </w:r>
      <w:r>
        <w:rPr>
          <w:i/>
          <w:iCs/>
          <w:color w:val="333333"/>
          <w:spacing w:val="-7"/>
          <w:w w:val="98"/>
          <w:position w:val="1"/>
          <w:sz w:val="15"/>
          <w:szCs w:val="15"/>
        </w:rPr>
        <w:t>lowe</w:t>
      </w:r>
      <w:r>
        <w:rPr>
          <w:i/>
          <w:iCs/>
          <w:color w:val="333333"/>
          <w:spacing w:val="-8"/>
          <w:w w:val="98"/>
          <w:position w:val="1"/>
          <w:sz w:val="15"/>
          <w:szCs w:val="15"/>
        </w:rPr>
        <w:t>st</w:t>
      </w:r>
      <w:r>
        <w:rPr>
          <w:i/>
          <w:iCs/>
          <w:color w:val="333333"/>
          <w:spacing w:val="-16"/>
          <w:position w:val="1"/>
          <w:sz w:val="15"/>
          <w:szCs w:val="15"/>
        </w:rPr>
        <w:t xml:space="preserve"> </w:t>
      </w:r>
      <w:r>
        <w:rPr>
          <w:i/>
          <w:iCs/>
          <w:color w:val="333333"/>
          <w:spacing w:val="-8"/>
          <w:w w:val="98"/>
          <w:position w:val="1"/>
          <w:sz w:val="15"/>
          <w:szCs w:val="15"/>
        </w:rPr>
        <w:t>score = more attractive market. Source: BMI</w:t>
      </w:r>
    </w:p>
    <w:p w14:paraId="40AD5F43">
      <w:pPr>
        <w:spacing w:line="177" w:lineRule="exact"/>
        <w:rPr>
          <w:sz w:val="15"/>
          <w:szCs w:val="15"/>
        </w:rPr>
        <w:sectPr>
          <w:footerReference r:id="rId58" w:type="default"/>
          <w:pgSz w:w="11906" w:h="16838"/>
          <w:pgMar w:top="400" w:right="490" w:bottom="883" w:left="490" w:header="0" w:footer="0" w:gutter="0"/>
          <w:cols w:space="720" w:num="1"/>
        </w:sectPr>
      </w:pPr>
    </w:p>
    <w:p w14:paraId="02BE6030">
      <w:pPr>
        <w:pStyle w:val="4"/>
        <w:spacing w:before="73" w:line="241" w:lineRule="auto"/>
        <w:ind w:left="7372"/>
        <w:rPr>
          <w:sz w:val="20"/>
          <w:szCs w:val="20"/>
        </w:rPr>
      </w:pPr>
      <w:r>
        <w:drawing>
          <wp:anchor distT="0" distB="0" distL="0" distR="0" simplePos="0" relativeHeight="25188761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88640" behindDoc="0" locked="0" layoutInCell="0" allowOverlap="1">
            <wp:simplePos x="0" y="0"/>
            <wp:positionH relativeFrom="page">
              <wp:posOffset>311150</wp:posOffset>
            </wp:positionH>
            <wp:positionV relativeFrom="page">
              <wp:posOffset>0</wp:posOffset>
            </wp:positionV>
            <wp:extent cx="19050" cy="814070"/>
            <wp:effectExtent l="0" t="0" r="0" b="0"/>
            <wp:wrapNone/>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E076D3E">
      <w:pPr>
        <w:pStyle w:val="4"/>
        <w:spacing w:line="278" w:lineRule="auto"/>
      </w:pPr>
    </w:p>
    <w:p w14:paraId="75D5BD2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F92C373">
      <w:pPr>
        <w:pStyle w:val="4"/>
        <w:spacing w:line="467" w:lineRule="auto"/>
      </w:pPr>
    </w:p>
    <w:p w14:paraId="3D1E443E">
      <w:pPr>
        <w:pStyle w:val="4"/>
        <w:spacing w:before="58" w:line="270" w:lineRule="exact"/>
        <w:ind w:left="375"/>
        <w:rPr>
          <w:sz w:val="20"/>
          <w:szCs w:val="20"/>
        </w:rPr>
      </w:pPr>
      <w:r>
        <w:rPr>
          <w:b/>
          <w:bCs/>
          <w:color w:val="57585A"/>
          <w:spacing w:val="-9"/>
          <w:position w:val="1"/>
          <w:sz w:val="20"/>
          <w:szCs w:val="20"/>
        </w:rPr>
        <w:t>Downstream Liberalization Processes</w:t>
      </w:r>
      <w:r>
        <w:rPr>
          <w:b/>
          <w:bCs/>
          <w:color w:val="57585A"/>
          <w:spacing w:val="-1"/>
          <w:position w:val="1"/>
          <w:sz w:val="20"/>
          <w:szCs w:val="20"/>
        </w:rPr>
        <w:t xml:space="preserve"> </w:t>
      </w:r>
      <w:r>
        <w:rPr>
          <w:b/>
          <w:bCs/>
          <w:color w:val="57585A"/>
          <w:spacing w:val="-9"/>
          <w:position w:val="1"/>
          <w:sz w:val="20"/>
          <w:szCs w:val="20"/>
        </w:rPr>
        <w:t>To See Continued Constraints</w:t>
      </w:r>
    </w:p>
    <w:p w14:paraId="0E40C3F0">
      <w:pPr>
        <w:pStyle w:val="4"/>
        <w:spacing w:line="242" w:lineRule="auto"/>
      </w:pPr>
    </w:p>
    <w:p w14:paraId="21916596">
      <w:pPr>
        <w:pStyle w:val="4"/>
        <w:spacing w:before="58" w:line="279" w:lineRule="auto"/>
        <w:ind w:left="363" w:right="549" w:hanging="2"/>
        <w:rPr>
          <w:sz w:val="20"/>
          <w:szCs w:val="20"/>
        </w:rPr>
      </w:pPr>
      <w:r>
        <w:rPr>
          <w:color w:val="57585A"/>
          <w:spacing w:val="-11"/>
          <w:sz w:val="20"/>
          <w:szCs w:val="20"/>
        </w:rPr>
        <w:t>We maintain a cautious outlook for the liberalization of</w:t>
      </w:r>
      <w:r>
        <w:rPr>
          <w:color w:val="57585A"/>
          <w:spacing w:val="-8"/>
          <w:sz w:val="20"/>
          <w:szCs w:val="20"/>
        </w:rPr>
        <w:t xml:space="preserve"> </w:t>
      </w:r>
      <w:r>
        <w:rPr>
          <w:color w:val="57585A"/>
          <w:spacing w:val="-11"/>
          <w:sz w:val="20"/>
          <w:szCs w:val="20"/>
        </w:rPr>
        <w:t>downstream markets in the region's largest fuel consumers. In Brazil,</w:t>
      </w:r>
      <w:r>
        <w:rPr>
          <w:color w:val="57585A"/>
          <w:spacing w:val="-15"/>
          <w:sz w:val="20"/>
          <w:szCs w:val="20"/>
        </w:rPr>
        <w:t xml:space="preserve"> </w:t>
      </w:r>
      <w:r>
        <w:rPr>
          <w:color w:val="57585A"/>
          <w:spacing w:val="-11"/>
          <w:sz w:val="20"/>
          <w:szCs w:val="20"/>
        </w:rPr>
        <w:t>while</w:t>
      </w:r>
      <w:r>
        <w:rPr>
          <w:color w:val="57585A"/>
          <w:sz w:val="20"/>
          <w:szCs w:val="20"/>
        </w:rPr>
        <w:t xml:space="preserve"> </w:t>
      </w:r>
      <w:r>
        <w:rPr>
          <w:color w:val="57585A"/>
          <w:spacing w:val="-10"/>
          <w:sz w:val="20"/>
          <w:szCs w:val="20"/>
        </w:rPr>
        <w:t>the previous administration under former president</w:t>
      </w:r>
      <w:r>
        <w:rPr>
          <w:color w:val="57585A"/>
          <w:spacing w:val="-24"/>
          <w:sz w:val="20"/>
          <w:szCs w:val="20"/>
        </w:rPr>
        <w:t xml:space="preserve"> </w:t>
      </w:r>
      <w:r>
        <w:rPr>
          <w:color w:val="57585A"/>
          <w:spacing w:val="-10"/>
          <w:sz w:val="20"/>
          <w:szCs w:val="20"/>
        </w:rPr>
        <w:t>J</w:t>
      </w:r>
      <w:r>
        <w:rPr>
          <w:color w:val="57585A"/>
          <w:spacing w:val="-11"/>
          <w:sz w:val="20"/>
          <w:szCs w:val="20"/>
        </w:rPr>
        <w:t>air Bolsonaro advanced the liberalisation of</w:t>
      </w:r>
      <w:r>
        <w:rPr>
          <w:color w:val="57585A"/>
          <w:spacing w:val="-21"/>
          <w:sz w:val="20"/>
          <w:szCs w:val="20"/>
        </w:rPr>
        <w:t xml:space="preserve"> </w:t>
      </w:r>
      <w:r>
        <w:rPr>
          <w:color w:val="57585A"/>
          <w:spacing w:val="-11"/>
          <w:sz w:val="20"/>
          <w:szCs w:val="20"/>
        </w:rPr>
        <w:t>the downstream sector through</w:t>
      </w:r>
      <w:r>
        <w:rPr>
          <w:color w:val="57585A"/>
          <w:sz w:val="20"/>
          <w:szCs w:val="20"/>
        </w:rPr>
        <w:t xml:space="preserve"> </w:t>
      </w:r>
      <w:r>
        <w:rPr>
          <w:color w:val="57585A"/>
          <w:spacing w:val="-12"/>
          <w:sz w:val="20"/>
          <w:szCs w:val="20"/>
        </w:rPr>
        <w:t>Petrobras' refinery divestment plan,</w:t>
      </w:r>
      <w:r>
        <w:rPr>
          <w:color w:val="57585A"/>
          <w:spacing w:val="-13"/>
          <w:sz w:val="20"/>
          <w:szCs w:val="20"/>
        </w:rPr>
        <w:t xml:space="preserve"> progress has largely stalled under</w:t>
      </w:r>
      <w:r>
        <w:rPr>
          <w:color w:val="57585A"/>
          <w:spacing w:val="1"/>
          <w:sz w:val="20"/>
          <w:szCs w:val="20"/>
        </w:rPr>
        <w:t xml:space="preserve"> </w:t>
      </w:r>
      <w:r>
        <w:rPr>
          <w:color w:val="57585A"/>
          <w:spacing w:val="-13"/>
          <w:sz w:val="20"/>
          <w:szCs w:val="20"/>
        </w:rPr>
        <w:t>President</w:t>
      </w:r>
      <w:r>
        <w:rPr>
          <w:color w:val="57585A"/>
          <w:sz w:val="20"/>
          <w:szCs w:val="20"/>
        </w:rPr>
        <w:t xml:space="preserve"> </w:t>
      </w:r>
      <w:r>
        <w:rPr>
          <w:color w:val="57585A"/>
          <w:spacing w:val="-13"/>
          <w:sz w:val="20"/>
          <w:szCs w:val="20"/>
        </w:rPr>
        <w:t>Luiz</w:t>
      </w:r>
      <w:r>
        <w:rPr>
          <w:color w:val="57585A"/>
          <w:spacing w:val="1"/>
          <w:sz w:val="20"/>
          <w:szCs w:val="20"/>
        </w:rPr>
        <w:t xml:space="preserve"> </w:t>
      </w:r>
      <w:r>
        <w:rPr>
          <w:color w:val="57585A"/>
          <w:spacing w:val="-13"/>
          <w:sz w:val="20"/>
          <w:szCs w:val="20"/>
        </w:rPr>
        <w:t>Inácio</w:t>
      </w:r>
      <w:r>
        <w:rPr>
          <w:color w:val="57585A"/>
          <w:spacing w:val="1"/>
          <w:sz w:val="20"/>
          <w:szCs w:val="20"/>
        </w:rPr>
        <w:t xml:space="preserve"> </w:t>
      </w:r>
      <w:r>
        <w:rPr>
          <w:color w:val="57585A"/>
          <w:spacing w:val="-13"/>
          <w:sz w:val="20"/>
          <w:szCs w:val="20"/>
        </w:rPr>
        <w:t>Lula da Silva. Since early 2023, the</w:t>
      </w:r>
    </w:p>
    <w:p w14:paraId="4A10004B">
      <w:pPr>
        <w:pStyle w:val="4"/>
        <w:spacing w:before="37" w:line="274" w:lineRule="auto"/>
        <w:ind w:left="373" w:right="861" w:firstLine="2"/>
        <w:rPr>
          <w:sz w:val="20"/>
          <w:szCs w:val="20"/>
        </w:rPr>
      </w:pPr>
      <w:r>
        <w:rPr>
          <w:color w:val="57585A"/>
          <w:spacing w:val="-11"/>
          <w:sz w:val="20"/>
          <w:szCs w:val="20"/>
        </w:rPr>
        <w:t>Petrobras divestment program has effectively been frozen,</w:t>
      </w:r>
      <w:r>
        <w:rPr>
          <w:color w:val="57585A"/>
          <w:spacing w:val="-16"/>
          <w:sz w:val="20"/>
          <w:szCs w:val="20"/>
        </w:rPr>
        <w:t xml:space="preserve"> </w:t>
      </w:r>
      <w:r>
        <w:rPr>
          <w:color w:val="57585A"/>
          <w:spacing w:val="-11"/>
          <w:sz w:val="20"/>
          <w:szCs w:val="20"/>
        </w:rPr>
        <w:t>with Lula's administrat</w:t>
      </w:r>
      <w:r>
        <w:rPr>
          <w:color w:val="57585A"/>
          <w:spacing w:val="-12"/>
          <w:sz w:val="20"/>
          <w:szCs w:val="20"/>
        </w:rPr>
        <w:t>ion revising the strategy to ensure Petrobras</w:t>
      </w:r>
      <w:r>
        <w:rPr>
          <w:color w:val="57585A"/>
          <w:sz w:val="20"/>
          <w:szCs w:val="20"/>
        </w:rPr>
        <w:t xml:space="preserve"> </w:t>
      </w:r>
      <w:r>
        <w:rPr>
          <w:color w:val="57585A"/>
          <w:spacing w:val="-12"/>
          <w:sz w:val="20"/>
          <w:szCs w:val="20"/>
        </w:rPr>
        <w:t>retains ownership of most downstream assets.</w:t>
      </w:r>
    </w:p>
    <w:p w14:paraId="08BB7042">
      <w:pPr>
        <w:pStyle w:val="4"/>
        <w:spacing w:line="263" w:lineRule="auto"/>
      </w:pPr>
    </w:p>
    <w:p w14:paraId="13F38523">
      <w:pPr>
        <w:pStyle w:val="4"/>
        <w:spacing w:before="57" w:line="231" w:lineRule="auto"/>
        <w:ind w:left="376"/>
        <w:rPr>
          <w:sz w:val="20"/>
          <w:szCs w:val="20"/>
        </w:rPr>
      </w:pPr>
      <w:r>
        <w:rPr>
          <w:color w:val="57585A"/>
          <w:spacing w:val="-11"/>
          <w:sz w:val="20"/>
          <w:szCs w:val="20"/>
        </w:rPr>
        <w:t>Petrobras has introduced a new strategic plan for 2024–2030 focused on financial strengthening, increased productivity, and</w:t>
      </w:r>
    </w:p>
    <w:p w14:paraId="31F31F6A">
      <w:pPr>
        <w:pStyle w:val="4"/>
        <w:spacing w:before="59" w:line="273" w:lineRule="auto"/>
        <w:ind w:left="372" w:right="666" w:hanging="6"/>
        <w:rPr>
          <w:sz w:val="20"/>
          <w:szCs w:val="20"/>
        </w:rPr>
      </w:pPr>
      <w:r>
        <w:rPr>
          <w:color w:val="57585A"/>
          <w:spacing w:val="-11"/>
          <w:sz w:val="20"/>
          <w:szCs w:val="20"/>
        </w:rPr>
        <w:t>sustainability, including the merger of</w:t>
      </w:r>
      <w:r>
        <w:rPr>
          <w:color w:val="57585A"/>
          <w:spacing w:val="-18"/>
          <w:sz w:val="20"/>
          <w:szCs w:val="20"/>
        </w:rPr>
        <w:t xml:space="preserve"> </w:t>
      </w:r>
      <w:r>
        <w:rPr>
          <w:color w:val="57585A"/>
          <w:spacing w:val="-11"/>
          <w:sz w:val="20"/>
          <w:szCs w:val="20"/>
        </w:rPr>
        <w:t>subsidiaries to achieve efficie</w:t>
      </w:r>
      <w:r>
        <w:rPr>
          <w:color w:val="57585A"/>
          <w:spacing w:val="-12"/>
          <w:sz w:val="20"/>
          <w:szCs w:val="20"/>
        </w:rPr>
        <w:t>ncy gains. The plan aims to boost gasoline, diesel, and</w:t>
      </w:r>
      <w:r>
        <w:rPr>
          <w:color w:val="57585A"/>
          <w:spacing w:val="-18"/>
          <w:sz w:val="20"/>
          <w:szCs w:val="20"/>
        </w:rPr>
        <w:t xml:space="preserve"> </w:t>
      </w:r>
      <w:r>
        <w:rPr>
          <w:color w:val="57585A"/>
          <w:spacing w:val="-12"/>
          <w:sz w:val="20"/>
          <w:szCs w:val="20"/>
        </w:rPr>
        <w:t>jet fuel</w:t>
      </w:r>
      <w:r>
        <w:rPr>
          <w:color w:val="57585A"/>
          <w:sz w:val="20"/>
          <w:szCs w:val="20"/>
        </w:rPr>
        <w:t xml:space="preserve"> </w:t>
      </w:r>
      <w:r>
        <w:rPr>
          <w:color w:val="57585A"/>
          <w:spacing w:val="-11"/>
          <w:sz w:val="20"/>
          <w:szCs w:val="20"/>
        </w:rPr>
        <w:t>production by 343,000 barrels per day and increase natural gas output. Despite the</w:t>
      </w:r>
      <w:r>
        <w:rPr>
          <w:color w:val="57585A"/>
          <w:spacing w:val="-12"/>
          <w:sz w:val="20"/>
          <w:szCs w:val="20"/>
        </w:rPr>
        <w:t>se ambitions,</w:t>
      </w:r>
      <w:r>
        <w:rPr>
          <w:color w:val="57585A"/>
          <w:spacing w:val="-16"/>
          <w:sz w:val="20"/>
          <w:szCs w:val="20"/>
        </w:rPr>
        <w:t xml:space="preserve"> </w:t>
      </w:r>
      <w:r>
        <w:rPr>
          <w:color w:val="57585A"/>
          <w:spacing w:val="-12"/>
          <w:sz w:val="20"/>
          <w:szCs w:val="20"/>
        </w:rPr>
        <w:t>we remain cautious due to</w:t>
      </w:r>
    </w:p>
    <w:p w14:paraId="2D5D03A8">
      <w:pPr>
        <w:pStyle w:val="4"/>
        <w:spacing w:before="38" w:line="279" w:lineRule="auto"/>
        <w:ind w:left="369" w:right="899" w:firstLine="6"/>
        <w:rPr>
          <w:sz w:val="20"/>
          <w:szCs w:val="20"/>
        </w:rPr>
      </w:pPr>
      <w:r>
        <w:rPr>
          <w:color w:val="57585A"/>
          <w:spacing w:val="-11"/>
          <w:sz w:val="20"/>
          <w:szCs w:val="20"/>
        </w:rPr>
        <w:t>Petrobras' historically</w:t>
      </w:r>
      <w:r>
        <w:rPr>
          <w:color w:val="57585A"/>
          <w:spacing w:val="-15"/>
          <w:sz w:val="20"/>
          <w:szCs w:val="20"/>
        </w:rPr>
        <w:t xml:space="preserve"> </w:t>
      </w:r>
      <w:r>
        <w:rPr>
          <w:color w:val="57585A"/>
          <w:spacing w:val="-11"/>
          <w:sz w:val="20"/>
          <w:szCs w:val="20"/>
        </w:rPr>
        <w:t>weak tra</w:t>
      </w:r>
      <w:r>
        <w:rPr>
          <w:color w:val="57585A"/>
          <w:spacing w:val="-12"/>
          <w:sz w:val="20"/>
          <w:szCs w:val="20"/>
        </w:rPr>
        <w:t>ck record in executing large downstream projects,</w:t>
      </w:r>
      <w:r>
        <w:rPr>
          <w:color w:val="57585A"/>
          <w:spacing w:val="-16"/>
          <w:sz w:val="20"/>
          <w:szCs w:val="20"/>
        </w:rPr>
        <w:t xml:space="preserve"> </w:t>
      </w:r>
      <w:r>
        <w:rPr>
          <w:color w:val="57585A"/>
          <w:spacing w:val="-12"/>
          <w:sz w:val="20"/>
          <w:szCs w:val="20"/>
        </w:rPr>
        <w:t>which have been marked by delays and cost</w:t>
      </w:r>
      <w:r>
        <w:rPr>
          <w:color w:val="57585A"/>
          <w:sz w:val="20"/>
          <w:szCs w:val="20"/>
        </w:rPr>
        <w:t xml:space="preserve"> </w:t>
      </w:r>
      <w:r>
        <w:rPr>
          <w:color w:val="57585A"/>
          <w:spacing w:val="-11"/>
          <w:sz w:val="20"/>
          <w:szCs w:val="20"/>
        </w:rPr>
        <w:t>overruns. Furthermore, a decree issued in</w:t>
      </w:r>
      <w:r>
        <w:rPr>
          <w:color w:val="57585A"/>
          <w:spacing w:val="-16"/>
          <w:sz w:val="20"/>
          <w:szCs w:val="20"/>
        </w:rPr>
        <w:t xml:space="preserve"> </w:t>
      </w:r>
      <w:r>
        <w:rPr>
          <w:color w:val="57585A"/>
          <w:spacing w:val="-11"/>
          <w:sz w:val="20"/>
          <w:szCs w:val="20"/>
        </w:rPr>
        <w:t>August 2024</w:t>
      </w:r>
      <w:r>
        <w:rPr>
          <w:color w:val="57585A"/>
          <w:spacing w:val="-12"/>
          <w:sz w:val="20"/>
          <w:szCs w:val="20"/>
        </w:rPr>
        <w:t xml:space="preserve"> granting</w:t>
      </w:r>
      <w:r>
        <w:rPr>
          <w:color w:val="57585A"/>
          <w:spacing w:val="-15"/>
          <w:sz w:val="20"/>
          <w:szCs w:val="20"/>
        </w:rPr>
        <w:t xml:space="preserve"> </w:t>
      </w:r>
      <w:r>
        <w:rPr>
          <w:color w:val="57585A"/>
          <w:spacing w:val="-12"/>
          <w:sz w:val="20"/>
          <w:szCs w:val="20"/>
        </w:rPr>
        <w:t>ANP powers to limit gas reinjection rates is likely to</w:t>
      </w:r>
      <w:r>
        <w:rPr>
          <w:color w:val="57585A"/>
          <w:spacing w:val="-2"/>
          <w:sz w:val="20"/>
          <w:szCs w:val="20"/>
        </w:rPr>
        <w:t xml:space="preserve"> </w:t>
      </w:r>
      <w:r>
        <w:rPr>
          <w:color w:val="57585A"/>
          <w:spacing w:val="-12"/>
          <w:sz w:val="20"/>
          <w:szCs w:val="20"/>
        </w:rPr>
        <w:t>lead to</w:t>
      </w:r>
      <w:r>
        <w:rPr>
          <w:color w:val="57585A"/>
          <w:sz w:val="20"/>
          <w:szCs w:val="20"/>
        </w:rPr>
        <w:t xml:space="preserve">   </w:t>
      </w:r>
      <w:r>
        <w:rPr>
          <w:color w:val="57585A"/>
          <w:spacing w:val="-11"/>
          <w:sz w:val="20"/>
          <w:szCs w:val="20"/>
        </w:rPr>
        <w:t>increased government intervention across the energy sector, elevating regulatory risks.</w:t>
      </w:r>
    </w:p>
    <w:p w14:paraId="5FAC06B3">
      <w:pPr>
        <w:pStyle w:val="4"/>
        <w:spacing w:line="264" w:lineRule="auto"/>
      </w:pPr>
    </w:p>
    <w:p w14:paraId="56F11ECD">
      <w:pPr>
        <w:pStyle w:val="4"/>
        <w:spacing w:before="58" w:line="283" w:lineRule="auto"/>
        <w:ind w:left="366" w:right="641" w:firstLine="9"/>
        <w:rPr>
          <w:sz w:val="20"/>
          <w:szCs w:val="20"/>
        </w:rPr>
      </w:pPr>
      <w:r>
        <w:rPr>
          <w:color w:val="57585A"/>
          <w:spacing w:val="-11"/>
          <w:sz w:val="20"/>
          <w:szCs w:val="20"/>
        </w:rPr>
        <w:t>In Mexico, President</w:t>
      </w:r>
      <w:r>
        <w:rPr>
          <w:color w:val="57585A"/>
          <w:spacing w:val="-16"/>
          <w:sz w:val="20"/>
          <w:szCs w:val="20"/>
        </w:rPr>
        <w:t xml:space="preserve"> </w:t>
      </w:r>
      <w:r>
        <w:rPr>
          <w:color w:val="57585A"/>
          <w:spacing w:val="-11"/>
          <w:sz w:val="20"/>
          <w:szCs w:val="20"/>
        </w:rPr>
        <w:t>Andrés Manuel López Obrador's interventionist policies in the</w:t>
      </w:r>
      <w:r>
        <w:rPr>
          <w:color w:val="57585A"/>
          <w:spacing w:val="-12"/>
          <w:sz w:val="20"/>
          <w:szCs w:val="20"/>
        </w:rPr>
        <w:t xml:space="preserve"> fuel distribution market</w:t>
      </w:r>
      <w:r>
        <w:rPr>
          <w:color w:val="57585A"/>
          <w:spacing w:val="-1"/>
          <w:sz w:val="20"/>
          <w:szCs w:val="20"/>
        </w:rPr>
        <w:t xml:space="preserve"> </w:t>
      </w:r>
      <w:r>
        <w:rPr>
          <w:color w:val="57585A"/>
          <w:spacing w:val="-12"/>
          <w:sz w:val="20"/>
          <w:szCs w:val="20"/>
        </w:rPr>
        <w:t>remain significant.</w:t>
      </w:r>
      <w:r>
        <w:rPr>
          <w:color w:val="57585A"/>
          <w:sz w:val="20"/>
          <w:szCs w:val="20"/>
        </w:rPr>
        <w:t xml:space="preserve"> </w:t>
      </w:r>
      <w:r>
        <w:rPr>
          <w:color w:val="57585A"/>
          <w:spacing w:val="-12"/>
          <w:sz w:val="20"/>
          <w:szCs w:val="20"/>
        </w:rPr>
        <w:t>His</w:t>
      </w:r>
      <w:r>
        <w:rPr>
          <w:color w:val="57585A"/>
          <w:sz w:val="20"/>
          <w:szCs w:val="20"/>
        </w:rPr>
        <w:t xml:space="preserve"> </w:t>
      </w:r>
      <w:r>
        <w:rPr>
          <w:color w:val="57585A"/>
          <w:spacing w:val="-10"/>
          <w:sz w:val="20"/>
          <w:szCs w:val="20"/>
        </w:rPr>
        <w:t>2021 regulatory overhaul, aimed at curbing private pa</w:t>
      </w:r>
      <w:r>
        <w:rPr>
          <w:color w:val="57585A"/>
          <w:spacing w:val="-11"/>
          <w:sz w:val="20"/>
          <w:szCs w:val="20"/>
        </w:rPr>
        <w:t>rticipation by tightening permit rules and storage obligations, has enabled</w:t>
      </w:r>
      <w:r>
        <w:rPr>
          <w:color w:val="57585A"/>
          <w:sz w:val="20"/>
          <w:szCs w:val="20"/>
        </w:rPr>
        <w:t xml:space="preserve"> </w:t>
      </w:r>
      <w:r>
        <w:rPr>
          <w:color w:val="57585A"/>
          <w:spacing w:val="-11"/>
          <w:sz w:val="20"/>
          <w:szCs w:val="20"/>
        </w:rPr>
        <w:t>state-owned Pemex to regain market share. Un</w:t>
      </w:r>
      <w:r>
        <w:rPr>
          <w:color w:val="57585A"/>
          <w:spacing w:val="-12"/>
          <w:sz w:val="20"/>
          <w:szCs w:val="20"/>
        </w:rPr>
        <w:t>der the incoming administration of Claudia Sheinbaum,</w:t>
      </w:r>
      <w:r>
        <w:rPr>
          <w:color w:val="57585A"/>
          <w:spacing w:val="-16"/>
          <w:sz w:val="20"/>
          <w:szCs w:val="20"/>
        </w:rPr>
        <w:t xml:space="preserve"> </w:t>
      </w:r>
      <w:r>
        <w:rPr>
          <w:color w:val="57585A"/>
          <w:spacing w:val="-12"/>
          <w:sz w:val="20"/>
          <w:szCs w:val="20"/>
        </w:rPr>
        <w:t>who</w:t>
      </w:r>
      <w:r>
        <w:rPr>
          <w:color w:val="57585A"/>
          <w:spacing w:val="-15"/>
          <w:sz w:val="20"/>
          <w:szCs w:val="20"/>
        </w:rPr>
        <w:t xml:space="preserve"> </w:t>
      </w:r>
      <w:r>
        <w:rPr>
          <w:color w:val="57585A"/>
          <w:spacing w:val="-12"/>
          <w:sz w:val="20"/>
          <w:szCs w:val="20"/>
        </w:rPr>
        <w:t>won the</w:t>
      </w:r>
      <w:r>
        <w:rPr>
          <w:color w:val="57585A"/>
          <w:spacing w:val="-24"/>
          <w:sz w:val="20"/>
          <w:szCs w:val="20"/>
        </w:rPr>
        <w:t xml:space="preserve"> </w:t>
      </w:r>
      <w:r>
        <w:rPr>
          <w:color w:val="57585A"/>
          <w:spacing w:val="-12"/>
          <w:sz w:val="20"/>
          <w:szCs w:val="20"/>
        </w:rPr>
        <w:t>June 2024</w:t>
      </w:r>
      <w:r>
        <w:rPr>
          <w:color w:val="57585A"/>
          <w:sz w:val="20"/>
          <w:szCs w:val="20"/>
        </w:rPr>
        <w:t xml:space="preserve"> </w:t>
      </w:r>
      <w:r>
        <w:rPr>
          <w:color w:val="57585A"/>
          <w:spacing w:val="-10"/>
          <w:sz w:val="20"/>
          <w:szCs w:val="20"/>
        </w:rPr>
        <w:t xml:space="preserve">presidential elections, major </w:t>
      </w:r>
      <w:r>
        <w:rPr>
          <w:color w:val="57585A"/>
          <w:spacing w:val="-11"/>
          <w:sz w:val="20"/>
          <w:szCs w:val="20"/>
        </w:rPr>
        <w:t>policy shifts are not anticipated. Early indications suggest Sheinbaum intends to continue López</w:t>
      </w:r>
    </w:p>
    <w:p w14:paraId="58D2725D">
      <w:pPr>
        <w:pStyle w:val="4"/>
        <w:spacing w:before="37" w:line="231" w:lineRule="auto"/>
        <w:ind w:left="369"/>
        <w:rPr>
          <w:sz w:val="20"/>
          <w:szCs w:val="20"/>
        </w:rPr>
      </w:pPr>
      <w:r>
        <w:rPr>
          <w:color w:val="57585A"/>
          <w:spacing w:val="-12"/>
          <w:sz w:val="20"/>
          <w:szCs w:val="20"/>
        </w:rPr>
        <w:t>Obrador's nationalist energy agenda, emphasizing Pemex's</w:t>
      </w:r>
      <w:r>
        <w:rPr>
          <w:color w:val="57585A"/>
          <w:spacing w:val="-13"/>
          <w:sz w:val="20"/>
          <w:szCs w:val="20"/>
        </w:rPr>
        <w:t xml:space="preserve"> central role.</w:t>
      </w:r>
    </w:p>
    <w:p w14:paraId="417E1F58">
      <w:pPr>
        <w:pStyle w:val="4"/>
        <w:spacing w:line="287" w:lineRule="auto"/>
      </w:pPr>
    </w:p>
    <w:p w14:paraId="5AEE1665">
      <w:pPr>
        <w:pStyle w:val="4"/>
        <w:spacing w:before="57" w:line="273" w:lineRule="auto"/>
        <w:ind w:left="363" w:right="425" w:firstLine="12"/>
        <w:rPr>
          <w:sz w:val="20"/>
          <w:szCs w:val="20"/>
        </w:rPr>
      </w:pPr>
      <w:r>
        <w:rPr>
          <w:color w:val="57585A"/>
          <w:spacing w:val="-10"/>
          <w:sz w:val="20"/>
          <w:szCs w:val="20"/>
        </w:rPr>
        <w:t>Pemex's latest strategy for 2024–2030 outlines a fur</w:t>
      </w:r>
      <w:r>
        <w:rPr>
          <w:color w:val="57585A"/>
          <w:spacing w:val="-11"/>
          <w:sz w:val="20"/>
          <w:szCs w:val="20"/>
        </w:rPr>
        <w:t>ther push toward fuel self-sufficiency, supported by the operational ramp-up of</w:t>
      </w:r>
      <w:r>
        <w:rPr>
          <w:color w:val="57585A"/>
          <w:sz w:val="20"/>
          <w:szCs w:val="20"/>
        </w:rPr>
        <w:t xml:space="preserve"> </w:t>
      </w:r>
      <w:r>
        <w:rPr>
          <w:color w:val="57585A"/>
          <w:spacing w:val="-12"/>
          <w:sz w:val="20"/>
          <w:szCs w:val="20"/>
        </w:rPr>
        <w:t>the Dos Bocas refinery and the integration of</w:t>
      </w:r>
      <w:r>
        <w:rPr>
          <w:color w:val="57585A"/>
          <w:spacing w:val="-21"/>
          <w:sz w:val="20"/>
          <w:szCs w:val="20"/>
        </w:rPr>
        <w:t xml:space="preserve"> </w:t>
      </w:r>
      <w:r>
        <w:rPr>
          <w:color w:val="57585A"/>
          <w:spacing w:val="-12"/>
          <w:sz w:val="20"/>
          <w:szCs w:val="20"/>
        </w:rPr>
        <w:t>the Deer Park</w:t>
      </w:r>
      <w:r>
        <w:rPr>
          <w:color w:val="57585A"/>
          <w:spacing w:val="-2"/>
          <w:sz w:val="20"/>
          <w:szCs w:val="20"/>
        </w:rPr>
        <w:t xml:space="preserve"> </w:t>
      </w:r>
      <w:r>
        <w:rPr>
          <w:color w:val="57585A"/>
          <w:spacing w:val="-12"/>
          <w:sz w:val="20"/>
          <w:szCs w:val="20"/>
        </w:rPr>
        <w:t>refinery in Te</w:t>
      </w:r>
      <w:r>
        <w:rPr>
          <w:color w:val="57585A"/>
          <w:spacing w:val="-13"/>
          <w:sz w:val="20"/>
          <w:szCs w:val="20"/>
        </w:rPr>
        <w:t>xas.</w:t>
      </w:r>
      <w:r>
        <w:rPr>
          <w:color w:val="57585A"/>
          <w:spacing w:val="1"/>
          <w:sz w:val="20"/>
          <w:szCs w:val="20"/>
        </w:rPr>
        <w:t xml:space="preserve"> </w:t>
      </w:r>
      <w:r>
        <w:rPr>
          <w:color w:val="57585A"/>
          <w:spacing w:val="-13"/>
          <w:sz w:val="20"/>
          <w:szCs w:val="20"/>
        </w:rPr>
        <w:t>Plans to expand refinery capacity,</w:t>
      </w:r>
      <w:r>
        <w:rPr>
          <w:color w:val="57585A"/>
          <w:spacing w:val="-4"/>
          <w:sz w:val="20"/>
          <w:szCs w:val="20"/>
        </w:rPr>
        <w:t xml:space="preserve"> </w:t>
      </w:r>
      <w:r>
        <w:rPr>
          <w:color w:val="57585A"/>
          <w:spacing w:val="-13"/>
          <w:sz w:val="20"/>
          <w:szCs w:val="20"/>
        </w:rPr>
        <w:t>install</w:t>
      </w:r>
      <w:r>
        <w:rPr>
          <w:color w:val="57585A"/>
          <w:spacing w:val="-2"/>
          <w:sz w:val="20"/>
          <w:szCs w:val="20"/>
        </w:rPr>
        <w:t xml:space="preserve"> </w:t>
      </w:r>
      <w:r>
        <w:rPr>
          <w:color w:val="57585A"/>
          <w:spacing w:val="-13"/>
          <w:sz w:val="20"/>
          <w:szCs w:val="20"/>
        </w:rPr>
        <w:t>new</w:t>
      </w:r>
      <w:r>
        <w:rPr>
          <w:color w:val="57585A"/>
          <w:spacing w:val="-6"/>
          <w:sz w:val="20"/>
          <w:szCs w:val="20"/>
        </w:rPr>
        <w:t xml:space="preserve"> </w:t>
      </w:r>
      <w:r>
        <w:rPr>
          <w:color w:val="57585A"/>
          <w:spacing w:val="-13"/>
          <w:sz w:val="20"/>
          <w:szCs w:val="20"/>
        </w:rPr>
        <w:t>coking</w:t>
      </w:r>
    </w:p>
    <w:p w14:paraId="77922DAF">
      <w:pPr>
        <w:pStyle w:val="4"/>
        <w:spacing w:before="38" w:line="280" w:lineRule="auto"/>
        <w:ind w:left="371" w:right="507" w:firstLine="1"/>
        <w:rPr>
          <w:sz w:val="20"/>
          <w:szCs w:val="20"/>
        </w:rPr>
      </w:pPr>
      <w:r>
        <w:rPr>
          <w:color w:val="57585A"/>
          <w:spacing w:val="-10"/>
          <w:sz w:val="20"/>
          <w:szCs w:val="20"/>
        </w:rPr>
        <w:t>plants, and enhance fuel output underline the government's intent to re</w:t>
      </w:r>
      <w:r>
        <w:rPr>
          <w:color w:val="57585A"/>
          <w:spacing w:val="-11"/>
          <w:sz w:val="20"/>
          <w:szCs w:val="20"/>
        </w:rPr>
        <w:t>duce dependency on imports. Nonetheless, private sector</w:t>
      </w:r>
      <w:r>
        <w:rPr>
          <w:color w:val="57585A"/>
          <w:sz w:val="20"/>
          <w:szCs w:val="20"/>
        </w:rPr>
        <w:t xml:space="preserve"> </w:t>
      </w:r>
      <w:r>
        <w:rPr>
          <w:color w:val="57585A"/>
          <w:spacing w:val="-11"/>
          <w:sz w:val="20"/>
          <w:szCs w:val="20"/>
        </w:rPr>
        <w:t>involvement in Mexico's downstream segment</w:t>
      </w:r>
      <w:r>
        <w:rPr>
          <w:color w:val="57585A"/>
          <w:spacing w:val="-15"/>
          <w:sz w:val="20"/>
          <w:szCs w:val="20"/>
        </w:rPr>
        <w:t xml:space="preserve"> </w:t>
      </w:r>
      <w:r>
        <w:rPr>
          <w:color w:val="57585A"/>
          <w:spacing w:val="-11"/>
          <w:sz w:val="20"/>
          <w:szCs w:val="20"/>
        </w:rPr>
        <w:t>will remain heavily constrained, and broader liberalisatio</w:t>
      </w:r>
      <w:r>
        <w:rPr>
          <w:color w:val="57585A"/>
          <w:spacing w:val="-12"/>
          <w:sz w:val="20"/>
          <w:szCs w:val="20"/>
        </w:rPr>
        <w:t>n prospects are unlikely to</w:t>
      </w:r>
      <w:r>
        <w:rPr>
          <w:color w:val="57585A"/>
          <w:sz w:val="20"/>
          <w:szCs w:val="20"/>
        </w:rPr>
        <w:t xml:space="preserve"> </w:t>
      </w:r>
      <w:r>
        <w:rPr>
          <w:color w:val="57585A"/>
          <w:spacing w:val="-11"/>
          <w:sz w:val="20"/>
          <w:szCs w:val="20"/>
        </w:rPr>
        <w:t>improve over the</w:t>
      </w:r>
      <w:r>
        <w:rPr>
          <w:color w:val="57585A"/>
          <w:spacing w:val="5"/>
          <w:sz w:val="20"/>
          <w:szCs w:val="20"/>
        </w:rPr>
        <w:t xml:space="preserve"> </w:t>
      </w:r>
      <w:r>
        <w:rPr>
          <w:color w:val="57585A"/>
          <w:spacing w:val="-11"/>
          <w:sz w:val="20"/>
          <w:szCs w:val="20"/>
        </w:rPr>
        <w:t>forecast period.</w:t>
      </w:r>
    </w:p>
    <w:p w14:paraId="22831542">
      <w:pPr>
        <w:pStyle w:val="4"/>
        <w:spacing w:line="294" w:lineRule="auto"/>
      </w:pPr>
    </w:p>
    <w:p w14:paraId="0F93DE46">
      <w:pPr>
        <w:pStyle w:val="4"/>
        <w:spacing w:line="294" w:lineRule="auto"/>
      </w:pPr>
    </w:p>
    <w:p w14:paraId="2A17D30C">
      <w:pPr>
        <w:pStyle w:val="4"/>
        <w:spacing w:before="69" w:line="236" w:lineRule="auto"/>
        <w:ind w:left="2767"/>
        <w:outlineLvl w:val="1"/>
        <w:rPr>
          <w:sz w:val="24"/>
          <w:szCs w:val="24"/>
        </w:rPr>
      </w:pPr>
      <w:r>
        <w:rPr>
          <w:color w:val="174174"/>
          <w:spacing w:val="-10"/>
          <w:sz w:val="24"/>
          <w:szCs w:val="24"/>
        </w:rPr>
        <w:t>LatinAmerica Underperfoms In Both RisksAnd Rewards</w:t>
      </w:r>
    </w:p>
    <w:p w14:paraId="0F307D83">
      <w:pPr>
        <w:pStyle w:val="4"/>
        <w:spacing w:before="30" w:line="261" w:lineRule="exact"/>
        <w:ind w:left="2798"/>
        <w:outlineLvl w:val="1"/>
        <w:rPr>
          <w:sz w:val="20"/>
          <w:szCs w:val="20"/>
        </w:rPr>
      </w:pPr>
      <w:r>
        <w:rPr>
          <w:color w:val="333333"/>
          <w:spacing w:val="-13"/>
          <w:position w:val="1"/>
          <w:sz w:val="20"/>
          <w:szCs w:val="20"/>
        </w:rPr>
        <w:t>Selected Latin America Markets - Downstream Risks/Reward</w:t>
      </w:r>
      <w:r>
        <w:rPr>
          <w:color w:val="333333"/>
          <w:spacing w:val="-14"/>
          <w:position w:val="1"/>
          <w:sz w:val="20"/>
          <w:szCs w:val="20"/>
        </w:rPr>
        <w:t>s Scores</w:t>
      </w:r>
    </w:p>
    <w:p w14:paraId="642FC620">
      <w:pPr>
        <w:spacing w:before="57" w:line="4500" w:lineRule="exact"/>
        <w:ind w:firstLine="1862"/>
      </w:pPr>
      <w:r>
        <w:rPr>
          <w:position w:val="-90"/>
        </w:rPr>
        <w:drawing>
          <wp:inline distT="0" distB="0" distL="0" distR="0">
            <wp:extent cx="4572000" cy="285750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141"/>
                    <a:stretch>
                      <a:fillRect/>
                    </a:stretch>
                  </pic:blipFill>
                  <pic:spPr>
                    <a:xfrm>
                      <a:off x="0" y="0"/>
                      <a:ext cx="4572000" cy="2857500"/>
                    </a:xfrm>
                    <a:prstGeom prst="rect">
                      <a:avLst/>
                    </a:prstGeom>
                  </pic:spPr>
                </pic:pic>
              </a:graphicData>
            </a:graphic>
          </wp:inline>
        </w:drawing>
      </w:r>
    </w:p>
    <w:p w14:paraId="1ED8DA94">
      <w:pPr>
        <w:pStyle w:val="4"/>
        <w:spacing w:before="149" w:line="177" w:lineRule="exact"/>
        <w:ind w:left="1874"/>
        <w:rPr>
          <w:sz w:val="15"/>
          <w:szCs w:val="15"/>
        </w:rPr>
      </w:pPr>
      <w:r>
        <w:drawing>
          <wp:anchor distT="0" distB="0" distL="0" distR="0" simplePos="0" relativeHeight="25188659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7"/>
          <w:w w:val="98"/>
          <w:position w:val="1"/>
          <w:sz w:val="15"/>
          <w:szCs w:val="15"/>
        </w:rPr>
        <w:t>Note: Scores out</w:t>
      </w:r>
      <w:r>
        <w:rPr>
          <w:i/>
          <w:iCs/>
          <w:color w:val="333333"/>
          <w:spacing w:val="-10"/>
          <w:position w:val="1"/>
          <w:sz w:val="15"/>
          <w:szCs w:val="15"/>
        </w:rPr>
        <w:t xml:space="preserve"> </w:t>
      </w:r>
      <w:r>
        <w:rPr>
          <w:i/>
          <w:iCs/>
          <w:color w:val="333333"/>
          <w:spacing w:val="-7"/>
          <w:w w:val="98"/>
          <w:position w:val="1"/>
          <w:sz w:val="15"/>
          <w:szCs w:val="15"/>
        </w:rPr>
        <w:t>of</w:t>
      </w:r>
      <w:r>
        <w:rPr>
          <w:i/>
          <w:iCs/>
          <w:color w:val="333333"/>
          <w:spacing w:val="-11"/>
          <w:position w:val="1"/>
          <w:sz w:val="15"/>
          <w:szCs w:val="15"/>
        </w:rPr>
        <w:t xml:space="preserve"> </w:t>
      </w:r>
      <w:r>
        <w:rPr>
          <w:i/>
          <w:iCs/>
          <w:color w:val="333333"/>
          <w:spacing w:val="-7"/>
          <w:w w:val="98"/>
          <w:position w:val="1"/>
          <w:sz w:val="15"/>
          <w:szCs w:val="15"/>
        </w:rPr>
        <w:t>100;</w:t>
      </w:r>
      <w:r>
        <w:rPr>
          <w:i/>
          <w:iCs/>
          <w:color w:val="333333"/>
          <w:spacing w:val="-8"/>
          <w:position w:val="1"/>
          <w:sz w:val="15"/>
          <w:szCs w:val="15"/>
        </w:rPr>
        <w:t xml:space="preserve"> </w:t>
      </w:r>
      <w:r>
        <w:rPr>
          <w:i/>
          <w:iCs/>
          <w:color w:val="333333"/>
          <w:spacing w:val="-7"/>
          <w:w w:val="98"/>
          <w:position w:val="1"/>
          <w:sz w:val="15"/>
          <w:szCs w:val="15"/>
        </w:rPr>
        <w:t>lowe</w:t>
      </w:r>
      <w:r>
        <w:rPr>
          <w:i/>
          <w:iCs/>
          <w:color w:val="333333"/>
          <w:spacing w:val="-8"/>
          <w:w w:val="98"/>
          <w:position w:val="1"/>
          <w:sz w:val="15"/>
          <w:szCs w:val="15"/>
        </w:rPr>
        <w:t>st</w:t>
      </w:r>
      <w:r>
        <w:rPr>
          <w:i/>
          <w:iCs/>
          <w:color w:val="333333"/>
          <w:spacing w:val="-16"/>
          <w:position w:val="1"/>
          <w:sz w:val="15"/>
          <w:szCs w:val="15"/>
        </w:rPr>
        <w:t xml:space="preserve"> </w:t>
      </w:r>
      <w:r>
        <w:rPr>
          <w:i/>
          <w:iCs/>
          <w:color w:val="333333"/>
          <w:spacing w:val="-8"/>
          <w:w w:val="98"/>
          <w:position w:val="1"/>
          <w:sz w:val="15"/>
          <w:szCs w:val="15"/>
        </w:rPr>
        <w:t>score = more attractive market. Source: BMI</w:t>
      </w:r>
    </w:p>
    <w:p w14:paraId="74B9CDCB">
      <w:pPr>
        <w:spacing w:line="177" w:lineRule="exact"/>
        <w:rPr>
          <w:sz w:val="15"/>
          <w:szCs w:val="15"/>
        </w:rPr>
        <w:sectPr>
          <w:footerReference r:id="rId59" w:type="default"/>
          <w:pgSz w:w="11906" w:h="16838"/>
          <w:pgMar w:top="400" w:right="490" w:bottom="883" w:left="490" w:header="0" w:footer="0" w:gutter="0"/>
          <w:cols w:space="720" w:num="1"/>
        </w:sectPr>
      </w:pPr>
    </w:p>
    <w:p w14:paraId="7FA6EC8F">
      <w:pPr>
        <w:pStyle w:val="4"/>
        <w:spacing w:before="73" w:line="241" w:lineRule="auto"/>
        <w:ind w:left="7372"/>
        <w:rPr>
          <w:sz w:val="20"/>
          <w:szCs w:val="20"/>
        </w:rPr>
      </w:pPr>
      <w:r>
        <w:drawing>
          <wp:anchor distT="0" distB="0" distL="0" distR="0" simplePos="0" relativeHeight="25189068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91712" behindDoc="0" locked="0" layoutInCell="0" allowOverlap="1">
            <wp:simplePos x="0" y="0"/>
            <wp:positionH relativeFrom="page">
              <wp:posOffset>311150</wp:posOffset>
            </wp:positionH>
            <wp:positionV relativeFrom="page">
              <wp:posOffset>0</wp:posOffset>
            </wp:positionV>
            <wp:extent cx="19050" cy="814070"/>
            <wp:effectExtent l="0" t="0" r="0" b="0"/>
            <wp:wrapNone/>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39E6067">
      <w:pPr>
        <w:pStyle w:val="4"/>
        <w:spacing w:line="278" w:lineRule="auto"/>
      </w:pPr>
    </w:p>
    <w:p w14:paraId="5CD7C87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4CD2CF6">
      <w:pPr>
        <w:pStyle w:val="4"/>
        <w:spacing w:line="467" w:lineRule="auto"/>
      </w:pPr>
    </w:p>
    <w:p w14:paraId="177AE902">
      <w:pPr>
        <w:pStyle w:val="4"/>
        <w:spacing w:before="57" w:line="241" w:lineRule="auto"/>
        <w:ind w:left="375"/>
        <w:rPr>
          <w:sz w:val="20"/>
          <w:szCs w:val="20"/>
        </w:rPr>
      </w:pPr>
      <w:r>
        <w:rPr>
          <w:b/>
          <w:bCs/>
          <w:color w:val="57585A"/>
          <w:spacing w:val="-10"/>
          <w:sz w:val="20"/>
          <w:szCs w:val="20"/>
        </w:rPr>
        <w:t>Logistics Risk</w:t>
      </w:r>
      <w:r>
        <w:rPr>
          <w:b/>
          <w:bCs/>
          <w:color w:val="57585A"/>
          <w:spacing w:val="-17"/>
          <w:sz w:val="20"/>
          <w:szCs w:val="20"/>
        </w:rPr>
        <w:t xml:space="preserve"> </w:t>
      </w:r>
      <w:r>
        <w:rPr>
          <w:b/>
          <w:bCs/>
          <w:color w:val="57585A"/>
          <w:spacing w:val="-10"/>
          <w:sz w:val="20"/>
          <w:szCs w:val="20"/>
        </w:rPr>
        <w:t>And Fuel Subsidies</w:t>
      </w:r>
      <w:r>
        <w:rPr>
          <w:b/>
          <w:bCs/>
          <w:color w:val="57585A"/>
          <w:spacing w:val="-15"/>
          <w:sz w:val="20"/>
          <w:szCs w:val="20"/>
        </w:rPr>
        <w:t xml:space="preserve"> </w:t>
      </w:r>
      <w:r>
        <w:rPr>
          <w:b/>
          <w:bCs/>
          <w:color w:val="57585A"/>
          <w:spacing w:val="-10"/>
          <w:sz w:val="20"/>
          <w:szCs w:val="20"/>
        </w:rPr>
        <w:t>Weigh On Se</w:t>
      </w:r>
      <w:r>
        <w:rPr>
          <w:b/>
          <w:bCs/>
          <w:color w:val="57585A"/>
          <w:spacing w:val="-11"/>
          <w:sz w:val="20"/>
          <w:szCs w:val="20"/>
        </w:rPr>
        <w:t>ntiment</w:t>
      </w:r>
    </w:p>
    <w:p w14:paraId="1B32D16F">
      <w:pPr>
        <w:pStyle w:val="4"/>
        <w:spacing w:line="282" w:lineRule="auto"/>
      </w:pPr>
    </w:p>
    <w:p w14:paraId="21736B9E">
      <w:pPr>
        <w:pStyle w:val="4"/>
        <w:spacing w:before="57" w:line="279" w:lineRule="auto"/>
        <w:ind w:left="366" w:right="362" w:firstLine="9"/>
        <w:rPr>
          <w:sz w:val="20"/>
          <w:szCs w:val="20"/>
        </w:rPr>
      </w:pPr>
      <w:r>
        <w:rPr>
          <w:color w:val="57585A"/>
          <w:spacing w:val="-11"/>
          <w:sz w:val="20"/>
          <w:szCs w:val="20"/>
        </w:rPr>
        <w:t>Latin</w:t>
      </w:r>
      <w:r>
        <w:rPr>
          <w:color w:val="57585A"/>
          <w:spacing w:val="-15"/>
          <w:sz w:val="20"/>
          <w:szCs w:val="20"/>
        </w:rPr>
        <w:t xml:space="preserve"> </w:t>
      </w:r>
      <w:r>
        <w:rPr>
          <w:color w:val="57585A"/>
          <w:spacing w:val="-11"/>
          <w:sz w:val="20"/>
          <w:szCs w:val="20"/>
        </w:rPr>
        <w:t>America faces significant logistics challenges,</w:t>
      </w:r>
      <w:r>
        <w:rPr>
          <w:color w:val="57585A"/>
          <w:spacing w:val="-16"/>
          <w:sz w:val="20"/>
          <w:szCs w:val="20"/>
        </w:rPr>
        <w:t xml:space="preserve"> </w:t>
      </w:r>
      <w:r>
        <w:rPr>
          <w:color w:val="57585A"/>
          <w:spacing w:val="-11"/>
          <w:sz w:val="20"/>
          <w:szCs w:val="20"/>
        </w:rPr>
        <w:t>with frequent attacks on oil and gas midstream infrastructure and</w:t>
      </w:r>
      <w:r>
        <w:rPr>
          <w:color w:val="57585A"/>
          <w:spacing w:val="-16"/>
          <w:sz w:val="20"/>
          <w:szCs w:val="20"/>
        </w:rPr>
        <w:t xml:space="preserve"> </w:t>
      </w:r>
      <w:r>
        <w:rPr>
          <w:color w:val="57585A"/>
          <w:spacing w:val="-11"/>
          <w:sz w:val="20"/>
          <w:szCs w:val="20"/>
        </w:rPr>
        <w:t xml:space="preserve">widespread </w:t>
      </w:r>
      <w:r>
        <w:rPr>
          <w:color w:val="57585A"/>
          <w:spacing w:val="-12"/>
          <w:sz w:val="20"/>
          <w:szCs w:val="20"/>
        </w:rPr>
        <w:t>oil</w:t>
      </w:r>
      <w:r>
        <w:rPr>
          <w:color w:val="57585A"/>
          <w:sz w:val="20"/>
          <w:szCs w:val="20"/>
        </w:rPr>
        <w:t xml:space="preserve"> </w:t>
      </w:r>
      <w:r>
        <w:rPr>
          <w:color w:val="57585A"/>
          <w:spacing w:val="-11"/>
          <w:sz w:val="20"/>
          <w:szCs w:val="20"/>
        </w:rPr>
        <w:t>siphoning. Media reports indicate a substantial increase in attacks on pipeline infr</w:t>
      </w:r>
      <w:r>
        <w:rPr>
          <w:color w:val="57585A"/>
          <w:spacing w:val="-12"/>
          <w:sz w:val="20"/>
          <w:szCs w:val="20"/>
        </w:rPr>
        <w:t>astructure in countries such as Colombia and Peru.</w:t>
      </w:r>
      <w:r>
        <w:rPr>
          <w:color w:val="57585A"/>
          <w:sz w:val="20"/>
          <w:szCs w:val="20"/>
        </w:rPr>
        <w:t xml:space="preserve"> </w:t>
      </w:r>
      <w:r>
        <w:rPr>
          <w:color w:val="57585A"/>
          <w:spacing w:val="-11"/>
          <w:sz w:val="20"/>
          <w:szCs w:val="20"/>
        </w:rPr>
        <w:t>In Venezuela, fuel distribution heavily depends on illegal transactions. These issue</w:t>
      </w:r>
      <w:r>
        <w:rPr>
          <w:color w:val="57585A"/>
          <w:spacing w:val="-12"/>
          <w:sz w:val="20"/>
          <w:szCs w:val="20"/>
        </w:rPr>
        <w:t>s negatively impact investor sentiment and</w:t>
      </w:r>
    </w:p>
    <w:p w14:paraId="71F9126A">
      <w:pPr>
        <w:pStyle w:val="4"/>
        <w:spacing w:before="37" w:line="273" w:lineRule="auto"/>
        <w:ind w:left="366" w:right="413" w:firstLine="4"/>
        <w:rPr>
          <w:sz w:val="20"/>
          <w:szCs w:val="20"/>
        </w:rPr>
      </w:pPr>
      <w:r>
        <w:rPr>
          <w:color w:val="57585A"/>
          <w:spacing w:val="-10"/>
          <w:sz w:val="20"/>
          <w:szCs w:val="20"/>
        </w:rPr>
        <w:t>increase the risks associated</w:t>
      </w:r>
      <w:r>
        <w:rPr>
          <w:color w:val="57585A"/>
          <w:spacing w:val="-15"/>
          <w:sz w:val="20"/>
          <w:szCs w:val="20"/>
        </w:rPr>
        <w:t xml:space="preserve"> </w:t>
      </w:r>
      <w:r>
        <w:rPr>
          <w:color w:val="57585A"/>
          <w:spacing w:val="-10"/>
          <w:sz w:val="20"/>
          <w:szCs w:val="20"/>
        </w:rPr>
        <w:t>with oper</w:t>
      </w:r>
      <w:r>
        <w:rPr>
          <w:color w:val="57585A"/>
          <w:spacing w:val="-11"/>
          <w:sz w:val="20"/>
          <w:szCs w:val="20"/>
        </w:rPr>
        <w:t>ating in the downstream sector. Furthermore, Latin</w:t>
      </w:r>
      <w:r>
        <w:rPr>
          <w:color w:val="57585A"/>
          <w:spacing w:val="-16"/>
          <w:sz w:val="20"/>
          <w:szCs w:val="20"/>
        </w:rPr>
        <w:t xml:space="preserve"> </w:t>
      </w:r>
      <w:r>
        <w:rPr>
          <w:color w:val="57585A"/>
          <w:spacing w:val="-11"/>
          <w:sz w:val="20"/>
          <w:szCs w:val="20"/>
        </w:rPr>
        <w:t>American countries continue to offer fuel</w:t>
      </w:r>
      <w:r>
        <w:rPr>
          <w:color w:val="57585A"/>
          <w:sz w:val="20"/>
          <w:szCs w:val="20"/>
        </w:rPr>
        <w:t xml:space="preserve"> </w:t>
      </w:r>
      <w:r>
        <w:rPr>
          <w:color w:val="57585A"/>
          <w:spacing w:val="-10"/>
          <w:sz w:val="20"/>
          <w:szCs w:val="20"/>
        </w:rPr>
        <w:t>subsidies,</w:t>
      </w:r>
      <w:r>
        <w:rPr>
          <w:color w:val="57585A"/>
          <w:spacing w:val="-16"/>
          <w:sz w:val="20"/>
          <w:szCs w:val="20"/>
        </w:rPr>
        <w:t xml:space="preserve"> </w:t>
      </w:r>
      <w:r>
        <w:rPr>
          <w:color w:val="57585A"/>
          <w:spacing w:val="-10"/>
          <w:sz w:val="20"/>
          <w:szCs w:val="20"/>
        </w:rPr>
        <w:t>with the</w:t>
      </w:r>
      <w:r>
        <w:rPr>
          <w:color w:val="57585A"/>
          <w:spacing w:val="-12"/>
          <w:sz w:val="20"/>
          <w:szCs w:val="20"/>
        </w:rPr>
        <w:t xml:space="preserve"> </w:t>
      </w:r>
      <w:r>
        <w:rPr>
          <w:color w:val="57585A"/>
          <w:spacing w:val="-10"/>
          <w:sz w:val="20"/>
          <w:szCs w:val="20"/>
        </w:rPr>
        <w:t>financ</w:t>
      </w:r>
      <w:r>
        <w:rPr>
          <w:color w:val="57585A"/>
          <w:spacing w:val="-11"/>
          <w:sz w:val="20"/>
          <w:szCs w:val="20"/>
        </w:rPr>
        <w:t>ial burden likely falling on producers.</w:t>
      </w:r>
    </w:p>
    <w:p w14:paraId="5FFA6B01">
      <w:pPr>
        <w:pStyle w:val="4"/>
        <w:spacing w:line="418" w:lineRule="auto"/>
      </w:pPr>
    </w:p>
    <w:p w14:paraId="11BF0176">
      <w:pPr>
        <w:pStyle w:val="4"/>
        <w:spacing w:before="70" w:line="310" w:lineRule="exact"/>
        <w:ind w:left="427"/>
        <w:rPr>
          <w:sz w:val="24"/>
          <w:szCs w:val="24"/>
        </w:rPr>
      </w:pPr>
      <w:r>
        <w:rPr>
          <w:color w:val="174174"/>
          <w:spacing w:val="-10"/>
          <w:position w:val="1"/>
          <w:sz w:val="24"/>
          <w:szCs w:val="24"/>
        </w:rPr>
        <w:t>Latin</w:t>
      </w:r>
      <w:r>
        <w:rPr>
          <w:color w:val="174174"/>
          <w:spacing w:val="-23"/>
          <w:position w:val="1"/>
          <w:sz w:val="24"/>
          <w:szCs w:val="24"/>
        </w:rPr>
        <w:t xml:space="preserve"> </w:t>
      </w:r>
      <w:r>
        <w:rPr>
          <w:color w:val="174174"/>
          <w:spacing w:val="-10"/>
          <w:position w:val="1"/>
          <w:sz w:val="24"/>
          <w:szCs w:val="24"/>
        </w:rPr>
        <w:t>America Downstream Risk</w:t>
      </w:r>
      <w:r>
        <w:rPr>
          <w:color w:val="174174"/>
          <w:spacing w:val="-11"/>
          <w:position w:val="1"/>
          <w:sz w:val="24"/>
          <w:szCs w:val="24"/>
        </w:rPr>
        <w:t>/Reward Index</w:t>
      </w: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020"/>
        <w:gridCol w:w="1020"/>
        <w:gridCol w:w="1021"/>
        <w:gridCol w:w="1021"/>
        <w:gridCol w:w="1020"/>
        <w:gridCol w:w="1020"/>
        <w:gridCol w:w="1021"/>
        <w:gridCol w:w="1020"/>
        <w:gridCol w:w="1021"/>
        <w:gridCol w:w="1020"/>
      </w:tblGrid>
      <w:tr w14:paraId="5446DB6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1020" w:type="dxa"/>
            <w:tcBorders>
              <w:left w:val="nil"/>
            </w:tcBorders>
            <w:vAlign w:val="top"/>
          </w:tcPr>
          <w:p w14:paraId="5B34F30E">
            <w:pPr>
              <w:pStyle w:val="8"/>
              <w:rPr>
                <w:sz w:val="21"/>
              </w:rPr>
            </w:pPr>
          </w:p>
        </w:tc>
        <w:tc>
          <w:tcPr>
            <w:tcW w:w="1020" w:type="dxa"/>
            <w:tcBorders>
              <w:right w:val="nil"/>
            </w:tcBorders>
            <w:shd w:val="clear" w:color="auto" w:fill="A1D7EF"/>
            <w:vAlign w:val="top"/>
          </w:tcPr>
          <w:p w14:paraId="282A2362">
            <w:pPr>
              <w:pStyle w:val="8"/>
              <w:spacing w:before="70" w:line="241" w:lineRule="auto"/>
              <w:ind w:left="182"/>
            </w:pPr>
            <w:r>
              <w:rPr>
                <w:b/>
                <w:bCs/>
                <w:color w:val="5F6A72"/>
                <w:spacing w:val="-6"/>
              </w:rPr>
              <w:t>Industry</w:t>
            </w:r>
          </w:p>
          <w:p w14:paraId="214D737A">
            <w:pPr>
              <w:pStyle w:val="8"/>
              <w:spacing w:before="42" w:line="243" w:lineRule="exact"/>
              <w:ind w:left="183"/>
            </w:pPr>
            <w:r>
              <w:rPr>
                <w:b/>
                <w:bCs/>
                <w:color w:val="5F6A72"/>
                <w:spacing w:val="-11"/>
                <w:position w:val="1"/>
              </w:rPr>
              <w:t>Rewards</w:t>
            </w:r>
          </w:p>
        </w:tc>
        <w:tc>
          <w:tcPr>
            <w:tcW w:w="1021" w:type="dxa"/>
            <w:tcBorders>
              <w:left w:val="nil"/>
              <w:right w:val="nil"/>
            </w:tcBorders>
            <w:shd w:val="clear" w:color="auto" w:fill="A1D7EF"/>
            <w:vAlign w:val="top"/>
          </w:tcPr>
          <w:p w14:paraId="50DC01F2">
            <w:pPr>
              <w:pStyle w:val="8"/>
              <w:spacing w:before="112" w:line="184" w:lineRule="auto"/>
              <w:ind w:left="196"/>
            </w:pPr>
            <w:r>
              <w:rPr>
                <w:b/>
                <w:bCs/>
                <w:color w:val="5F6A72"/>
                <w:spacing w:val="-7"/>
              </w:rPr>
              <w:t>Country</w:t>
            </w:r>
          </w:p>
          <w:p w14:paraId="0AE56B70">
            <w:pPr>
              <w:pStyle w:val="8"/>
              <w:spacing w:before="49" w:line="243" w:lineRule="exact"/>
              <w:ind w:left="187"/>
            </w:pPr>
            <w:r>
              <w:rPr>
                <w:b/>
                <w:bCs/>
                <w:color w:val="5F6A72"/>
                <w:spacing w:val="-11"/>
                <w:position w:val="1"/>
              </w:rPr>
              <w:t>Rewards</w:t>
            </w:r>
          </w:p>
        </w:tc>
        <w:tc>
          <w:tcPr>
            <w:tcW w:w="1021" w:type="dxa"/>
            <w:tcBorders>
              <w:left w:val="nil"/>
              <w:right w:val="nil"/>
            </w:tcBorders>
            <w:shd w:val="clear" w:color="auto" w:fill="A1D7EF"/>
            <w:vAlign w:val="top"/>
          </w:tcPr>
          <w:p w14:paraId="4AB81FF3">
            <w:pPr>
              <w:pStyle w:val="8"/>
              <w:spacing w:before="70" w:line="243" w:lineRule="exact"/>
              <w:ind w:left="186"/>
            </w:pPr>
            <w:r>
              <w:rPr>
                <w:b/>
                <w:bCs/>
                <w:color w:val="5F6A72"/>
                <w:spacing w:val="-11"/>
                <w:position w:val="1"/>
              </w:rPr>
              <w:t>Rewards</w:t>
            </w:r>
          </w:p>
        </w:tc>
        <w:tc>
          <w:tcPr>
            <w:tcW w:w="1020" w:type="dxa"/>
            <w:tcBorders>
              <w:left w:val="nil"/>
              <w:right w:val="nil"/>
            </w:tcBorders>
            <w:shd w:val="clear" w:color="auto" w:fill="E5819D"/>
            <w:vAlign w:val="top"/>
          </w:tcPr>
          <w:p w14:paraId="730C2A6A">
            <w:pPr>
              <w:pStyle w:val="8"/>
              <w:spacing w:before="70" w:line="241" w:lineRule="auto"/>
              <w:ind w:left="186"/>
            </w:pPr>
            <w:r>
              <w:rPr>
                <w:b/>
                <w:bCs/>
                <w:color w:val="5F6A72"/>
                <w:spacing w:val="-6"/>
              </w:rPr>
              <w:t>Industry</w:t>
            </w:r>
          </w:p>
          <w:p w14:paraId="592FDC21">
            <w:pPr>
              <w:pStyle w:val="8"/>
              <w:spacing w:before="84" w:line="185" w:lineRule="auto"/>
              <w:ind w:left="310"/>
            </w:pPr>
            <w:r>
              <w:rPr>
                <w:b/>
                <w:bCs/>
                <w:color w:val="5F6A72"/>
                <w:spacing w:val="-11"/>
              </w:rPr>
              <w:t>Risks</w:t>
            </w:r>
          </w:p>
        </w:tc>
        <w:tc>
          <w:tcPr>
            <w:tcW w:w="1020" w:type="dxa"/>
            <w:tcBorders>
              <w:left w:val="nil"/>
              <w:right w:val="nil"/>
            </w:tcBorders>
            <w:shd w:val="clear" w:color="auto" w:fill="E5819D"/>
            <w:vAlign w:val="top"/>
          </w:tcPr>
          <w:p w14:paraId="204C6411">
            <w:pPr>
              <w:pStyle w:val="8"/>
              <w:spacing w:before="112" w:line="184" w:lineRule="auto"/>
              <w:ind w:left="195"/>
            </w:pPr>
            <w:r>
              <w:rPr>
                <w:b/>
                <w:bCs/>
                <w:color w:val="5F6A72"/>
                <w:spacing w:val="-7"/>
              </w:rPr>
              <w:t>Country</w:t>
            </w:r>
          </w:p>
          <w:p w14:paraId="3A6D22B4">
            <w:pPr>
              <w:pStyle w:val="8"/>
              <w:spacing w:before="92" w:line="185" w:lineRule="auto"/>
              <w:ind w:left="310"/>
            </w:pPr>
            <w:r>
              <w:rPr>
                <w:b/>
                <w:bCs/>
                <w:color w:val="5F6A72"/>
                <w:spacing w:val="-11"/>
              </w:rPr>
              <w:t>Risks</w:t>
            </w:r>
          </w:p>
        </w:tc>
        <w:tc>
          <w:tcPr>
            <w:tcW w:w="1021" w:type="dxa"/>
            <w:tcBorders>
              <w:left w:val="nil"/>
              <w:right w:val="nil"/>
            </w:tcBorders>
            <w:shd w:val="clear" w:color="auto" w:fill="E5819D"/>
            <w:vAlign w:val="top"/>
          </w:tcPr>
          <w:p w14:paraId="0B01F913">
            <w:pPr>
              <w:pStyle w:val="8"/>
              <w:spacing w:before="112" w:line="185" w:lineRule="auto"/>
              <w:ind w:left="311"/>
            </w:pPr>
            <w:r>
              <w:rPr>
                <w:b/>
                <w:bCs/>
                <w:color w:val="5F6A72"/>
                <w:spacing w:val="-11"/>
              </w:rPr>
              <w:t>Risks</w:t>
            </w:r>
          </w:p>
        </w:tc>
        <w:tc>
          <w:tcPr>
            <w:tcW w:w="1020" w:type="dxa"/>
            <w:tcBorders>
              <w:left w:val="nil"/>
              <w:right w:val="nil"/>
            </w:tcBorders>
            <w:vAlign w:val="top"/>
          </w:tcPr>
          <w:p w14:paraId="61F62A9D">
            <w:pPr>
              <w:pStyle w:val="8"/>
              <w:spacing w:before="114" w:line="183" w:lineRule="auto"/>
              <w:ind w:left="386"/>
            </w:pPr>
            <w:r>
              <w:rPr>
                <w:b/>
                <w:bCs/>
                <w:color w:val="5F6A72"/>
                <w:spacing w:val="-15"/>
              </w:rPr>
              <w:t>RRI</w:t>
            </w:r>
          </w:p>
        </w:tc>
        <w:tc>
          <w:tcPr>
            <w:tcW w:w="1021" w:type="dxa"/>
            <w:tcBorders>
              <w:left w:val="nil"/>
              <w:right w:val="nil"/>
            </w:tcBorders>
            <w:vAlign w:val="top"/>
          </w:tcPr>
          <w:p w14:paraId="39EE1C75">
            <w:pPr>
              <w:pStyle w:val="8"/>
              <w:spacing w:before="70" w:line="241" w:lineRule="auto"/>
              <w:ind w:left="179"/>
            </w:pPr>
            <w:r>
              <w:rPr>
                <w:b/>
                <w:bCs/>
                <w:color w:val="5F6A72"/>
                <w:spacing w:val="-10"/>
              </w:rPr>
              <w:t>Regional</w:t>
            </w:r>
          </w:p>
          <w:p w14:paraId="5C900D36">
            <w:pPr>
              <w:pStyle w:val="8"/>
              <w:spacing w:before="86" w:line="183" w:lineRule="auto"/>
              <w:ind w:left="323"/>
            </w:pPr>
            <w:r>
              <w:rPr>
                <w:b/>
                <w:bCs/>
                <w:color w:val="5F6A72"/>
                <w:spacing w:val="-10"/>
              </w:rPr>
              <w:t>Rank</w:t>
            </w:r>
          </w:p>
        </w:tc>
        <w:tc>
          <w:tcPr>
            <w:tcW w:w="1020" w:type="dxa"/>
            <w:tcBorders>
              <w:left w:val="nil"/>
              <w:right w:val="nil"/>
            </w:tcBorders>
            <w:vAlign w:val="top"/>
          </w:tcPr>
          <w:p w14:paraId="5BA78665">
            <w:pPr>
              <w:pStyle w:val="8"/>
              <w:spacing w:before="111" w:line="187" w:lineRule="auto"/>
              <w:ind w:left="269"/>
            </w:pPr>
            <w:r>
              <w:rPr>
                <w:b/>
                <w:bCs/>
                <w:color w:val="5F6A72"/>
                <w:spacing w:val="-11"/>
              </w:rPr>
              <w:t>Global</w:t>
            </w:r>
          </w:p>
          <w:p w14:paraId="0C8AADAC">
            <w:pPr>
              <w:pStyle w:val="8"/>
              <w:spacing w:before="91" w:line="183" w:lineRule="auto"/>
              <w:ind w:left="322"/>
            </w:pPr>
            <w:r>
              <w:rPr>
                <w:b/>
                <w:bCs/>
                <w:color w:val="5F6A72"/>
                <w:spacing w:val="-10"/>
              </w:rPr>
              <w:t>Rank</w:t>
            </w:r>
          </w:p>
        </w:tc>
      </w:tr>
      <w:tr w14:paraId="00B2669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vAlign w:val="top"/>
          </w:tcPr>
          <w:p w14:paraId="123FB8B2">
            <w:pPr>
              <w:pStyle w:val="8"/>
              <w:spacing w:before="65" w:line="237" w:lineRule="exact"/>
              <w:ind w:left="18"/>
            </w:pPr>
            <w:r>
              <w:rPr>
                <w:color w:val="2A8ABF"/>
                <w:spacing w:val="-12"/>
                <w:position w:val="1"/>
              </w:rPr>
              <w:t>Brazil</w:t>
            </w:r>
          </w:p>
        </w:tc>
        <w:tc>
          <w:tcPr>
            <w:tcW w:w="1020" w:type="dxa"/>
            <w:tcBorders>
              <w:right w:val="nil"/>
            </w:tcBorders>
            <w:shd w:val="clear" w:color="auto" w:fill="A1D7EF"/>
            <w:vAlign w:val="top"/>
          </w:tcPr>
          <w:p w14:paraId="518DCFF9">
            <w:pPr>
              <w:pStyle w:val="8"/>
              <w:spacing w:before="65" w:line="237" w:lineRule="exact"/>
              <w:ind w:left="353"/>
            </w:pPr>
            <w:r>
              <w:rPr>
                <w:color w:val="5F6A72"/>
                <w:spacing w:val="-6"/>
                <w:position w:val="1"/>
              </w:rPr>
              <w:t>27.9</w:t>
            </w:r>
          </w:p>
        </w:tc>
        <w:tc>
          <w:tcPr>
            <w:tcW w:w="1021" w:type="dxa"/>
            <w:tcBorders>
              <w:left w:val="nil"/>
              <w:right w:val="nil"/>
            </w:tcBorders>
            <w:shd w:val="clear" w:color="auto" w:fill="A1D7EF"/>
            <w:vAlign w:val="top"/>
          </w:tcPr>
          <w:p w14:paraId="5F49BD3B">
            <w:pPr>
              <w:pStyle w:val="8"/>
              <w:spacing w:before="65" w:line="239" w:lineRule="exact"/>
              <w:ind w:left="354"/>
            </w:pPr>
            <w:r>
              <w:rPr>
                <w:color w:val="5F6A72"/>
                <w:spacing w:val="-6"/>
                <w:position w:val="1"/>
              </w:rPr>
              <w:t>41.4</w:t>
            </w:r>
          </w:p>
        </w:tc>
        <w:tc>
          <w:tcPr>
            <w:tcW w:w="1021" w:type="dxa"/>
            <w:tcBorders>
              <w:left w:val="nil"/>
              <w:right w:val="nil"/>
            </w:tcBorders>
            <w:shd w:val="clear" w:color="auto" w:fill="A1D7EF"/>
            <w:vAlign w:val="top"/>
          </w:tcPr>
          <w:p w14:paraId="64E66637">
            <w:pPr>
              <w:pStyle w:val="8"/>
              <w:spacing w:before="65" w:line="237" w:lineRule="exact"/>
              <w:ind w:left="353"/>
            </w:pPr>
            <w:r>
              <w:rPr>
                <w:color w:val="5F6A72"/>
                <w:spacing w:val="-6"/>
                <w:position w:val="1"/>
              </w:rPr>
              <w:t>32.0</w:t>
            </w:r>
          </w:p>
        </w:tc>
        <w:tc>
          <w:tcPr>
            <w:tcW w:w="1020" w:type="dxa"/>
            <w:tcBorders>
              <w:left w:val="nil"/>
              <w:right w:val="nil"/>
            </w:tcBorders>
            <w:shd w:val="clear" w:color="auto" w:fill="E5819D"/>
            <w:vAlign w:val="top"/>
          </w:tcPr>
          <w:p w14:paraId="6771E7C9">
            <w:pPr>
              <w:pStyle w:val="8"/>
              <w:spacing w:before="65" w:line="237" w:lineRule="exact"/>
              <w:ind w:left="358"/>
            </w:pPr>
            <w:r>
              <w:rPr>
                <w:color w:val="5F6A72"/>
                <w:spacing w:val="-7"/>
                <w:position w:val="1"/>
              </w:rPr>
              <w:t>64.0</w:t>
            </w:r>
          </w:p>
        </w:tc>
        <w:tc>
          <w:tcPr>
            <w:tcW w:w="1020" w:type="dxa"/>
            <w:tcBorders>
              <w:left w:val="nil"/>
              <w:right w:val="nil"/>
            </w:tcBorders>
            <w:shd w:val="clear" w:color="auto" w:fill="E5819D"/>
            <w:vAlign w:val="top"/>
          </w:tcPr>
          <w:p w14:paraId="787C8DF4">
            <w:pPr>
              <w:pStyle w:val="8"/>
              <w:spacing w:before="65" w:line="237" w:lineRule="exact"/>
              <w:ind w:left="358"/>
            </w:pPr>
            <w:r>
              <w:rPr>
                <w:color w:val="5F6A72"/>
                <w:spacing w:val="-7"/>
                <w:position w:val="1"/>
              </w:rPr>
              <w:t>51.3</w:t>
            </w:r>
          </w:p>
        </w:tc>
        <w:tc>
          <w:tcPr>
            <w:tcW w:w="1021" w:type="dxa"/>
            <w:tcBorders>
              <w:left w:val="nil"/>
              <w:right w:val="nil"/>
            </w:tcBorders>
            <w:shd w:val="clear" w:color="auto" w:fill="E5819D"/>
            <w:vAlign w:val="top"/>
          </w:tcPr>
          <w:p w14:paraId="169F9582">
            <w:pPr>
              <w:pStyle w:val="8"/>
              <w:spacing w:before="65" w:line="237" w:lineRule="exact"/>
              <w:ind w:left="358"/>
            </w:pPr>
            <w:r>
              <w:rPr>
                <w:color w:val="5F6A72"/>
                <w:spacing w:val="-7"/>
                <w:position w:val="1"/>
              </w:rPr>
              <w:t>57.6</w:t>
            </w:r>
          </w:p>
        </w:tc>
        <w:tc>
          <w:tcPr>
            <w:tcW w:w="1020" w:type="dxa"/>
            <w:tcBorders>
              <w:left w:val="nil"/>
              <w:right w:val="nil"/>
            </w:tcBorders>
            <w:vAlign w:val="top"/>
          </w:tcPr>
          <w:p w14:paraId="52E10D76">
            <w:pPr>
              <w:pStyle w:val="8"/>
              <w:spacing w:before="65" w:line="237" w:lineRule="exact"/>
              <w:ind w:left="353"/>
            </w:pPr>
            <w:r>
              <w:rPr>
                <w:color w:val="5F6A72"/>
                <w:spacing w:val="-6"/>
                <w:position w:val="1"/>
              </w:rPr>
              <w:t>34.5</w:t>
            </w:r>
          </w:p>
        </w:tc>
        <w:tc>
          <w:tcPr>
            <w:tcW w:w="1021" w:type="dxa"/>
            <w:tcBorders>
              <w:left w:val="nil"/>
              <w:right w:val="nil"/>
            </w:tcBorders>
            <w:vAlign w:val="top"/>
          </w:tcPr>
          <w:p w14:paraId="19BC2A60">
            <w:pPr>
              <w:pStyle w:val="8"/>
              <w:spacing w:before="65" w:line="239" w:lineRule="exact"/>
              <w:ind w:left="476"/>
            </w:pPr>
            <w:r>
              <w:rPr>
                <w:color w:val="5F6A72"/>
                <w:position w:val="1"/>
              </w:rPr>
              <w:t>1</w:t>
            </w:r>
          </w:p>
        </w:tc>
        <w:tc>
          <w:tcPr>
            <w:tcW w:w="1020" w:type="dxa"/>
            <w:tcBorders>
              <w:left w:val="nil"/>
              <w:right w:val="nil"/>
            </w:tcBorders>
            <w:vAlign w:val="top"/>
          </w:tcPr>
          <w:p w14:paraId="1FFBBD34">
            <w:pPr>
              <w:pStyle w:val="8"/>
              <w:spacing w:before="65" w:line="239" w:lineRule="exact"/>
              <w:ind w:left="468"/>
            </w:pPr>
            <w:r>
              <w:rPr>
                <w:color w:val="5F6A72"/>
                <w:position w:val="1"/>
              </w:rPr>
              <w:t>7</w:t>
            </w:r>
          </w:p>
        </w:tc>
      </w:tr>
      <w:tr w14:paraId="7E5C390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2E9DDC13">
            <w:pPr>
              <w:pStyle w:val="8"/>
              <w:spacing w:before="64" w:line="237" w:lineRule="exact"/>
              <w:ind w:left="18"/>
            </w:pPr>
            <w:r>
              <w:rPr>
                <w:color w:val="2A8ABF"/>
                <w:spacing w:val="-11"/>
                <w:position w:val="1"/>
              </w:rPr>
              <w:t>Mexico</w:t>
            </w:r>
          </w:p>
        </w:tc>
        <w:tc>
          <w:tcPr>
            <w:tcW w:w="1020" w:type="dxa"/>
            <w:tcBorders>
              <w:right w:val="nil"/>
            </w:tcBorders>
            <w:shd w:val="clear" w:color="auto" w:fill="A1D7EF"/>
            <w:vAlign w:val="top"/>
          </w:tcPr>
          <w:p w14:paraId="7EE96F2E">
            <w:pPr>
              <w:pStyle w:val="8"/>
              <w:spacing w:before="64" w:line="237" w:lineRule="exact"/>
              <w:ind w:left="350"/>
            </w:pPr>
            <w:r>
              <w:rPr>
                <w:color w:val="5F6A72"/>
                <w:spacing w:val="-6"/>
                <w:position w:val="1"/>
              </w:rPr>
              <w:t>35.1</w:t>
            </w:r>
          </w:p>
        </w:tc>
        <w:tc>
          <w:tcPr>
            <w:tcW w:w="1021" w:type="dxa"/>
            <w:tcBorders>
              <w:left w:val="nil"/>
              <w:right w:val="nil"/>
            </w:tcBorders>
            <w:shd w:val="clear" w:color="auto" w:fill="A1D7EF"/>
            <w:vAlign w:val="top"/>
          </w:tcPr>
          <w:p w14:paraId="4EEF97D8">
            <w:pPr>
              <w:pStyle w:val="8"/>
              <w:spacing w:before="64" w:line="237" w:lineRule="exact"/>
              <w:ind w:left="359"/>
            </w:pPr>
            <w:r>
              <w:rPr>
                <w:color w:val="5F6A72"/>
                <w:spacing w:val="-7"/>
                <w:position w:val="1"/>
              </w:rPr>
              <w:t>50.7</w:t>
            </w:r>
          </w:p>
        </w:tc>
        <w:tc>
          <w:tcPr>
            <w:tcW w:w="1021" w:type="dxa"/>
            <w:tcBorders>
              <w:left w:val="nil"/>
              <w:right w:val="nil"/>
            </w:tcBorders>
            <w:shd w:val="clear" w:color="auto" w:fill="A1D7EF"/>
            <w:vAlign w:val="top"/>
          </w:tcPr>
          <w:p w14:paraId="3272BFCC">
            <w:pPr>
              <w:pStyle w:val="8"/>
              <w:spacing w:before="64" w:line="237" w:lineRule="exact"/>
              <w:ind w:left="353"/>
            </w:pPr>
            <w:r>
              <w:rPr>
                <w:color w:val="5F6A72"/>
                <w:spacing w:val="-6"/>
                <w:position w:val="1"/>
              </w:rPr>
              <w:t>39.8</w:t>
            </w:r>
          </w:p>
        </w:tc>
        <w:tc>
          <w:tcPr>
            <w:tcW w:w="1020" w:type="dxa"/>
            <w:tcBorders>
              <w:left w:val="nil"/>
              <w:right w:val="nil"/>
            </w:tcBorders>
            <w:shd w:val="clear" w:color="auto" w:fill="E5819D"/>
            <w:vAlign w:val="top"/>
          </w:tcPr>
          <w:p w14:paraId="5B1DE514">
            <w:pPr>
              <w:pStyle w:val="8"/>
              <w:spacing w:before="64" w:line="237" w:lineRule="exact"/>
              <w:ind w:left="358"/>
            </w:pPr>
            <w:r>
              <w:rPr>
                <w:color w:val="5F6A72"/>
                <w:spacing w:val="-7"/>
                <w:position w:val="1"/>
              </w:rPr>
              <w:t>64.6</w:t>
            </w:r>
          </w:p>
        </w:tc>
        <w:tc>
          <w:tcPr>
            <w:tcW w:w="1020" w:type="dxa"/>
            <w:tcBorders>
              <w:left w:val="nil"/>
              <w:right w:val="nil"/>
            </w:tcBorders>
            <w:shd w:val="clear" w:color="auto" w:fill="E5819D"/>
            <w:vAlign w:val="top"/>
          </w:tcPr>
          <w:p w14:paraId="224D813C">
            <w:pPr>
              <w:pStyle w:val="8"/>
              <w:spacing w:before="64" w:line="237" w:lineRule="exact"/>
              <w:ind w:left="358"/>
            </w:pPr>
            <w:r>
              <w:rPr>
                <w:color w:val="5F6A72"/>
                <w:spacing w:val="-7"/>
                <w:position w:val="1"/>
              </w:rPr>
              <w:t>52.3</w:t>
            </w:r>
          </w:p>
        </w:tc>
        <w:tc>
          <w:tcPr>
            <w:tcW w:w="1021" w:type="dxa"/>
            <w:tcBorders>
              <w:left w:val="nil"/>
              <w:right w:val="nil"/>
            </w:tcBorders>
            <w:shd w:val="clear" w:color="auto" w:fill="E5819D"/>
            <w:vAlign w:val="top"/>
          </w:tcPr>
          <w:p w14:paraId="18EDBF3C">
            <w:pPr>
              <w:pStyle w:val="8"/>
              <w:spacing w:before="64" w:line="237" w:lineRule="exact"/>
              <w:ind w:left="358"/>
            </w:pPr>
            <w:r>
              <w:rPr>
                <w:color w:val="5F6A72"/>
                <w:spacing w:val="-7"/>
                <w:position w:val="1"/>
              </w:rPr>
              <w:t>58.4</w:t>
            </w:r>
          </w:p>
        </w:tc>
        <w:tc>
          <w:tcPr>
            <w:tcW w:w="1020" w:type="dxa"/>
            <w:tcBorders>
              <w:left w:val="nil"/>
              <w:right w:val="nil"/>
            </w:tcBorders>
            <w:shd w:val="clear" w:color="auto" w:fill="EAF9FF"/>
            <w:vAlign w:val="top"/>
          </w:tcPr>
          <w:p w14:paraId="7BC42D69">
            <w:pPr>
              <w:pStyle w:val="8"/>
              <w:spacing w:before="64" w:line="237" w:lineRule="exact"/>
              <w:ind w:left="353"/>
            </w:pPr>
            <w:r>
              <w:rPr>
                <w:color w:val="5F6A72"/>
                <w:spacing w:val="-6"/>
                <w:position w:val="1"/>
              </w:rPr>
              <w:t>41.6</w:t>
            </w:r>
          </w:p>
        </w:tc>
        <w:tc>
          <w:tcPr>
            <w:tcW w:w="1021" w:type="dxa"/>
            <w:tcBorders>
              <w:left w:val="nil"/>
              <w:right w:val="nil"/>
            </w:tcBorders>
            <w:shd w:val="clear" w:color="auto" w:fill="EAF9FF"/>
            <w:vAlign w:val="top"/>
          </w:tcPr>
          <w:p w14:paraId="4D83A7DE">
            <w:pPr>
              <w:pStyle w:val="8"/>
              <w:spacing w:before="64" w:line="239" w:lineRule="exact"/>
              <w:ind w:left="472"/>
            </w:pPr>
            <w:r>
              <w:rPr>
                <w:color w:val="5F6A72"/>
                <w:position w:val="1"/>
              </w:rPr>
              <w:t>2</w:t>
            </w:r>
          </w:p>
        </w:tc>
        <w:tc>
          <w:tcPr>
            <w:tcW w:w="1020" w:type="dxa"/>
            <w:tcBorders>
              <w:left w:val="nil"/>
              <w:right w:val="nil"/>
            </w:tcBorders>
            <w:shd w:val="clear" w:color="auto" w:fill="EAF9FF"/>
            <w:vAlign w:val="top"/>
          </w:tcPr>
          <w:p w14:paraId="643AE321">
            <w:pPr>
              <w:pStyle w:val="8"/>
              <w:spacing w:before="64" w:line="237" w:lineRule="exact"/>
              <w:ind w:left="423"/>
            </w:pPr>
            <w:r>
              <w:rPr>
                <w:color w:val="5F6A72"/>
                <w:spacing w:val="-4"/>
                <w:position w:val="1"/>
              </w:rPr>
              <w:t>23</w:t>
            </w:r>
          </w:p>
        </w:tc>
      </w:tr>
      <w:tr w14:paraId="1EAB493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vAlign w:val="top"/>
          </w:tcPr>
          <w:p w14:paraId="71404E59">
            <w:pPr>
              <w:pStyle w:val="8"/>
              <w:spacing w:before="64" w:line="234" w:lineRule="auto"/>
              <w:ind w:left="3"/>
            </w:pPr>
            <w:r>
              <w:rPr>
                <w:color w:val="2A8ABF"/>
                <w:spacing w:val="-4"/>
              </w:rPr>
              <w:t>Argentina</w:t>
            </w:r>
          </w:p>
        </w:tc>
        <w:tc>
          <w:tcPr>
            <w:tcW w:w="1020" w:type="dxa"/>
            <w:tcBorders>
              <w:right w:val="nil"/>
            </w:tcBorders>
            <w:shd w:val="clear" w:color="auto" w:fill="A1D7EF"/>
            <w:vAlign w:val="top"/>
          </w:tcPr>
          <w:p w14:paraId="6031E31A">
            <w:pPr>
              <w:pStyle w:val="8"/>
              <w:spacing w:before="64" w:line="238" w:lineRule="exact"/>
              <w:ind w:left="350"/>
            </w:pPr>
            <w:r>
              <w:rPr>
                <w:color w:val="5F6A72"/>
                <w:spacing w:val="-6"/>
                <w:position w:val="1"/>
              </w:rPr>
              <w:t>37.4</w:t>
            </w:r>
          </w:p>
        </w:tc>
        <w:tc>
          <w:tcPr>
            <w:tcW w:w="1021" w:type="dxa"/>
            <w:tcBorders>
              <w:left w:val="nil"/>
              <w:right w:val="nil"/>
            </w:tcBorders>
            <w:shd w:val="clear" w:color="auto" w:fill="A1D7EF"/>
            <w:vAlign w:val="top"/>
          </w:tcPr>
          <w:p w14:paraId="2F221E9D">
            <w:pPr>
              <w:pStyle w:val="8"/>
              <w:spacing w:before="64" w:line="238" w:lineRule="exact"/>
              <w:ind w:left="354"/>
            </w:pPr>
            <w:r>
              <w:rPr>
                <w:color w:val="5F6A72"/>
                <w:spacing w:val="-6"/>
                <w:position w:val="1"/>
              </w:rPr>
              <w:t>46.7</w:t>
            </w:r>
          </w:p>
        </w:tc>
        <w:tc>
          <w:tcPr>
            <w:tcW w:w="1021" w:type="dxa"/>
            <w:tcBorders>
              <w:left w:val="nil"/>
              <w:right w:val="nil"/>
            </w:tcBorders>
            <w:shd w:val="clear" w:color="auto" w:fill="A1D7EF"/>
            <w:vAlign w:val="top"/>
          </w:tcPr>
          <w:p w14:paraId="4D04814A">
            <w:pPr>
              <w:pStyle w:val="8"/>
              <w:spacing w:before="64" w:line="238" w:lineRule="exact"/>
              <w:ind w:left="354"/>
            </w:pPr>
            <w:r>
              <w:rPr>
                <w:color w:val="5F6A72"/>
                <w:spacing w:val="-6"/>
                <w:position w:val="1"/>
              </w:rPr>
              <w:t>40.2</w:t>
            </w:r>
          </w:p>
        </w:tc>
        <w:tc>
          <w:tcPr>
            <w:tcW w:w="1020" w:type="dxa"/>
            <w:tcBorders>
              <w:left w:val="nil"/>
              <w:right w:val="nil"/>
            </w:tcBorders>
            <w:shd w:val="clear" w:color="auto" w:fill="E5819D"/>
            <w:vAlign w:val="top"/>
          </w:tcPr>
          <w:p w14:paraId="20CA1AF0">
            <w:pPr>
              <w:pStyle w:val="8"/>
              <w:spacing w:before="64" w:line="238" w:lineRule="exact"/>
              <w:ind w:left="358"/>
            </w:pPr>
            <w:r>
              <w:rPr>
                <w:color w:val="5F6A72"/>
                <w:spacing w:val="-7"/>
                <w:position w:val="1"/>
              </w:rPr>
              <w:t>59.9</w:t>
            </w:r>
          </w:p>
        </w:tc>
        <w:tc>
          <w:tcPr>
            <w:tcW w:w="1020" w:type="dxa"/>
            <w:tcBorders>
              <w:left w:val="nil"/>
              <w:right w:val="nil"/>
            </w:tcBorders>
            <w:shd w:val="clear" w:color="auto" w:fill="E5819D"/>
            <w:vAlign w:val="top"/>
          </w:tcPr>
          <w:p w14:paraId="55DCEE80">
            <w:pPr>
              <w:pStyle w:val="8"/>
              <w:spacing w:before="64" w:line="238" w:lineRule="exact"/>
              <w:ind w:left="358"/>
            </w:pPr>
            <w:r>
              <w:rPr>
                <w:color w:val="5F6A72"/>
                <w:spacing w:val="-7"/>
                <w:position w:val="1"/>
              </w:rPr>
              <w:t>55.9</w:t>
            </w:r>
          </w:p>
        </w:tc>
        <w:tc>
          <w:tcPr>
            <w:tcW w:w="1021" w:type="dxa"/>
            <w:tcBorders>
              <w:left w:val="nil"/>
              <w:right w:val="nil"/>
            </w:tcBorders>
            <w:shd w:val="clear" w:color="auto" w:fill="E5819D"/>
            <w:vAlign w:val="top"/>
          </w:tcPr>
          <w:p w14:paraId="6C54D0AB">
            <w:pPr>
              <w:pStyle w:val="8"/>
              <w:spacing w:before="64" w:line="238" w:lineRule="exact"/>
              <w:ind w:left="358"/>
            </w:pPr>
            <w:r>
              <w:rPr>
                <w:color w:val="5F6A72"/>
                <w:spacing w:val="-7"/>
                <w:position w:val="1"/>
              </w:rPr>
              <w:t>57.9</w:t>
            </w:r>
          </w:p>
        </w:tc>
        <w:tc>
          <w:tcPr>
            <w:tcW w:w="1020" w:type="dxa"/>
            <w:tcBorders>
              <w:left w:val="nil"/>
              <w:right w:val="nil"/>
            </w:tcBorders>
            <w:vAlign w:val="top"/>
          </w:tcPr>
          <w:p w14:paraId="12AFEC15">
            <w:pPr>
              <w:pStyle w:val="8"/>
              <w:spacing w:before="64" w:line="238" w:lineRule="exact"/>
              <w:ind w:left="353"/>
            </w:pPr>
            <w:r>
              <w:rPr>
                <w:color w:val="5F6A72"/>
                <w:spacing w:val="-6"/>
                <w:position w:val="1"/>
              </w:rPr>
              <w:t>41.9</w:t>
            </w:r>
          </w:p>
        </w:tc>
        <w:tc>
          <w:tcPr>
            <w:tcW w:w="1021" w:type="dxa"/>
            <w:tcBorders>
              <w:left w:val="nil"/>
              <w:right w:val="nil"/>
            </w:tcBorders>
            <w:vAlign w:val="top"/>
          </w:tcPr>
          <w:p w14:paraId="2317D506">
            <w:pPr>
              <w:pStyle w:val="8"/>
              <w:spacing w:before="64" w:line="238" w:lineRule="exact"/>
              <w:ind w:left="469"/>
            </w:pPr>
            <w:r>
              <w:rPr>
                <w:color w:val="5F6A72"/>
                <w:position w:val="1"/>
              </w:rPr>
              <w:t>3</w:t>
            </w:r>
          </w:p>
        </w:tc>
        <w:tc>
          <w:tcPr>
            <w:tcW w:w="1020" w:type="dxa"/>
            <w:tcBorders>
              <w:left w:val="nil"/>
              <w:right w:val="nil"/>
            </w:tcBorders>
            <w:vAlign w:val="top"/>
          </w:tcPr>
          <w:p w14:paraId="763D554B">
            <w:pPr>
              <w:pStyle w:val="8"/>
              <w:spacing w:before="64" w:line="238" w:lineRule="exact"/>
              <w:ind w:left="423"/>
            </w:pPr>
            <w:r>
              <w:rPr>
                <w:color w:val="5F6A72"/>
                <w:spacing w:val="-4"/>
                <w:position w:val="1"/>
              </w:rPr>
              <w:t>25</w:t>
            </w:r>
          </w:p>
        </w:tc>
      </w:tr>
      <w:tr w14:paraId="3FD71A5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4984892E">
            <w:pPr>
              <w:pStyle w:val="8"/>
              <w:spacing w:before="65" w:line="237" w:lineRule="exact"/>
              <w:ind w:left="12"/>
            </w:pPr>
            <w:r>
              <w:rPr>
                <w:color w:val="2A8ABF"/>
                <w:spacing w:val="-7"/>
                <w:position w:val="1"/>
              </w:rPr>
              <w:t>Colombia</w:t>
            </w:r>
          </w:p>
        </w:tc>
        <w:tc>
          <w:tcPr>
            <w:tcW w:w="1020" w:type="dxa"/>
            <w:tcBorders>
              <w:right w:val="nil"/>
            </w:tcBorders>
            <w:shd w:val="clear" w:color="auto" w:fill="A1D7EF"/>
            <w:vAlign w:val="top"/>
          </w:tcPr>
          <w:p w14:paraId="00D4A3A5">
            <w:pPr>
              <w:pStyle w:val="8"/>
              <w:spacing w:before="65" w:line="237" w:lineRule="exact"/>
              <w:ind w:left="350"/>
            </w:pPr>
            <w:r>
              <w:rPr>
                <w:color w:val="5F6A72"/>
                <w:spacing w:val="-6"/>
                <w:position w:val="1"/>
              </w:rPr>
              <w:t>41.0</w:t>
            </w:r>
          </w:p>
        </w:tc>
        <w:tc>
          <w:tcPr>
            <w:tcW w:w="1021" w:type="dxa"/>
            <w:tcBorders>
              <w:left w:val="nil"/>
              <w:right w:val="nil"/>
            </w:tcBorders>
            <w:shd w:val="clear" w:color="auto" w:fill="A1D7EF"/>
            <w:vAlign w:val="top"/>
          </w:tcPr>
          <w:p w14:paraId="790F45DB">
            <w:pPr>
              <w:pStyle w:val="8"/>
              <w:spacing w:before="65" w:line="237" w:lineRule="exact"/>
              <w:ind w:left="359"/>
            </w:pPr>
            <w:r>
              <w:rPr>
                <w:color w:val="5F6A72"/>
                <w:spacing w:val="-7"/>
                <w:position w:val="1"/>
              </w:rPr>
              <w:t>56.6</w:t>
            </w:r>
          </w:p>
        </w:tc>
        <w:tc>
          <w:tcPr>
            <w:tcW w:w="1021" w:type="dxa"/>
            <w:tcBorders>
              <w:left w:val="nil"/>
              <w:right w:val="nil"/>
            </w:tcBorders>
            <w:shd w:val="clear" w:color="auto" w:fill="A1D7EF"/>
            <w:vAlign w:val="top"/>
          </w:tcPr>
          <w:p w14:paraId="39269CBF">
            <w:pPr>
              <w:pStyle w:val="8"/>
              <w:spacing w:before="65" w:line="237" w:lineRule="exact"/>
              <w:ind w:left="354"/>
            </w:pPr>
            <w:r>
              <w:rPr>
                <w:color w:val="5F6A72"/>
                <w:spacing w:val="-6"/>
                <w:position w:val="1"/>
              </w:rPr>
              <w:t>45.7</w:t>
            </w:r>
          </w:p>
        </w:tc>
        <w:tc>
          <w:tcPr>
            <w:tcW w:w="1020" w:type="dxa"/>
            <w:tcBorders>
              <w:left w:val="nil"/>
              <w:right w:val="nil"/>
            </w:tcBorders>
            <w:shd w:val="clear" w:color="auto" w:fill="E5819D"/>
            <w:vAlign w:val="top"/>
          </w:tcPr>
          <w:p w14:paraId="03E7596A">
            <w:pPr>
              <w:pStyle w:val="8"/>
              <w:spacing w:before="65" w:line="237" w:lineRule="exact"/>
              <w:ind w:left="353"/>
            </w:pPr>
            <w:r>
              <w:rPr>
                <w:color w:val="5F6A72"/>
                <w:spacing w:val="-6"/>
                <w:position w:val="1"/>
              </w:rPr>
              <w:t>49.7</w:t>
            </w:r>
          </w:p>
        </w:tc>
        <w:tc>
          <w:tcPr>
            <w:tcW w:w="1020" w:type="dxa"/>
            <w:tcBorders>
              <w:left w:val="nil"/>
              <w:right w:val="nil"/>
            </w:tcBorders>
            <w:shd w:val="clear" w:color="auto" w:fill="E5819D"/>
            <w:vAlign w:val="top"/>
          </w:tcPr>
          <w:p w14:paraId="4DDBE93A">
            <w:pPr>
              <w:pStyle w:val="8"/>
              <w:spacing w:before="65" w:line="237" w:lineRule="exact"/>
              <w:ind w:left="358"/>
            </w:pPr>
            <w:r>
              <w:rPr>
                <w:color w:val="5F6A72"/>
                <w:spacing w:val="-7"/>
                <w:position w:val="1"/>
              </w:rPr>
              <w:t>58.2</w:t>
            </w:r>
          </w:p>
        </w:tc>
        <w:tc>
          <w:tcPr>
            <w:tcW w:w="1021" w:type="dxa"/>
            <w:tcBorders>
              <w:left w:val="nil"/>
              <w:right w:val="nil"/>
            </w:tcBorders>
            <w:shd w:val="clear" w:color="auto" w:fill="E5819D"/>
            <w:vAlign w:val="top"/>
          </w:tcPr>
          <w:p w14:paraId="665CFF29">
            <w:pPr>
              <w:pStyle w:val="8"/>
              <w:spacing w:before="65" w:line="237" w:lineRule="exact"/>
              <w:ind w:left="358"/>
            </w:pPr>
            <w:r>
              <w:rPr>
                <w:color w:val="5F6A72"/>
                <w:spacing w:val="-7"/>
                <w:position w:val="1"/>
              </w:rPr>
              <w:t>53.9</w:t>
            </w:r>
          </w:p>
        </w:tc>
        <w:tc>
          <w:tcPr>
            <w:tcW w:w="1020" w:type="dxa"/>
            <w:tcBorders>
              <w:left w:val="nil"/>
              <w:right w:val="nil"/>
            </w:tcBorders>
            <w:shd w:val="clear" w:color="auto" w:fill="EAF9FF"/>
            <w:vAlign w:val="top"/>
          </w:tcPr>
          <w:p w14:paraId="5ACBAA63">
            <w:pPr>
              <w:pStyle w:val="8"/>
              <w:spacing w:before="65" w:line="237" w:lineRule="exact"/>
              <w:ind w:left="353"/>
            </w:pPr>
            <w:r>
              <w:rPr>
                <w:color w:val="5F6A72"/>
                <w:spacing w:val="-6"/>
                <w:position w:val="1"/>
              </w:rPr>
              <w:t>46.5</w:t>
            </w:r>
          </w:p>
        </w:tc>
        <w:tc>
          <w:tcPr>
            <w:tcW w:w="1021" w:type="dxa"/>
            <w:tcBorders>
              <w:left w:val="nil"/>
              <w:right w:val="nil"/>
            </w:tcBorders>
            <w:shd w:val="clear" w:color="auto" w:fill="EAF9FF"/>
            <w:vAlign w:val="top"/>
          </w:tcPr>
          <w:p w14:paraId="20643079">
            <w:pPr>
              <w:pStyle w:val="8"/>
              <w:spacing w:before="65" w:line="239" w:lineRule="exact"/>
              <w:ind w:left="469"/>
            </w:pPr>
            <w:r>
              <w:rPr>
                <w:color w:val="5F6A72"/>
                <w:position w:val="1"/>
              </w:rPr>
              <w:t>4</w:t>
            </w:r>
          </w:p>
        </w:tc>
        <w:tc>
          <w:tcPr>
            <w:tcW w:w="1020" w:type="dxa"/>
            <w:tcBorders>
              <w:left w:val="nil"/>
              <w:right w:val="nil"/>
            </w:tcBorders>
            <w:shd w:val="clear" w:color="auto" w:fill="EAF9FF"/>
            <w:vAlign w:val="top"/>
          </w:tcPr>
          <w:p w14:paraId="6FF859C9">
            <w:pPr>
              <w:pStyle w:val="8"/>
              <w:spacing w:before="65" w:line="237" w:lineRule="exact"/>
              <w:ind w:left="420"/>
            </w:pPr>
            <w:r>
              <w:rPr>
                <w:color w:val="5F6A72"/>
                <w:spacing w:val="-4"/>
                <w:position w:val="1"/>
              </w:rPr>
              <w:t>38</w:t>
            </w:r>
          </w:p>
        </w:tc>
      </w:tr>
      <w:tr w14:paraId="4D38A94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vAlign w:val="top"/>
          </w:tcPr>
          <w:p w14:paraId="58EC10C1">
            <w:pPr>
              <w:pStyle w:val="8"/>
              <w:spacing w:before="107" w:line="183" w:lineRule="auto"/>
              <w:ind w:left="18"/>
            </w:pPr>
            <w:r>
              <w:rPr>
                <w:color w:val="2A8ABF"/>
                <w:spacing w:val="-13"/>
              </w:rPr>
              <w:t>Peru</w:t>
            </w:r>
          </w:p>
        </w:tc>
        <w:tc>
          <w:tcPr>
            <w:tcW w:w="1020" w:type="dxa"/>
            <w:tcBorders>
              <w:right w:val="nil"/>
            </w:tcBorders>
            <w:shd w:val="clear" w:color="auto" w:fill="A1D7EF"/>
            <w:vAlign w:val="top"/>
          </w:tcPr>
          <w:p w14:paraId="43326118">
            <w:pPr>
              <w:pStyle w:val="8"/>
              <w:spacing w:before="65" w:line="237" w:lineRule="exact"/>
              <w:ind w:left="354"/>
            </w:pPr>
            <w:r>
              <w:rPr>
                <w:color w:val="5F6A72"/>
                <w:spacing w:val="-7"/>
                <w:position w:val="1"/>
              </w:rPr>
              <w:t>54.9</w:t>
            </w:r>
          </w:p>
        </w:tc>
        <w:tc>
          <w:tcPr>
            <w:tcW w:w="1021" w:type="dxa"/>
            <w:tcBorders>
              <w:left w:val="nil"/>
              <w:right w:val="nil"/>
            </w:tcBorders>
            <w:shd w:val="clear" w:color="auto" w:fill="A1D7EF"/>
            <w:vAlign w:val="top"/>
          </w:tcPr>
          <w:p w14:paraId="4111DA1F">
            <w:pPr>
              <w:pStyle w:val="8"/>
              <w:spacing w:before="65" w:line="237" w:lineRule="exact"/>
              <w:ind w:left="354"/>
            </w:pPr>
            <w:r>
              <w:rPr>
                <w:color w:val="5F6A72"/>
                <w:spacing w:val="-6"/>
                <w:position w:val="1"/>
              </w:rPr>
              <w:t>40.3</w:t>
            </w:r>
          </w:p>
        </w:tc>
        <w:tc>
          <w:tcPr>
            <w:tcW w:w="1021" w:type="dxa"/>
            <w:tcBorders>
              <w:left w:val="nil"/>
              <w:right w:val="nil"/>
            </w:tcBorders>
            <w:shd w:val="clear" w:color="auto" w:fill="A1D7EF"/>
            <w:vAlign w:val="top"/>
          </w:tcPr>
          <w:p w14:paraId="32013DA8">
            <w:pPr>
              <w:pStyle w:val="8"/>
              <w:spacing w:before="65" w:line="237" w:lineRule="exact"/>
              <w:ind w:left="358"/>
            </w:pPr>
            <w:r>
              <w:rPr>
                <w:color w:val="5F6A72"/>
                <w:spacing w:val="-7"/>
                <w:position w:val="1"/>
              </w:rPr>
              <w:t>50.5</w:t>
            </w:r>
          </w:p>
        </w:tc>
        <w:tc>
          <w:tcPr>
            <w:tcW w:w="1020" w:type="dxa"/>
            <w:tcBorders>
              <w:left w:val="nil"/>
              <w:right w:val="nil"/>
            </w:tcBorders>
            <w:shd w:val="clear" w:color="auto" w:fill="E5819D"/>
            <w:vAlign w:val="top"/>
          </w:tcPr>
          <w:p w14:paraId="54962C35">
            <w:pPr>
              <w:pStyle w:val="8"/>
              <w:spacing w:before="65" w:line="237" w:lineRule="exact"/>
              <w:ind w:left="358"/>
            </w:pPr>
            <w:r>
              <w:rPr>
                <w:color w:val="5F6A72"/>
                <w:spacing w:val="-7"/>
                <w:position w:val="1"/>
              </w:rPr>
              <w:t>51.4</w:t>
            </w:r>
          </w:p>
        </w:tc>
        <w:tc>
          <w:tcPr>
            <w:tcW w:w="1020" w:type="dxa"/>
            <w:tcBorders>
              <w:left w:val="nil"/>
              <w:right w:val="nil"/>
            </w:tcBorders>
            <w:shd w:val="clear" w:color="auto" w:fill="E5819D"/>
            <w:vAlign w:val="top"/>
          </w:tcPr>
          <w:p w14:paraId="6CD7E62E">
            <w:pPr>
              <w:pStyle w:val="8"/>
              <w:spacing w:before="65" w:line="237" w:lineRule="exact"/>
              <w:ind w:left="358"/>
            </w:pPr>
            <w:r>
              <w:rPr>
                <w:color w:val="5F6A72"/>
                <w:spacing w:val="-7"/>
                <w:position w:val="1"/>
              </w:rPr>
              <w:t>50.4</w:t>
            </w:r>
          </w:p>
        </w:tc>
        <w:tc>
          <w:tcPr>
            <w:tcW w:w="1021" w:type="dxa"/>
            <w:tcBorders>
              <w:left w:val="nil"/>
              <w:right w:val="nil"/>
            </w:tcBorders>
            <w:shd w:val="clear" w:color="auto" w:fill="E5819D"/>
            <w:vAlign w:val="top"/>
          </w:tcPr>
          <w:p w14:paraId="0ACA49F7">
            <w:pPr>
              <w:pStyle w:val="8"/>
              <w:spacing w:before="65" w:line="237" w:lineRule="exact"/>
              <w:ind w:left="358"/>
            </w:pPr>
            <w:r>
              <w:rPr>
                <w:color w:val="5F6A72"/>
                <w:spacing w:val="-7"/>
                <w:position w:val="1"/>
              </w:rPr>
              <w:t>50.9</w:t>
            </w:r>
          </w:p>
        </w:tc>
        <w:tc>
          <w:tcPr>
            <w:tcW w:w="1020" w:type="dxa"/>
            <w:tcBorders>
              <w:left w:val="nil"/>
              <w:right w:val="nil"/>
            </w:tcBorders>
            <w:vAlign w:val="top"/>
          </w:tcPr>
          <w:p w14:paraId="0CAC27ED">
            <w:pPr>
              <w:pStyle w:val="8"/>
              <w:spacing w:before="65" w:line="237" w:lineRule="exact"/>
              <w:ind w:left="358"/>
            </w:pPr>
            <w:r>
              <w:rPr>
                <w:color w:val="5F6A72"/>
                <w:spacing w:val="-7"/>
                <w:position w:val="1"/>
              </w:rPr>
              <w:t>50.5</w:t>
            </w:r>
          </w:p>
        </w:tc>
        <w:tc>
          <w:tcPr>
            <w:tcW w:w="1021" w:type="dxa"/>
            <w:tcBorders>
              <w:left w:val="nil"/>
              <w:right w:val="nil"/>
            </w:tcBorders>
            <w:vAlign w:val="top"/>
          </w:tcPr>
          <w:p w14:paraId="7A7DC35D">
            <w:pPr>
              <w:pStyle w:val="8"/>
              <w:spacing w:before="65" w:line="237" w:lineRule="exact"/>
              <w:ind w:left="473"/>
            </w:pPr>
            <w:r>
              <w:rPr>
                <w:color w:val="5F6A72"/>
                <w:position w:val="1"/>
              </w:rPr>
              <w:t>5</w:t>
            </w:r>
          </w:p>
        </w:tc>
        <w:tc>
          <w:tcPr>
            <w:tcW w:w="1020" w:type="dxa"/>
            <w:tcBorders>
              <w:left w:val="nil"/>
              <w:right w:val="nil"/>
            </w:tcBorders>
            <w:vAlign w:val="top"/>
          </w:tcPr>
          <w:p w14:paraId="16649B0D">
            <w:pPr>
              <w:pStyle w:val="8"/>
              <w:spacing w:before="65" w:line="237" w:lineRule="exact"/>
              <w:ind w:left="420"/>
            </w:pPr>
            <w:r>
              <w:rPr>
                <w:color w:val="5F6A72"/>
                <w:spacing w:val="-4"/>
                <w:position w:val="1"/>
              </w:rPr>
              <w:t>48</w:t>
            </w:r>
          </w:p>
        </w:tc>
      </w:tr>
      <w:tr w14:paraId="23C7E99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54612703">
            <w:pPr>
              <w:pStyle w:val="8"/>
              <w:spacing w:before="65" w:line="237" w:lineRule="exact"/>
              <w:ind w:left="12"/>
            </w:pPr>
            <w:r>
              <w:rPr>
                <w:color w:val="2A8ABF"/>
                <w:spacing w:val="-9"/>
                <w:position w:val="1"/>
              </w:rPr>
              <w:t>Chile</w:t>
            </w:r>
          </w:p>
        </w:tc>
        <w:tc>
          <w:tcPr>
            <w:tcW w:w="1020" w:type="dxa"/>
            <w:tcBorders>
              <w:right w:val="nil"/>
            </w:tcBorders>
            <w:shd w:val="clear" w:color="auto" w:fill="A1D7EF"/>
            <w:vAlign w:val="top"/>
          </w:tcPr>
          <w:p w14:paraId="77A99AC3">
            <w:pPr>
              <w:pStyle w:val="8"/>
              <w:spacing w:before="65" w:line="237" w:lineRule="exact"/>
              <w:ind w:left="355"/>
            </w:pPr>
            <w:r>
              <w:rPr>
                <w:color w:val="5F6A72"/>
                <w:spacing w:val="-7"/>
                <w:position w:val="1"/>
              </w:rPr>
              <w:t>60.3</w:t>
            </w:r>
          </w:p>
        </w:tc>
        <w:tc>
          <w:tcPr>
            <w:tcW w:w="1021" w:type="dxa"/>
            <w:tcBorders>
              <w:left w:val="nil"/>
              <w:right w:val="nil"/>
            </w:tcBorders>
            <w:shd w:val="clear" w:color="auto" w:fill="A1D7EF"/>
            <w:vAlign w:val="top"/>
          </w:tcPr>
          <w:p w14:paraId="20396B9B">
            <w:pPr>
              <w:pStyle w:val="8"/>
              <w:spacing w:before="65" w:line="237" w:lineRule="exact"/>
              <w:ind w:left="354"/>
            </w:pPr>
            <w:r>
              <w:rPr>
                <w:color w:val="5F6A72"/>
                <w:spacing w:val="-6"/>
                <w:position w:val="1"/>
              </w:rPr>
              <w:t>46.9</w:t>
            </w:r>
          </w:p>
        </w:tc>
        <w:tc>
          <w:tcPr>
            <w:tcW w:w="1021" w:type="dxa"/>
            <w:tcBorders>
              <w:left w:val="nil"/>
              <w:right w:val="nil"/>
            </w:tcBorders>
            <w:shd w:val="clear" w:color="auto" w:fill="A1D7EF"/>
            <w:vAlign w:val="top"/>
          </w:tcPr>
          <w:p w14:paraId="181365D7">
            <w:pPr>
              <w:pStyle w:val="8"/>
              <w:spacing w:before="65" w:line="237" w:lineRule="exact"/>
              <w:ind w:left="358"/>
            </w:pPr>
            <w:r>
              <w:rPr>
                <w:color w:val="5F6A72"/>
                <w:spacing w:val="-7"/>
                <w:position w:val="1"/>
              </w:rPr>
              <w:t>56.3</w:t>
            </w:r>
          </w:p>
        </w:tc>
        <w:tc>
          <w:tcPr>
            <w:tcW w:w="1020" w:type="dxa"/>
            <w:tcBorders>
              <w:left w:val="nil"/>
              <w:right w:val="nil"/>
            </w:tcBorders>
            <w:shd w:val="clear" w:color="auto" w:fill="E5819D"/>
            <w:vAlign w:val="top"/>
          </w:tcPr>
          <w:p w14:paraId="753BFD2C">
            <w:pPr>
              <w:pStyle w:val="8"/>
              <w:spacing w:before="65" w:line="237" w:lineRule="exact"/>
              <w:ind w:left="353"/>
            </w:pPr>
            <w:r>
              <w:rPr>
                <w:color w:val="5F6A72"/>
                <w:spacing w:val="-6"/>
                <w:position w:val="1"/>
              </w:rPr>
              <w:t>34.3</w:t>
            </w:r>
          </w:p>
        </w:tc>
        <w:tc>
          <w:tcPr>
            <w:tcW w:w="1020" w:type="dxa"/>
            <w:tcBorders>
              <w:left w:val="nil"/>
              <w:right w:val="nil"/>
            </w:tcBorders>
            <w:shd w:val="clear" w:color="auto" w:fill="E5819D"/>
            <w:vAlign w:val="top"/>
          </w:tcPr>
          <w:p w14:paraId="6A6466F2">
            <w:pPr>
              <w:pStyle w:val="8"/>
              <w:spacing w:before="65" w:line="237" w:lineRule="exact"/>
              <w:ind w:left="353"/>
            </w:pPr>
            <w:r>
              <w:rPr>
                <w:color w:val="5F6A72"/>
                <w:spacing w:val="-6"/>
                <w:position w:val="1"/>
              </w:rPr>
              <w:t>32.8</w:t>
            </w:r>
          </w:p>
        </w:tc>
        <w:tc>
          <w:tcPr>
            <w:tcW w:w="1021" w:type="dxa"/>
            <w:tcBorders>
              <w:left w:val="nil"/>
              <w:right w:val="nil"/>
            </w:tcBorders>
            <w:shd w:val="clear" w:color="auto" w:fill="E5819D"/>
            <w:vAlign w:val="top"/>
          </w:tcPr>
          <w:p w14:paraId="7BAE65C9">
            <w:pPr>
              <w:pStyle w:val="8"/>
              <w:spacing w:before="65" w:line="237" w:lineRule="exact"/>
              <w:ind w:left="354"/>
            </w:pPr>
            <w:r>
              <w:rPr>
                <w:color w:val="5F6A72"/>
                <w:spacing w:val="-6"/>
                <w:position w:val="1"/>
              </w:rPr>
              <w:t>33.6</w:t>
            </w:r>
          </w:p>
        </w:tc>
        <w:tc>
          <w:tcPr>
            <w:tcW w:w="1020" w:type="dxa"/>
            <w:tcBorders>
              <w:left w:val="nil"/>
              <w:right w:val="nil"/>
            </w:tcBorders>
            <w:shd w:val="clear" w:color="auto" w:fill="EAF9FF"/>
            <w:vAlign w:val="top"/>
          </w:tcPr>
          <w:p w14:paraId="3815D0B6">
            <w:pPr>
              <w:pStyle w:val="8"/>
              <w:spacing w:before="65" w:line="237" w:lineRule="exact"/>
              <w:ind w:left="358"/>
            </w:pPr>
            <w:r>
              <w:rPr>
                <w:color w:val="5F6A72"/>
                <w:spacing w:val="-7"/>
                <w:position w:val="1"/>
              </w:rPr>
              <w:t>54.0</w:t>
            </w:r>
          </w:p>
        </w:tc>
        <w:tc>
          <w:tcPr>
            <w:tcW w:w="1021" w:type="dxa"/>
            <w:tcBorders>
              <w:left w:val="nil"/>
              <w:right w:val="nil"/>
            </w:tcBorders>
            <w:shd w:val="clear" w:color="auto" w:fill="EAF9FF"/>
            <w:vAlign w:val="top"/>
          </w:tcPr>
          <w:p w14:paraId="71C93317">
            <w:pPr>
              <w:pStyle w:val="8"/>
              <w:spacing w:before="65" w:line="237" w:lineRule="exact"/>
              <w:ind w:left="474"/>
            </w:pPr>
            <w:r>
              <w:rPr>
                <w:color w:val="5F6A72"/>
                <w:position w:val="1"/>
              </w:rPr>
              <w:t>6</w:t>
            </w:r>
          </w:p>
        </w:tc>
        <w:tc>
          <w:tcPr>
            <w:tcW w:w="1020" w:type="dxa"/>
            <w:tcBorders>
              <w:left w:val="nil"/>
              <w:right w:val="nil"/>
            </w:tcBorders>
            <w:shd w:val="clear" w:color="auto" w:fill="EAF9FF"/>
            <w:vAlign w:val="top"/>
          </w:tcPr>
          <w:p w14:paraId="53715883">
            <w:pPr>
              <w:pStyle w:val="8"/>
              <w:spacing w:before="65" w:line="237" w:lineRule="exact"/>
              <w:ind w:left="424"/>
            </w:pPr>
            <w:r>
              <w:rPr>
                <w:color w:val="5F6A72"/>
                <w:spacing w:val="-5"/>
                <w:position w:val="1"/>
              </w:rPr>
              <w:t>52</w:t>
            </w:r>
          </w:p>
        </w:tc>
      </w:tr>
      <w:tr w14:paraId="7804049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vAlign w:val="top"/>
          </w:tcPr>
          <w:p w14:paraId="5BF08DFB">
            <w:pPr>
              <w:pStyle w:val="8"/>
              <w:spacing w:before="65" w:line="237" w:lineRule="exact"/>
              <w:ind w:left="18"/>
            </w:pPr>
            <w:r>
              <w:rPr>
                <w:color w:val="2A8ABF"/>
                <w:spacing w:val="-12"/>
                <w:position w:val="1"/>
              </w:rPr>
              <w:t>Ecuador</w:t>
            </w:r>
          </w:p>
        </w:tc>
        <w:tc>
          <w:tcPr>
            <w:tcW w:w="1020" w:type="dxa"/>
            <w:tcBorders>
              <w:right w:val="nil"/>
            </w:tcBorders>
            <w:shd w:val="clear" w:color="auto" w:fill="A1D7EF"/>
            <w:vAlign w:val="top"/>
          </w:tcPr>
          <w:p w14:paraId="028FA764">
            <w:pPr>
              <w:pStyle w:val="8"/>
              <w:spacing w:before="65" w:line="237" w:lineRule="exact"/>
              <w:ind w:left="354"/>
            </w:pPr>
            <w:r>
              <w:rPr>
                <w:color w:val="5F6A72"/>
                <w:spacing w:val="-7"/>
                <w:position w:val="1"/>
              </w:rPr>
              <w:t>51.9</w:t>
            </w:r>
          </w:p>
        </w:tc>
        <w:tc>
          <w:tcPr>
            <w:tcW w:w="1021" w:type="dxa"/>
            <w:tcBorders>
              <w:left w:val="nil"/>
              <w:right w:val="nil"/>
            </w:tcBorders>
            <w:shd w:val="clear" w:color="auto" w:fill="A1D7EF"/>
            <w:vAlign w:val="top"/>
          </w:tcPr>
          <w:p w14:paraId="2F07E66F">
            <w:pPr>
              <w:pStyle w:val="8"/>
              <w:spacing w:before="65" w:line="237" w:lineRule="exact"/>
              <w:ind w:left="359"/>
            </w:pPr>
            <w:r>
              <w:rPr>
                <w:color w:val="5F6A72"/>
                <w:spacing w:val="-7"/>
                <w:position w:val="1"/>
              </w:rPr>
              <w:t>60.6</w:t>
            </w:r>
          </w:p>
        </w:tc>
        <w:tc>
          <w:tcPr>
            <w:tcW w:w="1021" w:type="dxa"/>
            <w:tcBorders>
              <w:left w:val="nil"/>
              <w:right w:val="nil"/>
            </w:tcBorders>
            <w:shd w:val="clear" w:color="auto" w:fill="A1D7EF"/>
            <w:vAlign w:val="top"/>
          </w:tcPr>
          <w:p w14:paraId="7C8308BB">
            <w:pPr>
              <w:pStyle w:val="8"/>
              <w:spacing w:before="65" w:line="237" w:lineRule="exact"/>
              <w:ind w:left="358"/>
            </w:pPr>
            <w:r>
              <w:rPr>
                <w:color w:val="5F6A72"/>
                <w:spacing w:val="-7"/>
                <w:position w:val="1"/>
              </w:rPr>
              <w:t>54.5</w:t>
            </w:r>
          </w:p>
        </w:tc>
        <w:tc>
          <w:tcPr>
            <w:tcW w:w="1020" w:type="dxa"/>
            <w:tcBorders>
              <w:left w:val="nil"/>
              <w:right w:val="nil"/>
            </w:tcBorders>
            <w:shd w:val="clear" w:color="auto" w:fill="E5819D"/>
            <w:vAlign w:val="top"/>
          </w:tcPr>
          <w:p w14:paraId="04EBF869">
            <w:pPr>
              <w:pStyle w:val="8"/>
              <w:spacing w:before="65" w:line="237" w:lineRule="exact"/>
              <w:ind w:left="358"/>
            </w:pPr>
            <w:r>
              <w:rPr>
                <w:color w:val="5F6A72"/>
                <w:spacing w:val="-7"/>
                <w:position w:val="1"/>
              </w:rPr>
              <w:t>69.0</w:t>
            </w:r>
          </w:p>
        </w:tc>
        <w:tc>
          <w:tcPr>
            <w:tcW w:w="1020" w:type="dxa"/>
            <w:tcBorders>
              <w:left w:val="nil"/>
              <w:right w:val="nil"/>
            </w:tcBorders>
            <w:shd w:val="clear" w:color="auto" w:fill="E5819D"/>
            <w:vAlign w:val="top"/>
          </w:tcPr>
          <w:p w14:paraId="773EA0FF">
            <w:pPr>
              <w:pStyle w:val="8"/>
              <w:spacing w:before="65" w:line="237" w:lineRule="exact"/>
              <w:ind w:left="359"/>
            </w:pPr>
            <w:r>
              <w:rPr>
                <w:color w:val="5F6A72"/>
                <w:spacing w:val="-7"/>
                <w:position w:val="1"/>
              </w:rPr>
              <w:t>60.3</w:t>
            </w:r>
          </w:p>
        </w:tc>
        <w:tc>
          <w:tcPr>
            <w:tcW w:w="1021" w:type="dxa"/>
            <w:tcBorders>
              <w:left w:val="nil"/>
              <w:right w:val="nil"/>
            </w:tcBorders>
            <w:shd w:val="clear" w:color="auto" w:fill="E5819D"/>
            <w:vAlign w:val="top"/>
          </w:tcPr>
          <w:p w14:paraId="40535359">
            <w:pPr>
              <w:pStyle w:val="8"/>
              <w:spacing w:before="65" w:line="237" w:lineRule="exact"/>
              <w:ind w:left="359"/>
            </w:pPr>
            <w:r>
              <w:rPr>
                <w:color w:val="5F6A72"/>
                <w:spacing w:val="-7"/>
                <w:position w:val="1"/>
              </w:rPr>
              <w:t>64.6</w:t>
            </w:r>
          </w:p>
        </w:tc>
        <w:tc>
          <w:tcPr>
            <w:tcW w:w="1020" w:type="dxa"/>
            <w:tcBorders>
              <w:left w:val="nil"/>
              <w:right w:val="nil"/>
            </w:tcBorders>
            <w:vAlign w:val="top"/>
          </w:tcPr>
          <w:p w14:paraId="540593FF">
            <w:pPr>
              <w:pStyle w:val="8"/>
              <w:spacing w:before="65" w:line="237" w:lineRule="exact"/>
              <w:ind w:left="358"/>
            </w:pPr>
            <w:r>
              <w:rPr>
                <w:color w:val="5F6A72"/>
                <w:spacing w:val="-7"/>
                <w:position w:val="1"/>
              </w:rPr>
              <w:t>55.5</w:t>
            </w:r>
          </w:p>
        </w:tc>
        <w:tc>
          <w:tcPr>
            <w:tcW w:w="1021" w:type="dxa"/>
            <w:tcBorders>
              <w:left w:val="nil"/>
              <w:right w:val="nil"/>
            </w:tcBorders>
            <w:vAlign w:val="top"/>
          </w:tcPr>
          <w:p w14:paraId="29FC5F09">
            <w:pPr>
              <w:pStyle w:val="8"/>
              <w:spacing w:before="65" w:line="239" w:lineRule="exact"/>
              <w:ind w:left="469"/>
            </w:pPr>
            <w:r>
              <w:rPr>
                <w:color w:val="5F6A72"/>
                <w:position w:val="1"/>
              </w:rPr>
              <w:t>7</w:t>
            </w:r>
          </w:p>
        </w:tc>
        <w:tc>
          <w:tcPr>
            <w:tcW w:w="1020" w:type="dxa"/>
            <w:tcBorders>
              <w:left w:val="nil"/>
              <w:right w:val="nil"/>
            </w:tcBorders>
            <w:vAlign w:val="top"/>
          </w:tcPr>
          <w:p w14:paraId="7C9CA263">
            <w:pPr>
              <w:pStyle w:val="8"/>
              <w:spacing w:before="65" w:line="237" w:lineRule="exact"/>
              <w:ind w:left="425"/>
            </w:pPr>
            <w:r>
              <w:rPr>
                <w:color w:val="5F6A72"/>
                <w:spacing w:val="-5"/>
                <w:position w:val="1"/>
              </w:rPr>
              <w:t>61</w:t>
            </w:r>
          </w:p>
        </w:tc>
      </w:tr>
      <w:tr w14:paraId="3072F99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shd w:val="clear" w:color="auto" w:fill="EAF9FF"/>
            <w:vAlign w:val="top"/>
          </w:tcPr>
          <w:p w14:paraId="4EEE36EA">
            <w:pPr>
              <w:pStyle w:val="8"/>
              <w:spacing w:before="65" w:line="238" w:lineRule="exact"/>
              <w:ind w:left="3"/>
            </w:pPr>
            <w:r>
              <w:rPr>
                <w:color w:val="2A8ABF"/>
                <w:spacing w:val="-8"/>
                <w:position w:val="1"/>
              </w:rPr>
              <w:t>Venezuela</w:t>
            </w:r>
          </w:p>
        </w:tc>
        <w:tc>
          <w:tcPr>
            <w:tcW w:w="1020" w:type="dxa"/>
            <w:tcBorders>
              <w:right w:val="nil"/>
            </w:tcBorders>
            <w:shd w:val="clear" w:color="auto" w:fill="A1D7EF"/>
            <w:vAlign w:val="top"/>
          </w:tcPr>
          <w:p w14:paraId="56A5EBAD">
            <w:pPr>
              <w:pStyle w:val="8"/>
              <w:spacing w:before="65" w:line="238" w:lineRule="exact"/>
              <w:ind w:left="354"/>
            </w:pPr>
            <w:r>
              <w:rPr>
                <w:color w:val="5F6A72"/>
                <w:spacing w:val="-7"/>
                <w:position w:val="1"/>
              </w:rPr>
              <w:t>56.0</w:t>
            </w:r>
          </w:p>
        </w:tc>
        <w:tc>
          <w:tcPr>
            <w:tcW w:w="1021" w:type="dxa"/>
            <w:tcBorders>
              <w:left w:val="nil"/>
              <w:right w:val="nil"/>
            </w:tcBorders>
            <w:shd w:val="clear" w:color="auto" w:fill="A1D7EF"/>
            <w:vAlign w:val="top"/>
          </w:tcPr>
          <w:p w14:paraId="19499E48">
            <w:pPr>
              <w:pStyle w:val="8"/>
              <w:spacing w:before="65" w:line="238" w:lineRule="exact"/>
              <w:ind w:left="359"/>
            </w:pPr>
            <w:r>
              <w:rPr>
                <w:color w:val="5F6A72"/>
                <w:spacing w:val="-7"/>
                <w:position w:val="1"/>
              </w:rPr>
              <w:t>56.8</w:t>
            </w:r>
          </w:p>
        </w:tc>
        <w:tc>
          <w:tcPr>
            <w:tcW w:w="1021" w:type="dxa"/>
            <w:tcBorders>
              <w:left w:val="nil"/>
              <w:right w:val="nil"/>
            </w:tcBorders>
            <w:shd w:val="clear" w:color="auto" w:fill="A1D7EF"/>
            <w:vAlign w:val="top"/>
          </w:tcPr>
          <w:p w14:paraId="7E366C3C">
            <w:pPr>
              <w:pStyle w:val="8"/>
              <w:spacing w:before="65" w:line="238" w:lineRule="exact"/>
              <w:ind w:left="358"/>
            </w:pPr>
            <w:r>
              <w:rPr>
                <w:color w:val="5F6A72"/>
                <w:spacing w:val="-7"/>
                <w:position w:val="1"/>
              </w:rPr>
              <w:t>56.2</w:t>
            </w:r>
          </w:p>
        </w:tc>
        <w:tc>
          <w:tcPr>
            <w:tcW w:w="1020" w:type="dxa"/>
            <w:tcBorders>
              <w:left w:val="nil"/>
              <w:right w:val="nil"/>
            </w:tcBorders>
            <w:shd w:val="clear" w:color="auto" w:fill="E5819D"/>
            <w:vAlign w:val="top"/>
          </w:tcPr>
          <w:p w14:paraId="70141DE8">
            <w:pPr>
              <w:pStyle w:val="8"/>
              <w:spacing w:before="65" w:line="238" w:lineRule="exact"/>
              <w:ind w:left="357"/>
            </w:pPr>
            <w:r>
              <w:rPr>
                <w:color w:val="5F6A72"/>
                <w:spacing w:val="-7"/>
                <w:position w:val="1"/>
              </w:rPr>
              <w:t>92.9</w:t>
            </w:r>
          </w:p>
        </w:tc>
        <w:tc>
          <w:tcPr>
            <w:tcW w:w="1020" w:type="dxa"/>
            <w:tcBorders>
              <w:left w:val="nil"/>
              <w:right w:val="nil"/>
            </w:tcBorders>
            <w:shd w:val="clear" w:color="auto" w:fill="E5819D"/>
            <w:vAlign w:val="top"/>
          </w:tcPr>
          <w:p w14:paraId="66FA9DA4">
            <w:pPr>
              <w:pStyle w:val="8"/>
              <w:spacing w:before="65" w:line="238" w:lineRule="exact"/>
              <w:ind w:left="358"/>
            </w:pPr>
            <w:r>
              <w:rPr>
                <w:color w:val="5F6A72"/>
                <w:spacing w:val="-7"/>
                <w:position w:val="1"/>
              </w:rPr>
              <w:t>96.5</w:t>
            </w:r>
          </w:p>
        </w:tc>
        <w:tc>
          <w:tcPr>
            <w:tcW w:w="1021" w:type="dxa"/>
            <w:tcBorders>
              <w:left w:val="nil"/>
              <w:right w:val="nil"/>
            </w:tcBorders>
            <w:shd w:val="clear" w:color="auto" w:fill="E5819D"/>
            <w:vAlign w:val="top"/>
          </w:tcPr>
          <w:p w14:paraId="7BCFC7D6">
            <w:pPr>
              <w:pStyle w:val="8"/>
              <w:spacing w:before="65" w:line="238" w:lineRule="exact"/>
              <w:ind w:left="358"/>
            </w:pPr>
            <w:r>
              <w:rPr>
                <w:color w:val="5F6A72"/>
                <w:spacing w:val="-7"/>
                <w:position w:val="1"/>
              </w:rPr>
              <w:t>94.7</w:t>
            </w:r>
          </w:p>
        </w:tc>
        <w:tc>
          <w:tcPr>
            <w:tcW w:w="1020" w:type="dxa"/>
            <w:tcBorders>
              <w:left w:val="nil"/>
              <w:right w:val="nil"/>
            </w:tcBorders>
            <w:shd w:val="clear" w:color="auto" w:fill="EAF9FF"/>
            <w:vAlign w:val="top"/>
          </w:tcPr>
          <w:p w14:paraId="5AD950FB">
            <w:pPr>
              <w:pStyle w:val="8"/>
              <w:spacing w:before="65" w:line="238" w:lineRule="exact"/>
              <w:ind w:left="359"/>
            </w:pPr>
            <w:r>
              <w:rPr>
                <w:color w:val="5F6A72"/>
                <w:spacing w:val="-7"/>
                <w:position w:val="1"/>
              </w:rPr>
              <w:t>60.1</w:t>
            </w:r>
          </w:p>
        </w:tc>
        <w:tc>
          <w:tcPr>
            <w:tcW w:w="1021" w:type="dxa"/>
            <w:tcBorders>
              <w:left w:val="nil"/>
              <w:right w:val="nil"/>
            </w:tcBorders>
            <w:shd w:val="clear" w:color="auto" w:fill="EAF9FF"/>
            <w:vAlign w:val="top"/>
          </w:tcPr>
          <w:p w14:paraId="71DA94E7">
            <w:pPr>
              <w:pStyle w:val="8"/>
              <w:spacing w:before="65" w:line="238" w:lineRule="exact"/>
              <w:ind w:left="473"/>
            </w:pPr>
            <w:r>
              <w:rPr>
                <w:color w:val="5F6A72"/>
                <w:position w:val="1"/>
              </w:rPr>
              <w:t>8</w:t>
            </w:r>
          </w:p>
        </w:tc>
        <w:tc>
          <w:tcPr>
            <w:tcW w:w="1020" w:type="dxa"/>
            <w:tcBorders>
              <w:left w:val="nil"/>
              <w:right w:val="nil"/>
            </w:tcBorders>
            <w:shd w:val="clear" w:color="auto" w:fill="EAF9FF"/>
            <w:vAlign w:val="top"/>
          </w:tcPr>
          <w:p w14:paraId="18AA70F8">
            <w:pPr>
              <w:pStyle w:val="8"/>
              <w:spacing w:before="65" w:line="238" w:lineRule="exact"/>
              <w:ind w:left="420"/>
            </w:pPr>
            <w:r>
              <w:rPr>
                <w:color w:val="5F6A72"/>
                <w:spacing w:val="-4"/>
                <w:position w:val="1"/>
              </w:rPr>
              <w:t>73</w:t>
            </w:r>
          </w:p>
        </w:tc>
      </w:tr>
      <w:tr w14:paraId="6AD87DD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020" w:type="dxa"/>
            <w:tcBorders>
              <w:left w:val="nil"/>
            </w:tcBorders>
            <w:vAlign w:val="top"/>
          </w:tcPr>
          <w:p w14:paraId="6BAC20B3">
            <w:pPr>
              <w:pStyle w:val="8"/>
              <w:spacing w:before="66" w:line="237" w:lineRule="exact"/>
              <w:ind w:left="18"/>
            </w:pPr>
            <w:r>
              <w:rPr>
                <w:color w:val="2A8ABF"/>
                <w:spacing w:val="-8"/>
                <w:position w:val="1"/>
              </w:rPr>
              <w:t>Bolivia</w:t>
            </w:r>
          </w:p>
        </w:tc>
        <w:tc>
          <w:tcPr>
            <w:tcW w:w="1020" w:type="dxa"/>
            <w:tcBorders>
              <w:right w:val="nil"/>
            </w:tcBorders>
            <w:shd w:val="clear" w:color="auto" w:fill="A1D7EF"/>
            <w:vAlign w:val="top"/>
          </w:tcPr>
          <w:p w14:paraId="6A7206BE">
            <w:pPr>
              <w:pStyle w:val="8"/>
              <w:spacing w:before="66" w:line="237" w:lineRule="exact"/>
              <w:ind w:left="355"/>
            </w:pPr>
            <w:r>
              <w:rPr>
                <w:color w:val="5F6A72"/>
                <w:spacing w:val="-7"/>
                <w:position w:val="1"/>
              </w:rPr>
              <w:t>63.3</w:t>
            </w:r>
          </w:p>
        </w:tc>
        <w:tc>
          <w:tcPr>
            <w:tcW w:w="1021" w:type="dxa"/>
            <w:tcBorders>
              <w:left w:val="nil"/>
              <w:right w:val="nil"/>
            </w:tcBorders>
            <w:shd w:val="clear" w:color="auto" w:fill="A1D7EF"/>
            <w:vAlign w:val="top"/>
          </w:tcPr>
          <w:p w14:paraId="08D50AE3">
            <w:pPr>
              <w:pStyle w:val="8"/>
              <w:spacing w:before="66" w:line="237" w:lineRule="exact"/>
              <w:ind w:left="359"/>
            </w:pPr>
            <w:r>
              <w:rPr>
                <w:color w:val="5F6A72"/>
                <w:spacing w:val="-7"/>
                <w:position w:val="1"/>
              </w:rPr>
              <w:t>57.0</w:t>
            </w:r>
          </w:p>
        </w:tc>
        <w:tc>
          <w:tcPr>
            <w:tcW w:w="1021" w:type="dxa"/>
            <w:tcBorders>
              <w:left w:val="nil"/>
              <w:right w:val="nil"/>
            </w:tcBorders>
            <w:shd w:val="clear" w:color="auto" w:fill="A1D7EF"/>
            <w:vAlign w:val="top"/>
          </w:tcPr>
          <w:p w14:paraId="728A9287">
            <w:pPr>
              <w:pStyle w:val="8"/>
              <w:spacing w:before="66" w:line="237" w:lineRule="exact"/>
              <w:ind w:left="359"/>
            </w:pPr>
            <w:r>
              <w:rPr>
                <w:color w:val="5F6A72"/>
                <w:spacing w:val="-7"/>
                <w:position w:val="1"/>
              </w:rPr>
              <w:t>61.4</w:t>
            </w:r>
          </w:p>
        </w:tc>
        <w:tc>
          <w:tcPr>
            <w:tcW w:w="1020" w:type="dxa"/>
            <w:tcBorders>
              <w:left w:val="nil"/>
              <w:right w:val="nil"/>
            </w:tcBorders>
            <w:shd w:val="clear" w:color="auto" w:fill="E5819D"/>
            <w:vAlign w:val="top"/>
          </w:tcPr>
          <w:p w14:paraId="3AD0C5B4">
            <w:pPr>
              <w:pStyle w:val="8"/>
              <w:spacing w:before="66" w:line="237" w:lineRule="exact"/>
              <w:ind w:left="358"/>
            </w:pPr>
            <w:r>
              <w:rPr>
                <w:color w:val="5F6A72"/>
                <w:spacing w:val="-7"/>
                <w:position w:val="1"/>
              </w:rPr>
              <w:t>56.9</w:t>
            </w:r>
          </w:p>
        </w:tc>
        <w:tc>
          <w:tcPr>
            <w:tcW w:w="1020" w:type="dxa"/>
            <w:tcBorders>
              <w:left w:val="nil"/>
              <w:right w:val="nil"/>
            </w:tcBorders>
            <w:shd w:val="clear" w:color="auto" w:fill="E5819D"/>
            <w:vAlign w:val="top"/>
          </w:tcPr>
          <w:p w14:paraId="129A7B4F">
            <w:pPr>
              <w:pStyle w:val="8"/>
              <w:spacing w:before="66" w:line="237" w:lineRule="exact"/>
              <w:ind w:left="357"/>
            </w:pPr>
            <w:r>
              <w:rPr>
                <w:color w:val="5F6A72"/>
                <w:spacing w:val="-7"/>
                <w:position w:val="1"/>
              </w:rPr>
              <w:t>85.0</w:t>
            </w:r>
          </w:p>
        </w:tc>
        <w:tc>
          <w:tcPr>
            <w:tcW w:w="1021" w:type="dxa"/>
            <w:tcBorders>
              <w:left w:val="nil"/>
              <w:right w:val="nil"/>
            </w:tcBorders>
            <w:shd w:val="clear" w:color="auto" w:fill="E5819D"/>
            <w:vAlign w:val="top"/>
          </w:tcPr>
          <w:p w14:paraId="2D583FCA">
            <w:pPr>
              <w:pStyle w:val="8"/>
              <w:spacing w:before="66" w:line="237" w:lineRule="exact"/>
              <w:ind w:left="354"/>
            </w:pPr>
            <w:r>
              <w:rPr>
                <w:color w:val="5F6A72"/>
                <w:spacing w:val="-6"/>
                <w:position w:val="1"/>
              </w:rPr>
              <w:t>70.9</w:t>
            </w:r>
          </w:p>
        </w:tc>
        <w:tc>
          <w:tcPr>
            <w:tcW w:w="1020" w:type="dxa"/>
            <w:tcBorders>
              <w:left w:val="nil"/>
              <w:right w:val="nil"/>
            </w:tcBorders>
            <w:vAlign w:val="top"/>
          </w:tcPr>
          <w:p w14:paraId="4173C61B">
            <w:pPr>
              <w:pStyle w:val="8"/>
              <w:spacing w:before="66" w:line="237" w:lineRule="exact"/>
              <w:ind w:left="359"/>
            </w:pPr>
            <w:r>
              <w:rPr>
                <w:color w:val="5F6A72"/>
                <w:spacing w:val="-7"/>
                <w:position w:val="1"/>
              </w:rPr>
              <w:t>62.3</w:t>
            </w:r>
          </w:p>
        </w:tc>
        <w:tc>
          <w:tcPr>
            <w:tcW w:w="1021" w:type="dxa"/>
            <w:tcBorders>
              <w:left w:val="nil"/>
              <w:right w:val="nil"/>
            </w:tcBorders>
            <w:vAlign w:val="top"/>
          </w:tcPr>
          <w:p w14:paraId="367683BC">
            <w:pPr>
              <w:pStyle w:val="8"/>
              <w:spacing w:before="66" w:line="237" w:lineRule="exact"/>
              <w:ind w:left="473"/>
            </w:pPr>
            <w:r>
              <w:rPr>
                <w:color w:val="5F6A72"/>
                <w:position w:val="1"/>
              </w:rPr>
              <w:t>9</w:t>
            </w:r>
          </w:p>
        </w:tc>
        <w:tc>
          <w:tcPr>
            <w:tcW w:w="1020" w:type="dxa"/>
            <w:tcBorders>
              <w:left w:val="nil"/>
              <w:right w:val="nil"/>
            </w:tcBorders>
            <w:vAlign w:val="top"/>
          </w:tcPr>
          <w:p w14:paraId="2469A12B">
            <w:pPr>
              <w:pStyle w:val="8"/>
              <w:spacing w:before="66" w:line="237" w:lineRule="exact"/>
              <w:ind w:left="424"/>
            </w:pPr>
            <w:r>
              <w:rPr>
                <w:color w:val="5F6A72"/>
                <w:spacing w:val="-5"/>
                <w:position w:val="1"/>
              </w:rPr>
              <w:t>82</w:t>
            </w:r>
          </w:p>
        </w:tc>
      </w:tr>
      <w:tr w14:paraId="31BFF64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1020" w:type="dxa"/>
            <w:tcBorders>
              <w:left w:val="nil"/>
            </w:tcBorders>
            <w:shd w:val="clear" w:color="auto" w:fill="EAF9FF"/>
            <w:vAlign w:val="top"/>
          </w:tcPr>
          <w:p w14:paraId="30E74394">
            <w:pPr>
              <w:pStyle w:val="8"/>
              <w:spacing w:before="65" w:line="271" w:lineRule="auto"/>
              <w:ind w:left="5" w:right="95"/>
            </w:pPr>
            <w:r>
              <w:rPr>
                <w:color w:val="2A8ABF"/>
                <w:spacing w:val="-9"/>
              </w:rPr>
              <w:t>Trinidad</w:t>
            </w:r>
            <w:r>
              <w:rPr>
                <w:color w:val="2A8ABF"/>
                <w:spacing w:val="-11"/>
              </w:rPr>
              <w:t xml:space="preserve"> </w:t>
            </w:r>
            <w:r>
              <w:rPr>
                <w:color w:val="2A8ABF"/>
                <w:spacing w:val="-9"/>
              </w:rPr>
              <w:t>And</w:t>
            </w:r>
            <w:r>
              <w:rPr>
                <w:color w:val="2A8ABF"/>
              </w:rPr>
              <w:t xml:space="preserve"> </w:t>
            </w:r>
            <w:r>
              <w:rPr>
                <w:color w:val="2A8ABF"/>
                <w:spacing w:val="-11"/>
              </w:rPr>
              <w:t>Tobago</w:t>
            </w:r>
          </w:p>
        </w:tc>
        <w:tc>
          <w:tcPr>
            <w:tcW w:w="1020" w:type="dxa"/>
            <w:tcBorders>
              <w:right w:val="nil"/>
            </w:tcBorders>
            <w:shd w:val="clear" w:color="auto" w:fill="A1D7EF"/>
            <w:vAlign w:val="top"/>
          </w:tcPr>
          <w:p w14:paraId="53682468">
            <w:pPr>
              <w:pStyle w:val="8"/>
              <w:spacing w:before="191" w:line="237" w:lineRule="exact"/>
              <w:ind w:left="355"/>
            </w:pPr>
            <w:r>
              <w:rPr>
                <w:color w:val="5F6A72"/>
                <w:spacing w:val="-7"/>
                <w:position w:val="1"/>
              </w:rPr>
              <w:t>69.9</w:t>
            </w:r>
          </w:p>
        </w:tc>
        <w:tc>
          <w:tcPr>
            <w:tcW w:w="1021" w:type="dxa"/>
            <w:tcBorders>
              <w:left w:val="nil"/>
              <w:right w:val="nil"/>
            </w:tcBorders>
            <w:shd w:val="clear" w:color="auto" w:fill="A1D7EF"/>
            <w:vAlign w:val="top"/>
          </w:tcPr>
          <w:p w14:paraId="3066D7EA">
            <w:pPr>
              <w:pStyle w:val="8"/>
              <w:spacing w:before="191" w:line="237" w:lineRule="exact"/>
              <w:ind w:left="354"/>
            </w:pPr>
            <w:r>
              <w:rPr>
                <w:color w:val="5F6A72"/>
                <w:spacing w:val="-6"/>
                <w:position w:val="1"/>
              </w:rPr>
              <w:t>77.8</w:t>
            </w:r>
          </w:p>
        </w:tc>
        <w:tc>
          <w:tcPr>
            <w:tcW w:w="1021" w:type="dxa"/>
            <w:tcBorders>
              <w:left w:val="nil"/>
              <w:right w:val="nil"/>
            </w:tcBorders>
            <w:shd w:val="clear" w:color="auto" w:fill="A1D7EF"/>
            <w:vAlign w:val="top"/>
          </w:tcPr>
          <w:p w14:paraId="55C828DE">
            <w:pPr>
              <w:pStyle w:val="8"/>
              <w:spacing w:before="191" w:line="237" w:lineRule="exact"/>
              <w:ind w:left="353"/>
            </w:pPr>
            <w:r>
              <w:rPr>
                <w:color w:val="5F6A72"/>
                <w:spacing w:val="-6"/>
                <w:position w:val="1"/>
              </w:rPr>
              <w:t>72.3</w:t>
            </w:r>
          </w:p>
        </w:tc>
        <w:tc>
          <w:tcPr>
            <w:tcW w:w="1020" w:type="dxa"/>
            <w:tcBorders>
              <w:left w:val="nil"/>
              <w:right w:val="nil"/>
            </w:tcBorders>
            <w:shd w:val="clear" w:color="auto" w:fill="E5819D"/>
            <w:vAlign w:val="top"/>
          </w:tcPr>
          <w:p w14:paraId="7ACB09C7">
            <w:pPr>
              <w:pStyle w:val="8"/>
              <w:spacing w:before="191" w:line="237" w:lineRule="exact"/>
              <w:ind w:left="358"/>
            </w:pPr>
            <w:r>
              <w:rPr>
                <w:color w:val="5F6A72"/>
                <w:spacing w:val="-7"/>
                <w:position w:val="1"/>
              </w:rPr>
              <w:t>50.3</w:t>
            </w:r>
          </w:p>
        </w:tc>
        <w:tc>
          <w:tcPr>
            <w:tcW w:w="1020" w:type="dxa"/>
            <w:tcBorders>
              <w:left w:val="nil"/>
              <w:right w:val="nil"/>
            </w:tcBorders>
            <w:shd w:val="clear" w:color="auto" w:fill="E5819D"/>
            <w:vAlign w:val="top"/>
          </w:tcPr>
          <w:p w14:paraId="6FB0FAA8">
            <w:pPr>
              <w:pStyle w:val="8"/>
              <w:spacing w:before="191" w:line="237" w:lineRule="exact"/>
              <w:ind w:left="353"/>
            </w:pPr>
            <w:r>
              <w:rPr>
                <w:color w:val="5F6A72"/>
                <w:spacing w:val="-6"/>
                <w:position w:val="1"/>
              </w:rPr>
              <w:t>46.2</w:t>
            </w:r>
          </w:p>
        </w:tc>
        <w:tc>
          <w:tcPr>
            <w:tcW w:w="1021" w:type="dxa"/>
            <w:tcBorders>
              <w:left w:val="nil"/>
              <w:right w:val="nil"/>
            </w:tcBorders>
            <w:shd w:val="clear" w:color="auto" w:fill="E5819D"/>
            <w:vAlign w:val="top"/>
          </w:tcPr>
          <w:p w14:paraId="278716F6">
            <w:pPr>
              <w:pStyle w:val="8"/>
              <w:spacing w:before="191" w:line="237" w:lineRule="exact"/>
              <w:ind w:left="354"/>
            </w:pPr>
            <w:r>
              <w:rPr>
                <w:color w:val="5F6A72"/>
                <w:spacing w:val="-6"/>
                <w:position w:val="1"/>
              </w:rPr>
              <w:t>48.2</w:t>
            </w:r>
          </w:p>
        </w:tc>
        <w:tc>
          <w:tcPr>
            <w:tcW w:w="1020" w:type="dxa"/>
            <w:tcBorders>
              <w:left w:val="nil"/>
              <w:right w:val="nil"/>
            </w:tcBorders>
            <w:shd w:val="clear" w:color="auto" w:fill="EAF9FF"/>
            <w:vAlign w:val="top"/>
          </w:tcPr>
          <w:p w14:paraId="4AF6E39E">
            <w:pPr>
              <w:pStyle w:val="8"/>
              <w:spacing w:before="191" w:line="237" w:lineRule="exact"/>
              <w:ind w:left="359"/>
            </w:pPr>
            <w:r>
              <w:rPr>
                <w:color w:val="5F6A72"/>
                <w:spacing w:val="-7"/>
                <w:position w:val="1"/>
              </w:rPr>
              <w:t>69.9</w:t>
            </w:r>
          </w:p>
        </w:tc>
        <w:tc>
          <w:tcPr>
            <w:tcW w:w="1021" w:type="dxa"/>
            <w:tcBorders>
              <w:left w:val="nil"/>
              <w:right w:val="nil"/>
            </w:tcBorders>
            <w:shd w:val="clear" w:color="auto" w:fill="EAF9FF"/>
            <w:vAlign w:val="top"/>
          </w:tcPr>
          <w:p w14:paraId="313FE1E1">
            <w:pPr>
              <w:pStyle w:val="8"/>
              <w:spacing w:before="191" w:line="237" w:lineRule="exact"/>
              <w:ind w:left="428"/>
            </w:pPr>
            <w:r>
              <w:rPr>
                <w:color w:val="5F6A72"/>
                <w:spacing w:val="-6"/>
                <w:position w:val="1"/>
              </w:rPr>
              <w:t>10</w:t>
            </w:r>
          </w:p>
        </w:tc>
        <w:tc>
          <w:tcPr>
            <w:tcW w:w="1020" w:type="dxa"/>
            <w:tcBorders>
              <w:left w:val="nil"/>
              <w:right w:val="nil"/>
            </w:tcBorders>
            <w:shd w:val="clear" w:color="auto" w:fill="EAF9FF"/>
            <w:vAlign w:val="top"/>
          </w:tcPr>
          <w:p w14:paraId="6D638236">
            <w:pPr>
              <w:pStyle w:val="8"/>
              <w:spacing w:before="191" w:line="237" w:lineRule="exact"/>
              <w:ind w:left="424"/>
            </w:pPr>
            <w:r>
              <w:rPr>
                <w:color w:val="5F6A72"/>
                <w:spacing w:val="-5"/>
                <w:position w:val="1"/>
              </w:rPr>
              <w:t>89</w:t>
            </w:r>
          </w:p>
        </w:tc>
      </w:tr>
      <w:tr w14:paraId="4CA1128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vAlign w:val="top"/>
          </w:tcPr>
          <w:p w14:paraId="63A12B63">
            <w:pPr>
              <w:pStyle w:val="8"/>
              <w:spacing w:before="106" w:line="184" w:lineRule="auto"/>
              <w:ind w:left="12"/>
            </w:pPr>
            <w:r>
              <w:rPr>
                <w:color w:val="2A8ABF"/>
                <w:spacing w:val="-13"/>
              </w:rPr>
              <w:t>Guyana</w:t>
            </w:r>
          </w:p>
        </w:tc>
        <w:tc>
          <w:tcPr>
            <w:tcW w:w="1020" w:type="dxa"/>
            <w:tcBorders>
              <w:right w:val="nil"/>
            </w:tcBorders>
            <w:shd w:val="clear" w:color="auto" w:fill="A1D7EF"/>
            <w:vAlign w:val="top"/>
          </w:tcPr>
          <w:p w14:paraId="1FAE01B1">
            <w:pPr>
              <w:pStyle w:val="8"/>
              <w:spacing w:before="67" w:line="237" w:lineRule="exact"/>
              <w:ind w:left="350"/>
            </w:pPr>
            <w:r>
              <w:rPr>
                <w:color w:val="5F6A72"/>
                <w:spacing w:val="-6"/>
                <w:position w:val="1"/>
              </w:rPr>
              <w:t>79.1</w:t>
            </w:r>
          </w:p>
        </w:tc>
        <w:tc>
          <w:tcPr>
            <w:tcW w:w="1021" w:type="dxa"/>
            <w:tcBorders>
              <w:left w:val="nil"/>
              <w:right w:val="nil"/>
            </w:tcBorders>
            <w:shd w:val="clear" w:color="auto" w:fill="A1D7EF"/>
            <w:vAlign w:val="top"/>
          </w:tcPr>
          <w:p w14:paraId="1A2A0ED6">
            <w:pPr>
              <w:pStyle w:val="8"/>
              <w:spacing w:before="67" w:line="237" w:lineRule="exact"/>
              <w:ind w:left="359"/>
            </w:pPr>
            <w:r>
              <w:rPr>
                <w:color w:val="5F6A72"/>
                <w:spacing w:val="-7"/>
                <w:position w:val="1"/>
              </w:rPr>
              <w:t>55.7</w:t>
            </w:r>
          </w:p>
        </w:tc>
        <w:tc>
          <w:tcPr>
            <w:tcW w:w="1021" w:type="dxa"/>
            <w:tcBorders>
              <w:left w:val="nil"/>
              <w:right w:val="nil"/>
            </w:tcBorders>
            <w:shd w:val="clear" w:color="auto" w:fill="A1D7EF"/>
            <w:vAlign w:val="top"/>
          </w:tcPr>
          <w:p w14:paraId="30C2B7DA">
            <w:pPr>
              <w:pStyle w:val="8"/>
              <w:spacing w:before="67" w:line="239" w:lineRule="exact"/>
              <w:ind w:left="353"/>
            </w:pPr>
            <w:r>
              <w:rPr>
                <w:color w:val="5F6A72"/>
                <w:spacing w:val="-6"/>
                <w:position w:val="1"/>
              </w:rPr>
              <w:t>72.1</w:t>
            </w:r>
          </w:p>
        </w:tc>
        <w:tc>
          <w:tcPr>
            <w:tcW w:w="1020" w:type="dxa"/>
            <w:tcBorders>
              <w:left w:val="nil"/>
              <w:right w:val="nil"/>
            </w:tcBorders>
            <w:shd w:val="clear" w:color="auto" w:fill="E5819D"/>
            <w:vAlign w:val="top"/>
          </w:tcPr>
          <w:p w14:paraId="25F97AE9">
            <w:pPr>
              <w:pStyle w:val="8"/>
              <w:spacing w:before="67" w:line="237" w:lineRule="exact"/>
              <w:ind w:left="357"/>
            </w:pPr>
            <w:r>
              <w:rPr>
                <w:color w:val="5F6A72"/>
                <w:spacing w:val="-7"/>
                <w:position w:val="1"/>
              </w:rPr>
              <w:t>90.1</w:t>
            </w:r>
          </w:p>
        </w:tc>
        <w:tc>
          <w:tcPr>
            <w:tcW w:w="1020" w:type="dxa"/>
            <w:tcBorders>
              <w:left w:val="nil"/>
              <w:right w:val="nil"/>
            </w:tcBorders>
            <w:shd w:val="clear" w:color="auto" w:fill="E5819D"/>
            <w:vAlign w:val="top"/>
          </w:tcPr>
          <w:p w14:paraId="54BD7728">
            <w:pPr>
              <w:pStyle w:val="8"/>
              <w:spacing w:before="67" w:line="237" w:lineRule="exact"/>
              <w:ind w:left="359"/>
            </w:pPr>
            <w:r>
              <w:rPr>
                <w:color w:val="5F6A72"/>
                <w:spacing w:val="-7"/>
                <w:position w:val="1"/>
              </w:rPr>
              <w:t>67.8</w:t>
            </w:r>
          </w:p>
        </w:tc>
        <w:tc>
          <w:tcPr>
            <w:tcW w:w="1021" w:type="dxa"/>
            <w:tcBorders>
              <w:left w:val="nil"/>
              <w:right w:val="nil"/>
            </w:tcBorders>
            <w:shd w:val="clear" w:color="auto" w:fill="E5819D"/>
            <w:vAlign w:val="top"/>
          </w:tcPr>
          <w:p w14:paraId="278B32C7">
            <w:pPr>
              <w:pStyle w:val="8"/>
              <w:spacing w:before="67" w:line="237" w:lineRule="exact"/>
              <w:ind w:left="354"/>
            </w:pPr>
            <w:r>
              <w:rPr>
                <w:color w:val="5F6A72"/>
                <w:spacing w:val="-6"/>
                <w:position w:val="1"/>
              </w:rPr>
              <w:t>78.9</w:t>
            </w:r>
          </w:p>
        </w:tc>
        <w:tc>
          <w:tcPr>
            <w:tcW w:w="1020" w:type="dxa"/>
            <w:tcBorders>
              <w:left w:val="nil"/>
              <w:right w:val="nil"/>
            </w:tcBorders>
            <w:vAlign w:val="top"/>
          </w:tcPr>
          <w:p w14:paraId="5DCF5614">
            <w:pPr>
              <w:pStyle w:val="8"/>
              <w:spacing w:before="67" w:line="237" w:lineRule="exact"/>
              <w:ind w:left="353"/>
            </w:pPr>
            <w:r>
              <w:rPr>
                <w:color w:val="5F6A72"/>
                <w:spacing w:val="-6"/>
                <w:position w:val="1"/>
              </w:rPr>
              <w:t>72.8</w:t>
            </w:r>
          </w:p>
        </w:tc>
        <w:tc>
          <w:tcPr>
            <w:tcW w:w="1021" w:type="dxa"/>
            <w:tcBorders>
              <w:left w:val="nil"/>
              <w:right w:val="nil"/>
            </w:tcBorders>
            <w:vAlign w:val="top"/>
          </w:tcPr>
          <w:p w14:paraId="7A7902EE">
            <w:pPr>
              <w:pStyle w:val="8"/>
              <w:spacing w:before="67" w:line="239" w:lineRule="exact"/>
              <w:ind w:left="428"/>
            </w:pPr>
            <w:r>
              <w:rPr>
                <w:color w:val="5F6A72"/>
                <w:spacing w:val="-6"/>
                <w:position w:val="1"/>
              </w:rPr>
              <w:t>11</w:t>
            </w:r>
          </w:p>
        </w:tc>
        <w:tc>
          <w:tcPr>
            <w:tcW w:w="1020" w:type="dxa"/>
            <w:tcBorders>
              <w:left w:val="nil"/>
              <w:right w:val="nil"/>
            </w:tcBorders>
            <w:vAlign w:val="top"/>
          </w:tcPr>
          <w:p w14:paraId="79873B0D">
            <w:pPr>
              <w:pStyle w:val="8"/>
              <w:spacing w:before="67" w:line="237" w:lineRule="exact"/>
              <w:ind w:left="424"/>
            </w:pPr>
            <w:r>
              <w:rPr>
                <w:color w:val="5F6A72"/>
                <w:spacing w:val="-5"/>
                <w:position w:val="1"/>
              </w:rPr>
              <w:t>91</w:t>
            </w:r>
          </w:p>
        </w:tc>
      </w:tr>
      <w:tr w14:paraId="3833BB1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020" w:type="dxa"/>
            <w:tcBorders>
              <w:left w:val="nil"/>
            </w:tcBorders>
            <w:shd w:val="clear" w:color="auto" w:fill="EAF9FF"/>
            <w:vAlign w:val="top"/>
          </w:tcPr>
          <w:p w14:paraId="4814FB04">
            <w:pPr>
              <w:pStyle w:val="8"/>
              <w:rPr>
                <w:sz w:val="21"/>
              </w:rPr>
            </w:pPr>
          </w:p>
        </w:tc>
        <w:tc>
          <w:tcPr>
            <w:tcW w:w="1020" w:type="dxa"/>
            <w:tcBorders>
              <w:right w:val="nil"/>
            </w:tcBorders>
            <w:shd w:val="clear" w:color="auto" w:fill="A1D7EF"/>
            <w:vAlign w:val="top"/>
          </w:tcPr>
          <w:p w14:paraId="0BBC58C4">
            <w:pPr>
              <w:pStyle w:val="8"/>
              <w:rPr>
                <w:sz w:val="21"/>
              </w:rPr>
            </w:pPr>
          </w:p>
        </w:tc>
        <w:tc>
          <w:tcPr>
            <w:tcW w:w="1021" w:type="dxa"/>
            <w:tcBorders>
              <w:left w:val="nil"/>
              <w:right w:val="nil"/>
            </w:tcBorders>
            <w:shd w:val="clear" w:color="auto" w:fill="A1D7EF"/>
            <w:vAlign w:val="top"/>
          </w:tcPr>
          <w:p w14:paraId="1DAB8BA7">
            <w:pPr>
              <w:pStyle w:val="8"/>
              <w:rPr>
                <w:sz w:val="21"/>
              </w:rPr>
            </w:pPr>
          </w:p>
        </w:tc>
        <w:tc>
          <w:tcPr>
            <w:tcW w:w="1021" w:type="dxa"/>
            <w:tcBorders>
              <w:left w:val="nil"/>
              <w:right w:val="nil"/>
            </w:tcBorders>
            <w:shd w:val="clear" w:color="auto" w:fill="A1D7EF"/>
            <w:vAlign w:val="top"/>
          </w:tcPr>
          <w:p w14:paraId="2D51A2A3">
            <w:pPr>
              <w:pStyle w:val="8"/>
              <w:rPr>
                <w:sz w:val="21"/>
              </w:rPr>
            </w:pPr>
          </w:p>
        </w:tc>
        <w:tc>
          <w:tcPr>
            <w:tcW w:w="1020" w:type="dxa"/>
            <w:tcBorders>
              <w:left w:val="nil"/>
              <w:right w:val="nil"/>
            </w:tcBorders>
            <w:shd w:val="clear" w:color="auto" w:fill="E5819D"/>
            <w:vAlign w:val="top"/>
          </w:tcPr>
          <w:p w14:paraId="6993D572">
            <w:pPr>
              <w:pStyle w:val="8"/>
              <w:rPr>
                <w:sz w:val="21"/>
              </w:rPr>
            </w:pPr>
          </w:p>
        </w:tc>
        <w:tc>
          <w:tcPr>
            <w:tcW w:w="1020" w:type="dxa"/>
            <w:tcBorders>
              <w:left w:val="nil"/>
              <w:right w:val="nil"/>
            </w:tcBorders>
            <w:shd w:val="clear" w:color="auto" w:fill="E5819D"/>
            <w:vAlign w:val="top"/>
          </w:tcPr>
          <w:p w14:paraId="5E6C7A14">
            <w:pPr>
              <w:pStyle w:val="8"/>
              <w:rPr>
                <w:sz w:val="21"/>
              </w:rPr>
            </w:pPr>
          </w:p>
        </w:tc>
        <w:tc>
          <w:tcPr>
            <w:tcW w:w="1021" w:type="dxa"/>
            <w:tcBorders>
              <w:left w:val="nil"/>
              <w:right w:val="nil"/>
            </w:tcBorders>
            <w:shd w:val="clear" w:color="auto" w:fill="E5819D"/>
            <w:vAlign w:val="top"/>
          </w:tcPr>
          <w:p w14:paraId="2BD33A6F">
            <w:pPr>
              <w:pStyle w:val="8"/>
              <w:rPr>
                <w:sz w:val="21"/>
              </w:rPr>
            </w:pPr>
          </w:p>
        </w:tc>
        <w:tc>
          <w:tcPr>
            <w:tcW w:w="1020" w:type="dxa"/>
            <w:tcBorders>
              <w:left w:val="nil"/>
              <w:right w:val="nil"/>
            </w:tcBorders>
            <w:shd w:val="clear" w:color="auto" w:fill="EAF9FF"/>
            <w:vAlign w:val="top"/>
          </w:tcPr>
          <w:p w14:paraId="4551C4BE">
            <w:pPr>
              <w:pStyle w:val="8"/>
              <w:rPr>
                <w:sz w:val="21"/>
              </w:rPr>
            </w:pPr>
          </w:p>
        </w:tc>
        <w:tc>
          <w:tcPr>
            <w:tcW w:w="1021" w:type="dxa"/>
            <w:tcBorders>
              <w:left w:val="nil"/>
              <w:right w:val="nil"/>
            </w:tcBorders>
            <w:shd w:val="clear" w:color="auto" w:fill="EAF9FF"/>
            <w:vAlign w:val="top"/>
          </w:tcPr>
          <w:p w14:paraId="09C86F9D">
            <w:pPr>
              <w:pStyle w:val="8"/>
              <w:rPr>
                <w:sz w:val="21"/>
              </w:rPr>
            </w:pPr>
          </w:p>
        </w:tc>
        <w:tc>
          <w:tcPr>
            <w:tcW w:w="1020" w:type="dxa"/>
            <w:tcBorders>
              <w:left w:val="nil"/>
              <w:right w:val="nil"/>
            </w:tcBorders>
            <w:shd w:val="clear" w:color="auto" w:fill="EAF9FF"/>
            <w:vAlign w:val="top"/>
          </w:tcPr>
          <w:p w14:paraId="31BA59AD">
            <w:pPr>
              <w:pStyle w:val="8"/>
              <w:rPr>
                <w:sz w:val="21"/>
              </w:rPr>
            </w:pPr>
          </w:p>
        </w:tc>
      </w:tr>
      <w:tr w14:paraId="04A7BA1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7" w:hRule="atLeast"/>
        </w:trPr>
        <w:tc>
          <w:tcPr>
            <w:tcW w:w="1020" w:type="dxa"/>
            <w:tcBorders>
              <w:left w:val="nil"/>
            </w:tcBorders>
            <w:vAlign w:val="top"/>
          </w:tcPr>
          <w:p w14:paraId="294BE2CF">
            <w:pPr>
              <w:pStyle w:val="8"/>
              <w:spacing w:before="66" w:line="296" w:lineRule="auto"/>
              <w:ind w:left="10" w:right="427" w:firstLine="1"/>
            </w:pPr>
            <w:r>
              <w:rPr>
                <w:color w:val="2A8ABF"/>
                <w:spacing w:val="-12"/>
              </w:rPr>
              <w:t>Global</w:t>
            </w:r>
            <w:r>
              <w:rPr>
                <w:color w:val="2A8ABF"/>
              </w:rPr>
              <w:t xml:space="preserve"> </w:t>
            </w:r>
            <w:r>
              <w:rPr>
                <w:color w:val="2A8ABF"/>
                <w:spacing w:val="-11"/>
              </w:rPr>
              <w:t>average</w:t>
            </w:r>
          </w:p>
        </w:tc>
        <w:tc>
          <w:tcPr>
            <w:tcW w:w="1020" w:type="dxa"/>
            <w:tcBorders>
              <w:right w:val="nil"/>
            </w:tcBorders>
            <w:shd w:val="clear" w:color="auto" w:fill="A1D7EF"/>
            <w:vAlign w:val="top"/>
          </w:tcPr>
          <w:p w14:paraId="3E440B71">
            <w:pPr>
              <w:pStyle w:val="8"/>
              <w:spacing w:before="190" w:line="238" w:lineRule="exact"/>
              <w:ind w:left="354"/>
            </w:pPr>
            <w:r>
              <w:rPr>
                <w:color w:val="5F6A72"/>
                <w:spacing w:val="-7"/>
                <w:position w:val="1"/>
              </w:rPr>
              <w:t>50.0</w:t>
            </w:r>
          </w:p>
        </w:tc>
        <w:tc>
          <w:tcPr>
            <w:tcW w:w="1021" w:type="dxa"/>
            <w:tcBorders>
              <w:left w:val="nil"/>
              <w:right w:val="nil"/>
            </w:tcBorders>
            <w:shd w:val="clear" w:color="auto" w:fill="A1D7EF"/>
            <w:vAlign w:val="top"/>
          </w:tcPr>
          <w:p w14:paraId="64D7DB7F">
            <w:pPr>
              <w:pStyle w:val="8"/>
              <w:spacing w:before="190" w:line="238" w:lineRule="exact"/>
              <w:ind w:left="359"/>
            </w:pPr>
            <w:r>
              <w:rPr>
                <w:color w:val="5F6A72"/>
                <w:spacing w:val="-7"/>
                <w:position w:val="1"/>
              </w:rPr>
              <w:t>50.0</w:t>
            </w:r>
          </w:p>
        </w:tc>
        <w:tc>
          <w:tcPr>
            <w:tcW w:w="1021" w:type="dxa"/>
            <w:tcBorders>
              <w:left w:val="nil"/>
              <w:right w:val="nil"/>
            </w:tcBorders>
            <w:shd w:val="clear" w:color="auto" w:fill="A1D7EF"/>
            <w:vAlign w:val="top"/>
          </w:tcPr>
          <w:p w14:paraId="6C0B547F">
            <w:pPr>
              <w:pStyle w:val="8"/>
              <w:spacing w:before="190" w:line="238" w:lineRule="exact"/>
              <w:ind w:left="358"/>
            </w:pPr>
            <w:r>
              <w:rPr>
                <w:color w:val="5F6A72"/>
                <w:spacing w:val="-7"/>
                <w:position w:val="1"/>
              </w:rPr>
              <w:t>50.0</w:t>
            </w:r>
          </w:p>
        </w:tc>
        <w:tc>
          <w:tcPr>
            <w:tcW w:w="1020" w:type="dxa"/>
            <w:tcBorders>
              <w:left w:val="nil"/>
              <w:right w:val="nil"/>
            </w:tcBorders>
            <w:shd w:val="clear" w:color="auto" w:fill="E5819D"/>
            <w:vAlign w:val="top"/>
          </w:tcPr>
          <w:p w14:paraId="5E846FAC">
            <w:pPr>
              <w:pStyle w:val="8"/>
              <w:spacing w:before="190" w:line="238" w:lineRule="exact"/>
              <w:ind w:left="358"/>
            </w:pPr>
            <w:r>
              <w:rPr>
                <w:color w:val="5F6A72"/>
                <w:spacing w:val="-7"/>
                <w:position w:val="1"/>
              </w:rPr>
              <w:t>50.0</w:t>
            </w:r>
          </w:p>
        </w:tc>
        <w:tc>
          <w:tcPr>
            <w:tcW w:w="1020" w:type="dxa"/>
            <w:tcBorders>
              <w:left w:val="nil"/>
              <w:right w:val="nil"/>
            </w:tcBorders>
            <w:shd w:val="clear" w:color="auto" w:fill="E5819D"/>
            <w:vAlign w:val="top"/>
          </w:tcPr>
          <w:p w14:paraId="0A821FD4">
            <w:pPr>
              <w:pStyle w:val="8"/>
              <w:spacing w:before="190" w:line="238" w:lineRule="exact"/>
              <w:ind w:left="358"/>
            </w:pPr>
            <w:r>
              <w:rPr>
                <w:color w:val="5F6A72"/>
                <w:spacing w:val="-7"/>
                <w:position w:val="1"/>
              </w:rPr>
              <w:t>50.0</w:t>
            </w:r>
          </w:p>
        </w:tc>
        <w:tc>
          <w:tcPr>
            <w:tcW w:w="1021" w:type="dxa"/>
            <w:tcBorders>
              <w:left w:val="nil"/>
              <w:right w:val="nil"/>
            </w:tcBorders>
            <w:shd w:val="clear" w:color="auto" w:fill="E5819D"/>
            <w:vAlign w:val="top"/>
          </w:tcPr>
          <w:p w14:paraId="49D6D23E">
            <w:pPr>
              <w:pStyle w:val="8"/>
              <w:spacing w:before="190" w:line="238" w:lineRule="exact"/>
              <w:ind w:left="358"/>
            </w:pPr>
            <w:r>
              <w:rPr>
                <w:color w:val="5F6A72"/>
                <w:spacing w:val="-7"/>
                <w:position w:val="1"/>
              </w:rPr>
              <w:t>50.0</w:t>
            </w:r>
          </w:p>
        </w:tc>
        <w:tc>
          <w:tcPr>
            <w:tcW w:w="1020" w:type="dxa"/>
            <w:tcBorders>
              <w:left w:val="nil"/>
              <w:right w:val="nil"/>
            </w:tcBorders>
            <w:vAlign w:val="top"/>
          </w:tcPr>
          <w:p w14:paraId="2176B36C">
            <w:pPr>
              <w:pStyle w:val="8"/>
              <w:spacing w:before="190" w:line="238" w:lineRule="exact"/>
              <w:ind w:left="358"/>
            </w:pPr>
            <w:r>
              <w:rPr>
                <w:color w:val="5F6A72"/>
                <w:spacing w:val="-7"/>
                <w:position w:val="1"/>
              </w:rPr>
              <w:t>50.0</w:t>
            </w:r>
          </w:p>
        </w:tc>
        <w:tc>
          <w:tcPr>
            <w:tcW w:w="1021" w:type="dxa"/>
            <w:tcBorders>
              <w:left w:val="nil"/>
              <w:right w:val="nil"/>
            </w:tcBorders>
            <w:vAlign w:val="top"/>
          </w:tcPr>
          <w:p w14:paraId="028FB889">
            <w:pPr>
              <w:pStyle w:val="8"/>
              <w:spacing w:before="235" w:line="114" w:lineRule="exact"/>
              <w:ind w:left="470"/>
            </w:pPr>
            <w:r>
              <w:rPr>
                <w:color w:val="5F6A72"/>
                <w:position w:val="-7"/>
              </w:rPr>
              <w:t>~</w:t>
            </w:r>
          </w:p>
        </w:tc>
        <w:tc>
          <w:tcPr>
            <w:tcW w:w="1020" w:type="dxa"/>
            <w:tcBorders>
              <w:left w:val="nil"/>
              <w:right w:val="nil"/>
            </w:tcBorders>
            <w:vAlign w:val="top"/>
          </w:tcPr>
          <w:p w14:paraId="238313FC">
            <w:pPr>
              <w:pStyle w:val="8"/>
              <w:spacing w:before="235" w:line="114" w:lineRule="exact"/>
              <w:ind w:left="470"/>
            </w:pPr>
            <w:r>
              <w:rPr>
                <w:color w:val="5F6A72"/>
                <w:position w:val="-7"/>
              </w:rPr>
              <w:t>~</w:t>
            </w:r>
          </w:p>
        </w:tc>
      </w:tr>
      <w:tr w14:paraId="08A2E61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79" w:hRule="atLeast"/>
        </w:trPr>
        <w:tc>
          <w:tcPr>
            <w:tcW w:w="1020" w:type="dxa"/>
            <w:tcBorders>
              <w:left w:val="nil"/>
              <w:bottom w:val="nil"/>
            </w:tcBorders>
            <w:shd w:val="clear" w:color="auto" w:fill="EAF9FF"/>
            <w:vAlign w:val="top"/>
          </w:tcPr>
          <w:p w14:paraId="3D31EF44">
            <w:pPr>
              <w:pStyle w:val="8"/>
              <w:spacing w:before="65" w:line="234" w:lineRule="auto"/>
              <w:ind w:left="18"/>
            </w:pPr>
            <w:r>
              <w:rPr>
                <w:color w:val="2A8ABF"/>
                <w:spacing w:val="-11"/>
              </w:rPr>
              <w:t>Regional</w:t>
            </w:r>
          </w:p>
          <w:p w14:paraId="22C3AC02">
            <w:pPr>
              <w:pStyle w:val="8"/>
              <w:spacing w:before="113" w:line="133" w:lineRule="exact"/>
              <w:ind w:left="10"/>
            </w:pPr>
            <w:r>
              <w:rPr>
                <w:color w:val="2A8ABF"/>
                <w:spacing w:val="-10"/>
                <w:position w:val="1"/>
              </w:rPr>
              <w:t>average</w:t>
            </w:r>
          </w:p>
        </w:tc>
        <w:tc>
          <w:tcPr>
            <w:tcW w:w="1020" w:type="dxa"/>
            <w:tcBorders>
              <w:bottom w:val="nil"/>
              <w:right w:val="nil"/>
            </w:tcBorders>
            <w:shd w:val="clear" w:color="auto" w:fill="A1D7EF"/>
            <w:vAlign w:val="top"/>
          </w:tcPr>
          <w:p w14:paraId="36B343FA">
            <w:pPr>
              <w:pStyle w:val="8"/>
              <w:spacing w:before="190" w:line="237" w:lineRule="exact"/>
              <w:ind w:left="354"/>
            </w:pPr>
            <w:r>
              <w:rPr>
                <w:color w:val="5F6A72"/>
                <w:spacing w:val="-7"/>
                <w:position w:val="1"/>
              </w:rPr>
              <w:t>52.4</w:t>
            </w:r>
          </w:p>
        </w:tc>
        <w:tc>
          <w:tcPr>
            <w:tcW w:w="1021" w:type="dxa"/>
            <w:tcBorders>
              <w:left w:val="nil"/>
              <w:bottom w:val="nil"/>
              <w:right w:val="nil"/>
            </w:tcBorders>
            <w:shd w:val="clear" w:color="auto" w:fill="A1D7EF"/>
            <w:vAlign w:val="top"/>
          </w:tcPr>
          <w:p w14:paraId="76BDD736">
            <w:pPr>
              <w:pStyle w:val="8"/>
              <w:spacing w:before="190" w:line="237" w:lineRule="exact"/>
              <w:ind w:left="359"/>
            </w:pPr>
            <w:r>
              <w:rPr>
                <w:color w:val="5F6A72"/>
                <w:spacing w:val="-7"/>
                <w:position w:val="1"/>
              </w:rPr>
              <w:t>53.7</w:t>
            </w:r>
          </w:p>
        </w:tc>
        <w:tc>
          <w:tcPr>
            <w:tcW w:w="1021" w:type="dxa"/>
            <w:tcBorders>
              <w:left w:val="nil"/>
              <w:bottom w:val="nil"/>
              <w:right w:val="nil"/>
            </w:tcBorders>
            <w:shd w:val="clear" w:color="auto" w:fill="A1D7EF"/>
            <w:vAlign w:val="top"/>
          </w:tcPr>
          <w:p w14:paraId="4A7021B7">
            <w:pPr>
              <w:pStyle w:val="8"/>
              <w:spacing w:before="190" w:line="237" w:lineRule="exact"/>
              <w:ind w:left="358"/>
            </w:pPr>
            <w:r>
              <w:rPr>
                <w:color w:val="5F6A72"/>
                <w:spacing w:val="-7"/>
                <w:position w:val="1"/>
              </w:rPr>
              <w:t>52.8</w:t>
            </w:r>
          </w:p>
        </w:tc>
        <w:tc>
          <w:tcPr>
            <w:tcW w:w="1020" w:type="dxa"/>
            <w:tcBorders>
              <w:left w:val="nil"/>
              <w:bottom w:val="nil"/>
              <w:right w:val="nil"/>
            </w:tcBorders>
            <w:shd w:val="clear" w:color="auto" w:fill="E5819D"/>
            <w:vAlign w:val="top"/>
          </w:tcPr>
          <w:p w14:paraId="14068696">
            <w:pPr>
              <w:pStyle w:val="8"/>
              <w:spacing w:before="190" w:line="237" w:lineRule="exact"/>
              <w:ind w:left="358"/>
            </w:pPr>
            <w:r>
              <w:rPr>
                <w:color w:val="5F6A72"/>
                <w:spacing w:val="-7"/>
                <w:position w:val="1"/>
              </w:rPr>
              <w:t>62.1</w:t>
            </w:r>
          </w:p>
        </w:tc>
        <w:tc>
          <w:tcPr>
            <w:tcW w:w="1020" w:type="dxa"/>
            <w:tcBorders>
              <w:left w:val="nil"/>
              <w:bottom w:val="nil"/>
              <w:right w:val="nil"/>
            </w:tcBorders>
            <w:shd w:val="clear" w:color="auto" w:fill="E5819D"/>
            <w:vAlign w:val="top"/>
          </w:tcPr>
          <w:p w14:paraId="0FC1EF94">
            <w:pPr>
              <w:pStyle w:val="8"/>
              <w:spacing w:before="190" w:line="237" w:lineRule="exact"/>
              <w:ind w:left="358"/>
            </w:pPr>
            <w:r>
              <w:rPr>
                <w:color w:val="5F6A72"/>
                <w:spacing w:val="-7"/>
                <w:position w:val="1"/>
              </w:rPr>
              <w:t>59.7</w:t>
            </w:r>
          </w:p>
        </w:tc>
        <w:tc>
          <w:tcPr>
            <w:tcW w:w="1021" w:type="dxa"/>
            <w:tcBorders>
              <w:left w:val="nil"/>
              <w:bottom w:val="nil"/>
              <w:right w:val="nil"/>
            </w:tcBorders>
            <w:shd w:val="clear" w:color="auto" w:fill="E5819D"/>
            <w:vAlign w:val="top"/>
          </w:tcPr>
          <w:p w14:paraId="722B8782">
            <w:pPr>
              <w:pStyle w:val="8"/>
              <w:spacing w:before="190" w:line="237" w:lineRule="exact"/>
              <w:ind w:left="359"/>
            </w:pPr>
            <w:r>
              <w:rPr>
                <w:color w:val="5F6A72"/>
                <w:spacing w:val="-7"/>
                <w:position w:val="1"/>
              </w:rPr>
              <w:t>60.9</w:t>
            </w:r>
          </w:p>
        </w:tc>
        <w:tc>
          <w:tcPr>
            <w:tcW w:w="1020" w:type="dxa"/>
            <w:tcBorders>
              <w:left w:val="nil"/>
              <w:bottom w:val="nil"/>
              <w:right w:val="nil"/>
            </w:tcBorders>
            <w:shd w:val="clear" w:color="auto" w:fill="EAF9FF"/>
            <w:vAlign w:val="top"/>
          </w:tcPr>
          <w:p w14:paraId="35CBC3E1">
            <w:pPr>
              <w:pStyle w:val="8"/>
              <w:spacing w:before="190" w:line="237" w:lineRule="exact"/>
              <w:ind w:left="358"/>
            </w:pPr>
            <w:r>
              <w:rPr>
                <w:color w:val="5F6A72"/>
                <w:spacing w:val="-7"/>
                <w:position w:val="1"/>
              </w:rPr>
              <w:t>53.6</w:t>
            </w:r>
          </w:p>
        </w:tc>
        <w:tc>
          <w:tcPr>
            <w:tcW w:w="1021" w:type="dxa"/>
            <w:tcBorders>
              <w:left w:val="nil"/>
              <w:bottom w:val="nil"/>
              <w:right w:val="nil"/>
            </w:tcBorders>
            <w:shd w:val="clear" w:color="auto" w:fill="EAF9FF"/>
            <w:vAlign w:val="top"/>
          </w:tcPr>
          <w:p w14:paraId="69B45068">
            <w:pPr>
              <w:pStyle w:val="8"/>
              <w:spacing w:before="234" w:line="114" w:lineRule="exact"/>
              <w:ind w:left="470"/>
            </w:pPr>
            <w:r>
              <w:rPr>
                <w:color w:val="5F6A72"/>
                <w:position w:val="-7"/>
              </w:rPr>
              <w:t>~</w:t>
            </w:r>
          </w:p>
        </w:tc>
        <w:tc>
          <w:tcPr>
            <w:tcW w:w="1020" w:type="dxa"/>
            <w:tcBorders>
              <w:left w:val="nil"/>
              <w:bottom w:val="nil"/>
              <w:right w:val="nil"/>
            </w:tcBorders>
            <w:shd w:val="clear" w:color="auto" w:fill="EAF9FF"/>
            <w:vAlign w:val="top"/>
          </w:tcPr>
          <w:p w14:paraId="4224ABEF">
            <w:pPr>
              <w:pStyle w:val="8"/>
              <w:spacing w:before="234" w:line="114" w:lineRule="exact"/>
              <w:ind w:left="470"/>
            </w:pPr>
            <w:r>
              <w:rPr>
                <w:color w:val="5F6A72"/>
                <w:position w:val="-7"/>
              </w:rPr>
              <w:t>~</w:t>
            </w:r>
          </w:p>
        </w:tc>
      </w:tr>
    </w:tbl>
    <w:p w14:paraId="15856B98">
      <w:pPr>
        <w:pStyle w:val="4"/>
        <w:spacing w:before="150" w:line="177" w:lineRule="exact"/>
        <w:ind w:left="372"/>
        <w:rPr>
          <w:sz w:val="15"/>
          <w:szCs w:val="15"/>
        </w:rPr>
      </w:pPr>
      <w:r>
        <w:drawing>
          <wp:anchor distT="0" distB="0" distL="0" distR="0" simplePos="0" relativeHeight="251889664"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position w:val="1"/>
          <w:sz w:val="15"/>
          <w:szCs w:val="15"/>
        </w:rPr>
        <w:t>Note: Scores out</w:t>
      </w:r>
      <w:r>
        <w:rPr>
          <w:i/>
          <w:iCs/>
          <w:color w:val="333333"/>
          <w:spacing w:val="-10"/>
          <w:position w:val="1"/>
          <w:sz w:val="15"/>
          <w:szCs w:val="15"/>
        </w:rPr>
        <w:t xml:space="preserve"> </w:t>
      </w:r>
      <w:r>
        <w:rPr>
          <w:i/>
          <w:iCs/>
          <w:color w:val="333333"/>
          <w:spacing w:val="-5"/>
          <w:w w:val="94"/>
          <w:position w:val="1"/>
          <w:sz w:val="15"/>
          <w:szCs w:val="15"/>
        </w:rPr>
        <w:t>of</w:t>
      </w:r>
      <w:r>
        <w:rPr>
          <w:i/>
          <w:iCs/>
          <w:color w:val="333333"/>
          <w:spacing w:val="-11"/>
          <w:position w:val="1"/>
          <w:sz w:val="15"/>
          <w:szCs w:val="15"/>
        </w:rPr>
        <w:t xml:space="preserve"> </w:t>
      </w:r>
      <w:r>
        <w:rPr>
          <w:i/>
          <w:iCs/>
          <w:color w:val="333333"/>
          <w:spacing w:val="-5"/>
          <w:w w:val="94"/>
          <w:position w:val="1"/>
          <w:sz w:val="15"/>
          <w:szCs w:val="15"/>
        </w:rPr>
        <w:t>100;</w:t>
      </w:r>
      <w:r>
        <w:rPr>
          <w:i/>
          <w:iCs/>
          <w:color w:val="333333"/>
          <w:spacing w:val="-8"/>
          <w:position w:val="1"/>
          <w:sz w:val="15"/>
          <w:szCs w:val="15"/>
        </w:rPr>
        <w:t xml:space="preserve"> </w:t>
      </w:r>
      <w:r>
        <w:rPr>
          <w:i/>
          <w:iCs/>
          <w:color w:val="333333"/>
          <w:spacing w:val="-5"/>
          <w:w w:val="94"/>
          <w:position w:val="1"/>
          <w:sz w:val="15"/>
          <w:szCs w:val="15"/>
        </w:rPr>
        <w:t>lower</w:t>
      </w:r>
      <w:r>
        <w:rPr>
          <w:i/>
          <w:iCs/>
          <w:color w:val="333333"/>
          <w:spacing w:val="-19"/>
          <w:position w:val="1"/>
          <w:sz w:val="15"/>
          <w:szCs w:val="15"/>
        </w:rPr>
        <w:t xml:space="preserve"> </w:t>
      </w:r>
      <w:r>
        <w:rPr>
          <w:i/>
          <w:iCs/>
          <w:color w:val="333333"/>
          <w:spacing w:val="-5"/>
          <w:w w:val="94"/>
          <w:position w:val="1"/>
          <w:sz w:val="15"/>
          <w:szCs w:val="15"/>
        </w:rPr>
        <w:t>score = more attractive mark</w:t>
      </w:r>
      <w:r>
        <w:rPr>
          <w:i/>
          <w:iCs/>
          <w:color w:val="333333"/>
          <w:spacing w:val="-6"/>
          <w:w w:val="94"/>
          <w:position w:val="1"/>
          <w:sz w:val="15"/>
          <w:szCs w:val="15"/>
        </w:rPr>
        <w:t>et. Source: BMI Downstream</w:t>
      </w:r>
      <w:r>
        <w:rPr>
          <w:i/>
          <w:iCs/>
          <w:color w:val="333333"/>
          <w:spacing w:val="4"/>
          <w:position w:val="1"/>
          <w:sz w:val="15"/>
          <w:szCs w:val="15"/>
        </w:rPr>
        <w:t xml:space="preserve"> </w:t>
      </w:r>
      <w:r>
        <w:rPr>
          <w:i/>
          <w:iCs/>
          <w:color w:val="333333"/>
          <w:spacing w:val="-6"/>
          <w:w w:val="94"/>
          <w:position w:val="1"/>
          <w:sz w:val="15"/>
          <w:szCs w:val="15"/>
        </w:rPr>
        <w:t>Oil</w:t>
      </w:r>
      <w:r>
        <w:rPr>
          <w:i/>
          <w:iCs/>
          <w:color w:val="333333"/>
          <w:spacing w:val="-12"/>
          <w:position w:val="1"/>
          <w:sz w:val="15"/>
          <w:szCs w:val="15"/>
        </w:rPr>
        <w:t xml:space="preserve"> </w:t>
      </w:r>
      <w:r>
        <w:rPr>
          <w:i/>
          <w:iCs/>
          <w:color w:val="333333"/>
          <w:spacing w:val="-6"/>
          <w:w w:val="94"/>
          <w:position w:val="1"/>
          <w:sz w:val="15"/>
          <w:szCs w:val="15"/>
        </w:rPr>
        <w:t>&amp; Gas Risk/Reward</w:t>
      </w:r>
      <w:r>
        <w:rPr>
          <w:i/>
          <w:iCs/>
          <w:color w:val="333333"/>
          <w:spacing w:val="-11"/>
          <w:position w:val="1"/>
          <w:sz w:val="15"/>
          <w:szCs w:val="15"/>
        </w:rPr>
        <w:t xml:space="preserve"> </w:t>
      </w:r>
      <w:r>
        <w:rPr>
          <w:i/>
          <w:iCs/>
          <w:color w:val="333333"/>
          <w:spacing w:val="-6"/>
          <w:w w:val="94"/>
          <w:position w:val="1"/>
          <w:sz w:val="15"/>
          <w:szCs w:val="15"/>
        </w:rPr>
        <w:t>Index</w:t>
      </w:r>
    </w:p>
    <w:p w14:paraId="2916BFFB">
      <w:pPr>
        <w:spacing w:line="177" w:lineRule="exact"/>
        <w:rPr>
          <w:sz w:val="15"/>
          <w:szCs w:val="15"/>
        </w:rPr>
        <w:sectPr>
          <w:footerReference r:id="rId60" w:type="default"/>
          <w:pgSz w:w="11906" w:h="16838"/>
          <w:pgMar w:top="400" w:right="490" w:bottom="883" w:left="490" w:header="0" w:footer="0" w:gutter="0"/>
          <w:cols w:space="720" w:num="1"/>
        </w:sectPr>
      </w:pPr>
    </w:p>
    <w:p w14:paraId="1340C6EF">
      <w:pPr>
        <w:pStyle w:val="4"/>
        <w:spacing w:before="73" w:line="241" w:lineRule="auto"/>
        <w:ind w:left="7372"/>
        <w:rPr>
          <w:sz w:val="20"/>
          <w:szCs w:val="20"/>
        </w:rPr>
      </w:pPr>
      <w:r>
        <w:drawing>
          <wp:anchor distT="0" distB="0" distL="0" distR="0" simplePos="0" relativeHeight="25189478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95808" behindDoc="0" locked="0" layoutInCell="0" allowOverlap="1">
            <wp:simplePos x="0" y="0"/>
            <wp:positionH relativeFrom="page">
              <wp:posOffset>311150</wp:posOffset>
            </wp:positionH>
            <wp:positionV relativeFrom="page">
              <wp:posOffset>0</wp:posOffset>
            </wp:positionV>
            <wp:extent cx="19050" cy="814070"/>
            <wp:effectExtent l="0" t="0" r="0" b="0"/>
            <wp:wrapNone/>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B1E24F4">
      <w:pPr>
        <w:pStyle w:val="4"/>
        <w:spacing w:line="278" w:lineRule="auto"/>
      </w:pPr>
    </w:p>
    <w:p w14:paraId="6C24AB43">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731B528">
      <w:pPr>
        <w:pStyle w:val="4"/>
        <w:spacing w:line="311" w:lineRule="auto"/>
      </w:pPr>
    </w:p>
    <w:p w14:paraId="0289EDE4">
      <w:pPr>
        <w:pStyle w:val="4"/>
        <w:spacing w:line="312" w:lineRule="auto"/>
      </w:pPr>
    </w:p>
    <w:p w14:paraId="57A3F1FA">
      <w:pPr>
        <w:pStyle w:val="4"/>
        <w:spacing w:before="69" w:line="234" w:lineRule="auto"/>
        <w:ind w:left="427"/>
        <w:rPr>
          <w:sz w:val="24"/>
          <w:szCs w:val="24"/>
        </w:rPr>
      </w:pPr>
      <w:r>
        <w:rPr>
          <w:color w:val="174174"/>
          <w:spacing w:val="-11"/>
          <w:sz w:val="24"/>
          <w:szCs w:val="24"/>
        </w:rPr>
        <w:t>Latin</w:t>
      </w:r>
      <w:r>
        <w:rPr>
          <w:color w:val="174174"/>
          <w:spacing w:val="-5"/>
          <w:sz w:val="24"/>
          <w:szCs w:val="24"/>
        </w:rPr>
        <w:t xml:space="preserve"> </w:t>
      </w:r>
      <w:r>
        <w:rPr>
          <w:color w:val="174174"/>
          <w:spacing w:val="-11"/>
          <w:sz w:val="24"/>
          <w:szCs w:val="24"/>
        </w:rPr>
        <w:t>America Downstream Industry Rewards Index</w:t>
      </w:r>
    </w:p>
    <w:p w14:paraId="149C3981">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118"/>
        <w:gridCol w:w="1118"/>
        <w:gridCol w:w="1118"/>
        <w:gridCol w:w="1118"/>
        <w:gridCol w:w="1118"/>
        <w:gridCol w:w="1118"/>
        <w:gridCol w:w="1260"/>
        <w:gridCol w:w="1118"/>
        <w:gridCol w:w="1118"/>
      </w:tblGrid>
      <w:tr w14:paraId="6BB0404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844" w:hRule="atLeast"/>
        </w:trPr>
        <w:tc>
          <w:tcPr>
            <w:tcW w:w="1118" w:type="dxa"/>
            <w:tcBorders>
              <w:left w:val="nil"/>
              <w:right w:val="single" w:color="D7DADB" w:sz="4" w:space="0"/>
            </w:tcBorders>
            <w:vAlign w:val="top"/>
          </w:tcPr>
          <w:p w14:paraId="3E1F4147">
            <w:pPr>
              <w:pStyle w:val="8"/>
              <w:rPr>
                <w:sz w:val="21"/>
              </w:rPr>
            </w:pPr>
          </w:p>
        </w:tc>
        <w:tc>
          <w:tcPr>
            <w:tcW w:w="1118" w:type="dxa"/>
            <w:tcBorders>
              <w:left w:val="single" w:color="D7DADB" w:sz="4" w:space="0"/>
              <w:right w:val="nil"/>
            </w:tcBorders>
            <w:vAlign w:val="top"/>
          </w:tcPr>
          <w:p w14:paraId="6F35082D">
            <w:pPr>
              <w:pStyle w:val="8"/>
              <w:spacing w:before="70" w:line="241" w:lineRule="auto"/>
              <w:ind w:left="243"/>
            </w:pPr>
            <w:r>
              <w:rPr>
                <w:b/>
                <w:bCs/>
                <w:color w:val="5F6A72"/>
                <w:spacing w:val="-9"/>
              </w:rPr>
              <w:t>Refining</w:t>
            </w:r>
          </w:p>
          <w:p w14:paraId="6B653D02">
            <w:pPr>
              <w:pStyle w:val="8"/>
              <w:spacing w:before="84" w:line="184" w:lineRule="auto"/>
              <w:ind w:left="221"/>
            </w:pPr>
            <w:r>
              <w:rPr>
                <w:b/>
                <w:bCs/>
                <w:color w:val="5F6A72"/>
                <w:spacing w:val="-8"/>
              </w:rPr>
              <w:t>Capacity</w:t>
            </w:r>
          </w:p>
        </w:tc>
        <w:tc>
          <w:tcPr>
            <w:tcW w:w="1118" w:type="dxa"/>
            <w:tcBorders>
              <w:left w:val="nil"/>
              <w:right w:val="nil"/>
            </w:tcBorders>
            <w:vAlign w:val="top"/>
          </w:tcPr>
          <w:p w14:paraId="3099B746">
            <w:pPr>
              <w:pStyle w:val="8"/>
              <w:spacing w:before="70" w:line="243" w:lineRule="exact"/>
              <w:ind w:left="159"/>
            </w:pPr>
            <w:r>
              <w:rPr>
                <w:b/>
                <w:bCs/>
                <w:color w:val="5F6A72"/>
                <w:spacing w:val="-5"/>
                <w:position w:val="1"/>
              </w:rPr>
              <w:t>Utilisation</w:t>
            </w:r>
          </w:p>
          <w:p w14:paraId="5E20CFC8">
            <w:pPr>
              <w:pStyle w:val="8"/>
              <w:spacing w:before="50" w:line="183" w:lineRule="auto"/>
              <w:ind w:left="346"/>
            </w:pPr>
            <w:r>
              <w:rPr>
                <w:b/>
                <w:bCs/>
                <w:color w:val="5F6A72"/>
                <w:spacing w:val="-9"/>
              </w:rPr>
              <w:t>Rates</w:t>
            </w:r>
          </w:p>
        </w:tc>
        <w:tc>
          <w:tcPr>
            <w:tcW w:w="1118" w:type="dxa"/>
            <w:tcBorders>
              <w:left w:val="nil"/>
              <w:right w:val="nil"/>
            </w:tcBorders>
            <w:vAlign w:val="top"/>
          </w:tcPr>
          <w:p w14:paraId="1C796ED7">
            <w:pPr>
              <w:pStyle w:val="8"/>
              <w:spacing w:before="112" w:line="185" w:lineRule="auto"/>
              <w:ind w:left="192"/>
            </w:pPr>
            <w:r>
              <w:rPr>
                <w:b/>
                <w:bCs/>
                <w:color w:val="5F6A72"/>
                <w:spacing w:val="-8"/>
              </w:rPr>
              <w:t>Domestic</w:t>
            </w:r>
          </w:p>
          <w:p w14:paraId="45A07D30">
            <w:pPr>
              <w:pStyle w:val="8"/>
              <w:spacing w:before="48" w:line="243" w:lineRule="exact"/>
              <w:ind w:left="403"/>
            </w:pPr>
            <w:r>
              <w:rPr>
                <w:b/>
                <w:bCs/>
                <w:color w:val="5F6A72"/>
                <w:spacing w:val="-11"/>
                <w:position w:val="1"/>
              </w:rPr>
              <w:t>Fuel</w:t>
            </w:r>
          </w:p>
          <w:p w14:paraId="3A8795D2">
            <w:pPr>
              <w:pStyle w:val="8"/>
              <w:spacing w:before="50" w:line="183" w:lineRule="auto"/>
              <w:ind w:left="238"/>
            </w:pPr>
            <w:r>
              <w:rPr>
                <w:b/>
                <w:bCs/>
                <w:color w:val="5F6A72"/>
                <w:spacing w:val="-8"/>
              </w:rPr>
              <w:t>Demand</w:t>
            </w:r>
          </w:p>
        </w:tc>
        <w:tc>
          <w:tcPr>
            <w:tcW w:w="1118" w:type="dxa"/>
            <w:tcBorders>
              <w:left w:val="nil"/>
              <w:right w:val="nil"/>
            </w:tcBorders>
            <w:vAlign w:val="top"/>
          </w:tcPr>
          <w:p w14:paraId="00D50953">
            <w:pPr>
              <w:pStyle w:val="8"/>
              <w:spacing w:before="70" w:line="243" w:lineRule="exact"/>
              <w:ind w:left="403"/>
            </w:pPr>
            <w:r>
              <w:rPr>
                <w:b/>
                <w:bCs/>
                <w:color w:val="5F6A72"/>
                <w:spacing w:val="-11"/>
                <w:position w:val="1"/>
              </w:rPr>
              <w:t>Fuel</w:t>
            </w:r>
          </w:p>
          <w:p w14:paraId="2579F6AA">
            <w:pPr>
              <w:pStyle w:val="8"/>
              <w:spacing w:before="50" w:line="183" w:lineRule="auto"/>
              <w:ind w:left="238"/>
            </w:pPr>
            <w:r>
              <w:rPr>
                <w:b/>
                <w:bCs/>
                <w:color w:val="5F6A72"/>
                <w:spacing w:val="-8"/>
              </w:rPr>
              <w:t>Demand</w:t>
            </w:r>
          </w:p>
          <w:p w14:paraId="780EFD90">
            <w:pPr>
              <w:pStyle w:val="8"/>
              <w:spacing w:before="48" w:line="243" w:lineRule="exact"/>
              <w:ind w:left="278"/>
            </w:pPr>
            <w:r>
              <w:rPr>
                <w:b/>
                <w:bCs/>
                <w:color w:val="5F6A72"/>
                <w:spacing w:val="-10"/>
                <w:position w:val="1"/>
              </w:rPr>
              <w:t>Growth</w:t>
            </w:r>
          </w:p>
        </w:tc>
        <w:tc>
          <w:tcPr>
            <w:tcW w:w="1118" w:type="dxa"/>
            <w:tcBorders>
              <w:left w:val="nil"/>
              <w:right w:val="nil"/>
            </w:tcBorders>
            <w:vAlign w:val="top"/>
          </w:tcPr>
          <w:p w14:paraId="3C80B5FF">
            <w:pPr>
              <w:pStyle w:val="8"/>
              <w:spacing w:before="70" w:line="241" w:lineRule="auto"/>
              <w:ind w:left="228"/>
            </w:pPr>
            <w:r>
              <w:rPr>
                <w:b/>
                <w:bCs/>
                <w:color w:val="5F6A72"/>
                <w:spacing w:val="-10"/>
              </w:rPr>
              <w:t>Regional</w:t>
            </w:r>
          </w:p>
          <w:p w14:paraId="20487127">
            <w:pPr>
              <w:pStyle w:val="8"/>
              <w:spacing w:before="42" w:line="243" w:lineRule="exact"/>
              <w:ind w:left="403"/>
            </w:pPr>
            <w:r>
              <w:rPr>
                <w:b/>
                <w:bCs/>
                <w:color w:val="5F6A72"/>
                <w:spacing w:val="-11"/>
                <w:position w:val="1"/>
              </w:rPr>
              <w:t>Fuel</w:t>
            </w:r>
          </w:p>
          <w:p w14:paraId="57268D71">
            <w:pPr>
              <w:pStyle w:val="8"/>
              <w:spacing w:before="50" w:line="183" w:lineRule="auto"/>
              <w:ind w:left="238"/>
            </w:pPr>
            <w:r>
              <w:rPr>
                <w:b/>
                <w:bCs/>
                <w:color w:val="5F6A72"/>
                <w:spacing w:val="-8"/>
              </w:rPr>
              <w:t>Demand</w:t>
            </w:r>
          </w:p>
        </w:tc>
        <w:tc>
          <w:tcPr>
            <w:tcW w:w="1260" w:type="dxa"/>
            <w:tcBorders>
              <w:left w:val="nil"/>
              <w:right w:val="nil"/>
            </w:tcBorders>
            <w:vAlign w:val="top"/>
          </w:tcPr>
          <w:p w14:paraId="4BCE434B">
            <w:pPr>
              <w:pStyle w:val="8"/>
              <w:spacing w:before="112" w:line="184" w:lineRule="auto"/>
              <w:ind w:left="166"/>
            </w:pPr>
            <w:r>
              <w:rPr>
                <w:b/>
                <w:bCs/>
                <w:color w:val="5F6A72"/>
                <w:spacing w:val="-9"/>
              </w:rPr>
              <w:t>Life</w:t>
            </w:r>
            <w:r>
              <w:rPr>
                <w:b/>
                <w:bCs/>
                <w:color w:val="5F6A72"/>
                <w:spacing w:val="-7"/>
              </w:rPr>
              <w:t xml:space="preserve"> </w:t>
            </w:r>
            <w:r>
              <w:rPr>
                <w:b/>
                <w:bCs/>
                <w:color w:val="5F6A72"/>
                <w:spacing w:val="-9"/>
              </w:rPr>
              <w:t>Span Of</w:t>
            </w:r>
          </w:p>
          <w:p w14:paraId="3BD5CC71">
            <w:pPr>
              <w:pStyle w:val="8"/>
              <w:spacing w:before="49" w:line="243" w:lineRule="exact"/>
              <w:ind w:left="85"/>
            </w:pPr>
            <w:r>
              <w:rPr>
                <w:b/>
                <w:bCs/>
                <w:color w:val="5F6A72"/>
                <w:spacing w:val="-5"/>
                <w:position w:val="1"/>
              </w:rPr>
              <w:t>Infrastructure</w:t>
            </w:r>
          </w:p>
        </w:tc>
        <w:tc>
          <w:tcPr>
            <w:tcW w:w="1118" w:type="dxa"/>
            <w:tcBorders>
              <w:left w:val="nil"/>
              <w:right w:val="nil"/>
            </w:tcBorders>
            <w:vAlign w:val="top"/>
          </w:tcPr>
          <w:p w14:paraId="592A9D2C">
            <w:pPr>
              <w:pStyle w:val="8"/>
              <w:spacing w:before="70" w:line="243" w:lineRule="exact"/>
              <w:ind w:left="112"/>
            </w:pPr>
            <w:r>
              <w:rPr>
                <w:b/>
                <w:bCs/>
                <w:color w:val="5F6A72"/>
                <w:spacing w:val="-6"/>
                <w:position w:val="1"/>
              </w:rPr>
              <w:t>Theoretical</w:t>
            </w:r>
          </w:p>
          <w:p w14:paraId="5AA2A4FA">
            <w:pPr>
              <w:pStyle w:val="8"/>
              <w:spacing w:before="47" w:line="187" w:lineRule="auto"/>
              <w:ind w:left="175"/>
            </w:pPr>
            <w:r>
              <w:rPr>
                <w:b/>
                <w:bCs/>
                <w:color w:val="5F6A72"/>
                <w:spacing w:val="-8"/>
              </w:rPr>
              <w:t>Net Crude</w:t>
            </w:r>
          </w:p>
          <w:p w14:paraId="7837AB40">
            <w:pPr>
              <w:pStyle w:val="8"/>
              <w:spacing w:before="47" w:line="210" w:lineRule="exact"/>
              <w:ind w:left="264"/>
            </w:pPr>
            <w:r>
              <w:rPr>
                <w:b/>
                <w:bCs/>
                <w:color w:val="5F6A72"/>
                <w:spacing w:val="-9"/>
                <w:position w:val="2"/>
              </w:rPr>
              <w:t>Exports</w:t>
            </w:r>
          </w:p>
        </w:tc>
        <w:tc>
          <w:tcPr>
            <w:tcW w:w="1118" w:type="dxa"/>
            <w:tcBorders>
              <w:left w:val="nil"/>
              <w:right w:val="nil"/>
            </w:tcBorders>
            <w:shd w:val="clear" w:color="auto" w:fill="A1D7EF"/>
            <w:vAlign w:val="top"/>
          </w:tcPr>
          <w:p w14:paraId="71219D90">
            <w:pPr>
              <w:pStyle w:val="8"/>
              <w:spacing w:before="70" w:line="241" w:lineRule="auto"/>
              <w:ind w:left="235"/>
            </w:pPr>
            <w:r>
              <w:rPr>
                <w:b/>
                <w:bCs/>
                <w:color w:val="5F6A72"/>
                <w:spacing w:val="-6"/>
              </w:rPr>
              <w:t>Industry</w:t>
            </w:r>
          </w:p>
          <w:p w14:paraId="1E12D754">
            <w:pPr>
              <w:pStyle w:val="8"/>
              <w:spacing w:before="42" w:line="243" w:lineRule="exact"/>
              <w:ind w:left="235"/>
            </w:pPr>
            <w:r>
              <w:rPr>
                <w:b/>
                <w:bCs/>
                <w:color w:val="5F6A72"/>
                <w:spacing w:val="-11"/>
                <w:position w:val="1"/>
              </w:rPr>
              <w:t>Rewards</w:t>
            </w:r>
          </w:p>
        </w:tc>
      </w:tr>
      <w:tr w14:paraId="6FBFB33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vAlign w:val="top"/>
          </w:tcPr>
          <w:p w14:paraId="7087B85D">
            <w:pPr>
              <w:pStyle w:val="8"/>
              <w:spacing w:before="65" w:line="237" w:lineRule="exact"/>
              <w:ind w:left="18"/>
            </w:pPr>
            <w:r>
              <w:rPr>
                <w:color w:val="2A8ABF"/>
                <w:spacing w:val="-12"/>
                <w:position w:val="1"/>
              </w:rPr>
              <w:t>Brazil</w:t>
            </w:r>
          </w:p>
        </w:tc>
        <w:tc>
          <w:tcPr>
            <w:tcW w:w="1118" w:type="dxa"/>
            <w:tcBorders>
              <w:left w:val="single" w:color="D7DADB" w:sz="4" w:space="0"/>
              <w:right w:val="nil"/>
            </w:tcBorders>
            <w:vAlign w:val="top"/>
          </w:tcPr>
          <w:p w14:paraId="3799C491">
            <w:pPr>
              <w:pStyle w:val="8"/>
              <w:spacing w:before="65" w:line="239" w:lineRule="exact"/>
              <w:ind w:left="449"/>
            </w:pPr>
            <w:r>
              <w:rPr>
                <w:color w:val="5F6A72"/>
                <w:spacing w:val="-6"/>
                <w:position w:val="1"/>
              </w:rPr>
              <w:t>7.7</w:t>
            </w:r>
          </w:p>
        </w:tc>
        <w:tc>
          <w:tcPr>
            <w:tcW w:w="1118" w:type="dxa"/>
            <w:tcBorders>
              <w:left w:val="nil"/>
              <w:right w:val="nil"/>
            </w:tcBorders>
            <w:vAlign w:val="top"/>
          </w:tcPr>
          <w:p w14:paraId="04B52CA1">
            <w:pPr>
              <w:pStyle w:val="8"/>
              <w:spacing w:before="65" w:line="237" w:lineRule="exact"/>
              <w:ind w:left="405"/>
            </w:pPr>
            <w:r>
              <w:rPr>
                <w:color w:val="5F6A72"/>
                <w:spacing w:val="-6"/>
                <w:position w:val="1"/>
              </w:rPr>
              <w:t>26.4</w:t>
            </w:r>
          </w:p>
        </w:tc>
        <w:tc>
          <w:tcPr>
            <w:tcW w:w="1118" w:type="dxa"/>
            <w:tcBorders>
              <w:left w:val="nil"/>
              <w:right w:val="nil"/>
            </w:tcBorders>
            <w:vAlign w:val="top"/>
          </w:tcPr>
          <w:p w14:paraId="5BE6DDC6">
            <w:pPr>
              <w:pStyle w:val="8"/>
              <w:spacing w:before="65" w:line="239" w:lineRule="exact"/>
              <w:ind w:left="450"/>
            </w:pPr>
            <w:r>
              <w:rPr>
                <w:color w:val="5F6A72"/>
                <w:spacing w:val="-6"/>
                <w:position w:val="1"/>
              </w:rPr>
              <w:t>7.7</w:t>
            </w:r>
          </w:p>
        </w:tc>
        <w:tc>
          <w:tcPr>
            <w:tcW w:w="1118" w:type="dxa"/>
            <w:tcBorders>
              <w:left w:val="nil"/>
              <w:right w:val="nil"/>
            </w:tcBorders>
            <w:vAlign w:val="top"/>
          </w:tcPr>
          <w:p w14:paraId="698698AD">
            <w:pPr>
              <w:pStyle w:val="8"/>
              <w:spacing w:before="65" w:line="237" w:lineRule="exact"/>
              <w:ind w:left="407"/>
            </w:pPr>
            <w:r>
              <w:rPr>
                <w:color w:val="5F6A72"/>
                <w:spacing w:val="-7"/>
                <w:position w:val="1"/>
              </w:rPr>
              <w:t>66.5</w:t>
            </w:r>
          </w:p>
        </w:tc>
        <w:tc>
          <w:tcPr>
            <w:tcW w:w="1118" w:type="dxa"/>
            <w:tcBorders>
              <w:left w:val="nil"/>
              <w:right w:val="nil"/>
            </w:tcBorders>
            <w:vAlign w:val="top"/>
          </w:tcPr>
          <w:p w14:paraId="3E5CD098">
            <w:pPr>
              <w:pStyle w:val="8"/>
              <w:spacing w:before="65" w:line="237" w:lineRule="exact"/>
              <w:ind w:left="407"/>
            </w:pPr>
            <w:r>
              <w:rPr>
                <w:color w:val="5F6A72"/>
                <w:spacing w:val="-7"/>
                <w:position w:val="1"/>
              </w:rPr>
              <w:t>69.2</w:t>
            </w:r>
          </w:p>
        </w:tc>
        <w:tc>
          <w:tcPr>
            <w:tcW w:w="1260" w:type="dxa"/>
            <w:tcBorders>
              <w:left w:val="nil"/>
              <w:right w:val="nil"/>
            </w:tcBorders>
            <w:vAlign w:val="top"/>
          </w:tcPr>
          <w:p w14:paraId="08B1E355">
            <w:pPr>
              <w:pStyle w:val="8"/>
              <w:spacing w:before="65" w:line="237" w:lineRule="exact"/>
              <w:ind w:left="526"/>
            </w:pPr>
            <w:r>
              <w:rPr>
                <w:color w:val="5F6A72"/>
                <w:spacing w:val="-7"/>
                <w:position w:val="1"/>
              </w:rPr>
              <w:t>9.3</w:t>
            </w:r>
          </w:p>
        </w:tc>
        <w:tc>
          <w:tcPr>
            <w:tcW w:w="1118" w:type="dxa"/>
            <w:tcBorders>
              <w:left w:val="nil"/>
              <w:right w:val="nil"/>
            </w:tcBorders>
            <w:vAlign w:val="top"/>
          </w:tcPr>
          <w:p w14:paraId="391EF2E2">
            <w:pPr>
              <w:pStyle w:val="8"/>
              <w:spacing w:before="65" w:line="237" w:lineRule="exact"/>
              <w:ind w:left="455"/>
            </w:pPr>
            <w:r>
              <w:rPr>
                <w:color w:val="5F6A72"/>
                <w:spacing w:val="-7"/>
                <w:position w:val="1"/>
              </w:rPr>
              <w:t>8.8</w:t>
            </w:r>
          </w:p>
        </w:tc>
        <w:tc>
          <w:tcPr>
            <w:tcW w:w="1118" w:type="dxa"/>
            <w:tcBorders>
              <w:left w:val="nil"/>
              <w:right w:val="nil"/>
            </w:tcBorders>
            <w:shd w:val="clear" w:color="auto" w:fill="A1D7EF"/>
            <w:vAlign w:val="top"/>
          </w:tcPr>
          <w:p w14:paraId="11418493">
            <w:pPr>
              <w:pStyle w:val="8"/>
              <w:spacing w:before="65" w:line="237" w:lineRule="exact"/>
              <w:ind w:left="405"/>
            </w:pPr>
            <w:r>
              <w:rPr>
                <w:color w:val="5F6A72"/>
                <w:spacing w:val="-6"/>
                <w:position w:val="1"/>
              </w:rPr>
              <w:t>27.9</w:t>
            </w:r>
          </w:p>
        </w:tc>
      </w:tr>
      <w:tr w14:paraId="653F27B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shd w:val="clear" w:color="auto" w:fill="EAF9FF"/>
            <w:vAlign w:val="top"/>
          </w:tcPr>
          <w:p w14:paraId="4591B157">
            <w:pPr>
              <w:pStyle w:val="8"/>
              <w:spacing w:before="65" w:line="237" w:lineRule="exact"/>
              <w:ind w:left="18"/>
            </w:pPr>
            <w:r>
              <w:rPr>
                <w:color w:val="2A8ABF"/>
                <w:spacing w:val="-11"/>
                <w:position w:val="1"/>
              </w:rPr>
              <w:t>Mexico</w:t>
            </w:r>
          </w:p>
        </w:tc>
        <w:tc>
          <w:tcPr>
            <w:tcW w:w="1118" w:type="dxa"/>
            <w:tcBorders>
              <w:left w:val="single" w:color="D7DADB" w:sz="4" w:space="0"/>
              <w:right w:val="nil"/>
            </w:tcBorders>
            <w:shd w:val="clear" w:color="auto" w:fill="EAF9FF"/>
            <w:vAlign w:val="top"/>
          </w:tcPr>
          <w:p w14:paraId="10DC14CE">
            <w:pPr>
              <w:pStyle w:val="8"/>
              <w:spacing w:before="65" w:line="237" w:lineRule="exact"/>
              <w:ind w:left="454"/>
            </w:pPr>
            <w:r>
              <w:rPr>
                <w:color w:val="5F6A72"/>
                <w:spacing w:val="-7"/>
                <w:position w:val="1"/>
              </w:rPr>
              <w:t>9.9</w:t>
            </w:r>
          </w:p>
        </w:tc>
        <w:tc>
          <w:tcPr>
            <w:tcW w:w="1118" w:type="dxa"/>
            <w:tcBorders>
              <w:left w:val="nil"/>
              <w:right w:val="nil"/>
            </w:tcBorders>
            <w:shd w:val="clear" w:color="auto" w:fill="EAF9FF"/>
            <w:vAlign w:val="top"/>
          </w:tcPr>
          <w:p w14:paraId="39D31C71">
            <w:pPr>
              <w:pStyle w:val="8"/>
              <w:spacing w:before="65" w:line="239" w:lineRule="exact"/>
              <w:ind w:left="402"/>
            </w:pPr>
            <w:r>
              <w:rPr>
                <w:color w:val="5F6A72"/>
                <w:spacing w:val="-6"/>
                <w:position w:val="1"/>
              </w:rPr>
              <w:t>71.4</w:t>
            </w:r>
          </w:p>
        </w:tc>
        <w:tc>
          <w:tcPr>
            <w:tcW w:w="1118" w:type="dxa"/>
            <w:tcBorders>
              <w:left w:val="nil"/>
              <w:right w:val="nil"/>
            </w:tcBorders>
            <w:shd w:val="clear" w:color="auto" w:fill="EAF9FF"/>
            <w:vAlign w:val="top"/>
          </w:tcPr>
          <w:p w14:paraId="49E321EC">
            <w:pPr>
              <w:pStyle w:val="8"/>
              <w:spacing w:before="65" w:line="237" w:lineRule="exact"/>
              <w:ind w:left="409"/>
            </w:pPr>
            <w:r>
              <w:rPr>
                <w:color w:val="5F6A72"/>
                <w:spacing w:val="-7"/>
                <w:position w:val="1"/>
              </w:rPr>
              <w:t>13.2</w:t>
            </w:r>
          </w:p>
        </w:tc>
        <w:tc>
          <w:tcPr>
            <w:tcW w:w="1118" w:type="dxa"/>
            <w:tcBorders>
              <w:left w:val="nil"/>
              <w:right w:val="nil"/>
            </w:tcBorders>
            <w:shd w:val="clear" w:color="auto" w:fill="EAF9FF"/>
            <w:vAlign w:val="top"/>
          </w:tcPr>
          <w:p w14:paraId="60F4B088">
            <w:pPr>
              <w:pStyle w:val="8"/>
              <w:spacing w:before="65" w:line="237" w:lineRule="exact"/>
              <w:ind w:left="402"/>
            </w:pPr>
            <w:r>
              <w:rPr>
                <w:color w:val="5F6A72"/>
                <w:spacing w:val="-6"/>
                <w:position w:val="1"/>
              </w:rPr>
              <w:t>35.2</w:t>
            </w:r>
          </w:p>
        </w:tc>
        <w:tc>
          <w:tcPr>
            <w:tcW w:w="1118" w:type="dxa"/>
            <w:tcBorders>
              <w:left w:val="nil"/>
              <w:right w:val="nil"/>
            </w:tcBorders>
            <w:shd w:val="clear" w:color="auto" w:fill="EAF9FF"/>
            <w:vAlign w:val="top"/>
          </w:tcPr>
          <w:p w14:paraId="67B6BED4">
            <w:pPr>
              <w:pStyle w:val="8"/>
              <w:spacing w:before="65" w:line="237" w:lineRule="exact"/>
              <w:ind w:left="407"/>
            </w:pPr>
            <w:r>
              <w:rPr>
                <w:color w:val="5F6A72"/>
                <w:spacing w:val="-7"/>
                <w:position w:val="1"/>
              </w:rPr>
              <w:t>69.2</w:t>
            </w:r>
          </w:p>
        </w:tc>
        <w:tc>
          <w:tcPr>
            <w:tcW w:w="1260" w:type="dxa"/>
            <w:tcBorders>
              <w:left w:val="nil"/>
              <w:right w:val="nil"/>
            </w:tcBorders>
            <w:shd w:val="clear" w:color="auto" w:fill="EAF9FF"/>
            <w:vAlign w:val="top"/>
          </w:tcPr>
          <w:p w14:paraId="19E280EE">
            <w:pPr>
              <w:pStyle w:val="8"/>
              <w:spacing w:before="65" w:line="237" w:lineRule="exact"/>
              <w:ind w:left="473"/>
            </w:pPr>
            <w:r>
              <w:rPr>
                <w:color w:val="5F6A72"/>
                <w:spacing w:val="-6"/>
                <w:position w:val="1"/>
              </w:rPr>
              <w:t>30.2</w:t>
            </w:r>
          </w:p>
        </w:tc>
        <w:tc>
          <w:tcPr>
            <w:tcW w:w="1118" w:type="dxa"/>
            <w:tcBorders>
              <w:left w:val="nil"/>
              <w:right w:val="nil"/>
            </w:tcBorders>
            <w:shd w:val="clear" w:color="auto" w:fill="EAF9FF"/>
            <w:vAlign w:val="top"/>
          </w:tcPr>
          <w:p w14:paraId="29DB2296">
            <w:pPr>
              <w:pStyle w:val="8"/>
              <w:spacing w:before="65" w:line="237" w:lineRule="exact"/>
              <w:ind w:left="410"/>
            </w:pPr>
            <w:r>
              <w:rPr>
                <w:color w:val="5F6A72"/>
                <w:spacing w:val="-7"/>
                <w:position w:val="1"/>
              </w:rPr>
              <w:t>16.5</w:t>
            </w:r>
          </w:p>
        </w:tc>
        <w:tc>
          <w:tcPr>
            <w:tcW w:w="1118" w:type="dxa"/>
            <w:tcBorders>
              <w:left w:val="nil"/>
              <w:right w:val="nil"/>
            </w:tcBorders>
            <w:shd w:val="clear" w:color="auto" w:fill="A1D7EF"/>
            <w:vAlign w:val="top"/>
          </w:tcPr>
          <w:p w14:paraId="65E172B7">
            <w:pPr>
              <w:pStyle w:val="8"/>
              <w:spacing w:before="65" w:line="237" w:lineRule="exact"/>
              <w:ind w:left="402"/>
            </w:pPr>
            <w:r>
              <w:rPr>
                <w:color w:val="5F6A72"/>
                <w:spacing w:val="-6"/>
                <w:position w:val="1"/>
              </w:rPr>
              <w:t>35.1</w:t>
            </w:r>
          </w:p>
        </w:tc>
      </w:tr>
      <w:tr w14:paraId="4D05A3C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vAlign w:val="top"/>
          </w:tcPr>
          <w:p w14:paraId="4ECB44A7">
            <w:pPr>
              <w:pStyle w:val="8"/>
              <w:spacing w:before="65" w:line="234" w:lineRule="auto"/>
              <w:ind w:left="3"/>
            </w:pPr>
            <w:r>
              <w:rPr>
                <w:color w:val="2A8ABF"/>
                <w:spacing w:val="-4"/>
              </w:rPr>
              <w:t>Argentina</w:t>
            </w:r>
          </w:p>
        </w:tc>
        <w:tc>
          <w:tcPr>
            <w:tcW w:w="1118" w:type="dxa"/>
            <w:tcBorders>
              <w:left w:val="single" w:color="D7DADB" w:sz="4" w:space="0"/>
              <w:right w:val="nil"/>
            </w:tcBorders>
            <w:vAlign w:val="top"/>
          </w:tcPr>
          <w:p w14:paraId="4C92519F">
            <w:pPr>
              <w:pStyle w:val="8"/>
              <w:spacing w:before="65" w:line="238" w:lineRule="exact"/>
              <w:ind w:left="401"/>
            </w:pPr>
            <w:r>
              <w:rPr>
                <w:color w:val="5F6A72"/>
                <w:spacing w:val="-6"/>
                <w:position w:val="1"/>
              </w:rPr>
              <w:t>35.2</w:t>
            </w:r>
          </w:p>
        </w:tc>
        <w:tc>
          <w:tcPr>
            <w:tcW w:w="1118" w:type="dxa"/>
            <w:tcBorders>
              <w:left w:val="nil"/>
              <w:right w:val="nil"/>
            </w:tcBorders>
            <w:vAlign w:val="top"/>
          </w:tcPr>
          <w:p w14:paraId="087DFA3A">
            <w:pPr>
              <w:pStyle w:val="8"/>
              <w:spacing w:before="65" w:line="238" w:lineRule="exact"/>
              <w:ind w:left="450"/>
            </w:pPr>
            <w:r>
              <w:rPr>
                <w:color w:val="5F6A72"/>
                <w:spacing w:val="-6"/>
                <w:position w:val="1"/>
              </w:rPr>
              <w:t>3.3</w:t>
            </w:r>
          </w:p>
        </w:tc>
        <w:tc>
          <w:tcPr>
            <w:tcW w:w="1118" w:type="dxa"/>
            <w:tcBorders>
              <w:left w:val="nil"/>
              <w:right w:val="nil"/>
            </w:tcBorders>
            <w:vAlign w:val="top"/>
          </w:tcPr>
          <w:p w14:paraId="0DB7383C">
            <w:pPr>
              <w:pStyle w:val="8"/>
              <w:spacing w:before="65" w:line="238" w:lineRule="exact"/>
              <w:ind w:left="402"/>
            </w:pPr>
            <w:r>
              <w:rPr>
                <w:color w:val="5F6A72"/>
                <w:spacing w:val="-6"/>
                <w:position w:val="1"/>
              </w:rPr>
              <w:t>31.9</w:t>
            </w:r>
          </w:p>
        </w:tc>
        <w:tc>
          <w:tcPr>
            <w:tcW w:w="1118" w:type="dxa"/>
            <w:tcBorders>
              <w:left w:val="nil"/>
              <w:right w:val="nil"/>
            </w:tcBorders>
            <w:vAlign w:val="top"/>
          </w:tcPr>
          <w:p w14:paraId="5FBC9474">
            <w:pPr>
              <w:pStyle w:val="8"/>
              <w:spacing w:before="65" w:line="238" w:lineRule="exact"/>
              <w:ind w:left="407"/>
            </w:pPr>
            <w:r>
              <w:rPr>
                <w:color w:val="5F6A72"/>
                <w:spacing w:val="-7"/>
                <w:position w:val="1"/>
              </w:rPr>
              <w:t>58.2</w:t>
            </w:r>
          </w:p>
        </w:tc>
        <w:tc>
          <w:tcPr>
            <w:tcW w:w="1118" w:type="dxa"/>
            <w:tcBorders>
              <w:left w:val="nil"/>
              <w:right w:val="nil"/>
            </w:tcBorders>
            <w:vAlign w:val="top"/>
          </w:tcPr>
          <w:p w14:paraId="54E4E62F">
            <w:pPr>
              <w:pStyle w:val="8"/>
              <w:spacing w:before="65" w:line="238" w:lineRule="exact"/>
              <w:ind w:left="407"/>
            </w:pPr>
            <w:r>
              <w:rPr>
                <w:color w:val="5F6A72"/>
                <w:spacing w:val="-7"/>
                <w:position w:val="1"/>
              </w:rPr>
              <w:t>69.2</w:t>
            </w:r>
          </w:p>
        </w:tc>
        <w:tc>
          <w:tcPr>
            <w:tcW w:w="1260" w:type="dxa"/>
            <w:tcBorders>
              <w:left w:val="nil"/>
              <w:right w:val="nil"/>
            </w:tcBorders>
            <w:vAlign w:val="top"/>
          </w:tcPr>
          <w:p w14:paraId="06C18B1B">
            <w:pPr>
              <w:pStyle w:val="8"/>
              <w:spacing w:before="65" w:line="238" w:lineRule="exact"/>
              <w:ind w:left="473"/>
            </w:pPr>
            <w:r>
              <w:rPr>
                <w:color w:val="5F6A72"/>
                <w:spacing w:val="-6"/>
                <w:position w:val="1"/>
              </w:rPr>
              <w:t>38.5</w:t>
            </w:r>
          </w:p>
        </w:tc>
        <w:tc>
          <w:tcPr>
            <w:tcW w:w="1118" w:type="dxa"/>
            <w:tcBorders>
              <w:left w:val="nil"/>
              <w:right w:val="nil"/>
            </w:tcBorders>
            <w:vAlign w:val="top"/>
          </w:tcPr>
          <w:p w14:paraId="1A1F39F4">
            <w:pPr>
              <w:pStyle w:val="8"/>
              <w:spacing w:before="65" w:line="238" w:lineRule="exact"/>
              <w:ind w:left="405"/>
            </w:pPr>
            <w:r>
              <w:rPr>
                <w:color w:val="5F6A72"/>
                <w:spacing w:val="-6"/>
                <w:position w:val="1"/>
              </w:rPr>
              <w:t>25.3</w:t>
            </w:r>
          </w:p>
        </w:tc>
        <w:tc>
          <w:tcPr>
            <w:tcW w:w="1118" w:type="dxa"/>
            <w:tcBorders>
              <w:left w:val="nil"/>
              <w:right w:val="nil"/>
            </w:tcBorders>
            <w:shd w:val="clear" w:color="auto" w:fill="A1D7EF"/>
            <w:vAlign w:val="top"/>
          </w:tcPr>
          <w:p w14:paraId="54965FF7">
            <w:pPr>
              <w:pStyle w:val="8"/>
              <w:spacing w:before="65" w:line="238" w:lineRule="exact"/>
              <w:ind w:left="402"/>
            </w:pPr>
            <w:r>
              <w:rPr>
                <w:color w:val="5F6A72"/>
                <w:spacing w:val="-6"/>
                <w:position w:val="1"/>
              </w:rPr>
              <w:t>37.4</w:t>
            </w:r>
          </w:p>
        </w:tc>
      </w:tr>
      <w:tr w14:paraId="0B8B983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shd w:val="clear" w:color="auto" w:fill="EAF9FF"/>
            <w:vAlign w:val="top"/>
          </w:tcPr>
          <w:p w14:paraId="6DCE12A1">
            <w:pPr>
              <w:pStyle w:val="8"/>
              <w:spacing w:before="66" w:line="237" w:lineRule="exact"/>
              <w:ind w:left="12"/>
            </w:pPr>
            <w:r>
              <w:rPr>
                <w:color w:val="2A8ABF"/>
                <w:spacing w:val="-7"/>
                <w:position w:val="1"/>
              </w:rPr>
              <w:t>Colombia</w:t>
            </w:r>
          </w:p>
        </w:tc>
        <w:tc>
          <w:tcPr>
            <w:tcW w:w="1118" w:type="dxa"/>
            <w:tcBorders>
              <w:left w:val="single" w:color="D7DADB" w:sz="4" w:space="0"/>
              <w:right w:val="nil"/>
            </w:tcBorders>
            <w:shd w:val="clear" w:color="auto" w:fill="EAF9FF"/>
            <w:vAlign w:val="top"/>
          </w:tcPr>
          <w:p w14:paraId="38A0B70D">
            <w:pPr>
              <w:pStyle w:val="8"/>
              <w:spacing w:before="66" w:line="237" w:lineRule="exact"/>
              <w:ind w:left="401"/>
            </w:pPr>
            <w:r>
              <w:rPr>
                <w:color w:val="5F6A72"/>
                <w:spacing w:val="-6"/>
                <w:position w:val="1"/>
              </w:rPr>
              <w:t>41.8</w:t>
            </w:r>
          </w:p>
        </w:tc>
        <w:tc>
          <w:tcPr>
            <w:tcW w:w="1118" w:type="dxa"/>
            <w:tcBorders>
              <w:left w:val="nil"/>
              <w:right w:val="nil"/>
            </w:tcBorders>
            <w:shd w:val="clear" w:color="auto" w:fill="EAF9FF"/>
            <w:vAlign w:val="top"/>
          </w:tcPr>
          <w:p w14:paraId="36A07D7F">
            <w:pPr>
              <w:pStyle w:val="8"/>
              <w:spacing w:before="66" w:line="237" w:lineRule="exact"/>
              <w:ind w:left="405"/>
            </w:pPr>
            <w:r>
              <w:rPr>
                <w:color w:val="5F6A72"/>
                <w:spacing w:val="-6"/>
                <w:position w:val="1"/>
              </w:rPr>
              <w:t>22.0</w:t>
            </w:r>
          </w:p>
        </w:tc>
        <w:tc>
          <w:tcPr>
            <w:tcW w:w="1118" w:type="dxa"/>
            <w:tcBorders>
              <w:left w:val="nil"/>
              <w:right w:val="nil"/>
            </w:tcBorders>
            <w:shd w:val="clear" w:color="auto" w:fill="EAF9FF"/>
            <w:vAlign w:val="top"/>
          </w:tcPr>
          <w:p w14:paraId="00D4D38A">
            <w:pPr>
              <w:pStyle w:val="8"/>
              <w:spacing w:before="66" w:line="237" w:lineRule="exact"/>
              <w:ind w:left="402"/>
            </w:pPr>
            <w:r>
              <w:rPr>
                <w:color w:val="5F6A72"/>
                <w:spacing w:val="-6"/>
                <w:position w:val="1"/>
              </w:rPr>
              <w:t>41.8</w:t>
            </w:r>
          </w:p>
        </w:tc>
        <w:tc>
          <w:tcPr>
            <w:tcW w:w="1118" w:type="dxa"/>
            <w:tcBorders>
              <w:left w:val="nil"/>
              <w:right w:val="nil"/>
            </w:tcBorders>
            <w:shd w:val="clear" w:color="auto" w:fill="EAF9FF"/>
            <w:vAlign w:val="top"/>
          </w:tcPr>
          <w:p w14:paraId="2C0254D6">
            <w:pPr>
              <w:pStyle w:val="8"/>
              <w:spacing w:before="66" w:line="237" w:lineRule="exact"/>
              <w:ind w:left="402"/>
            </w:pPr>
            <w:r>
              <w:rPr>
                <w:color w:val="5F6A72"/>
                <w:spacing w:val="-6"/>
                <w:position w:val="1"/>
              </w:rPr>
              <w:t>38.5</w:t>
            </w:r>
          </w:p>
        </w:tc>
        <w:tc>
          <w:tcPr>
            <w:tcW w:w="1118" w:type="dxa"/>
            <w:tcBorders>
              <w:left w:val="nil"/>
              <w:right w:val="nil"/>
            </w:tcBorders>
            <w:shd w:val="clear" w:color="auto" w:fill="EAF9FF"/>
            <w:vAlign w:val="top"/>
          </w:tcPr>
          <w:p w14:paraId="56F35A88">
            <w:pPr>
              <w:pStyle w:val="8"/>
              <w:spacing w:before="66" w:line="237" w:lineRule="exact"/>
              <w:ind w:left="407"/>
            </w:pPr>
            <w:r>
              <w:rPr>
                <w:color w:val="5F6A72"/>
                <w:spacing w:val="-7"/>
                <w:position w:val="1"/>
              </w:rPr>
              <w:t>69.2</w:t>
            </w:r>
          </w:p>
        </w:tc>
        <w:tc>
          <w:tcPr>
            <w:tcW w:w="1260" w:type="dxa"/>
            <w:tcBorders>
              <w:left w:val="nil"/>
              <w:right w:val="nil"/>
            </w:tcBorders>
            <w:shd w:val="clear" w:color="auto" w:fill="EAF9FF"/>
            <w:vAlign w:val="top"/>
          </w:tcPr>
          <w:p w14:paraId="64FD64F9">
            <w:pPr>
              <w:pStyle w:val="8"/>
              <w:spacing w:before="66" w:line="237" w:lineRule="exact"/>
              <w:ind w:left="473"/>
            </w:pPr>
            <w:r>
              <w:rPr>
                <w:color w:val="5F6A72"/>
                <w:spacing w:val="-6"/>
                <w:position w:val="1"/>
              </w:rPr>
              <w:t>49.5</w:t>
            </w:r>
          </w:p>
        </w:tc>
        <w:tc>
          <w:tcPr>
            <w:tcW w:w="1118" w:type="dxa"/>
            <w:tcBorders>
              <w:left w:val="nil"/>
              <w:right w:val="nil"/>
            </w:tcBorders>
            <w:shd w:val="clear" w:color="auto" w:fill="EAF9FF"/>
            <w:vAlign w:val="top"/>
          </w:tcPr>
          <w:p w14:paraId="69E3708F">
            <w:pPr>
              <w:pStyle w:val="8"/>
              <w:spacing w:before="66" w:line="239" w:lineRule="exact"/>
              <w:ind w:left="405"/>
            </w:pPr>
            <w:r>
              <w:rPr>
                <w:color w:val="5F6A72"/>
                <w:spacing w:val="-6"/>
                <w:position w:val="1"/>
              </w:rPr>
              <w:t>24.2</w:t>
            </w:r>
          </w:p>
        </w:tc>
        <w:tc>
          <w:tcPr>
            <w:tcW w:w="1118" w:type="dxa"/>
            <w:tcBorders>
              <w:left w:val="nil"/>
              <w:right w:val="nil"/>
            </w:tcBorders>
            <w:shd w:val="clear" w:color="auto" w:fill="A1D7EF"/>
            <w:vAlign w:val="top"/>
          </w:tcPr>
          <w:p w14:paraId="4C9A0FBE">
            <w:pPr>
              <w:pStyle w:val="8"/>
              <w:spacing w:before="66" w:line="237" w:lineRule="exact"/>
              <w:ind w:left="403"/>
            </w:pPr>
            <w:r>
              <w:rPr>
                <w:color w:val="5F6A72"/>
                <w:spacing w:val="-6"/>
                <w:position w:val="1"/>
              </w:rPr>
              <w:t>41.0</w:t>
            </w:r>
          </w:p>
        </w:tc>
      </w:tr>
      <w:tr w14:paraId="6CB790A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118" w:type="dxa"/>
            <w:tcBorders>
              <w:left w:val="nil"/>
              <w:right w:val="single" w:color="D7DADB" w:sz="4" w:space="0"/>
            </w:tcBorders>
            <w:vAlign w:val="top"/>
          </w:tcPr>
          <w:p w14:paraId="10BE7AC4">
            <w:pPr>
              <w:pStyle w:val="8"/>
              <w:spacing w:before="108" w:line="183" w:lineRule="auto"/>
              <w:ind w:left="18"/>
            </w:pPr>
            <w:r>
              <w:rPr>
                <w:color w:val="2A8ABF"/>
                <w:spacing w:val="-13"/>
              </w:rPr>
              <w:t>Peru</w:t>
            </w:r>
          </w:p>
        </w:tc>
        <w:tc>
          <w:tcPr>
            <w:tcW w:w="1118" w:type="dxa"/>
            <w:tcBorders>
              <w:left w:val="single" w:color="D7DADB" w:sz="4" w:space="0"/>
              <w:right w:val="nil"/>
            </w:tcBorders>
            <w:vAlign w:val="top"/>
          </w:tcPr>
          <w:p w14:paraId="753EAEF3">
            <w:pPr>
              <w:pStyle w:val="8"/>
              <w:spacing w:before="66" w:line="237" w:lineRule="exact"/>
              <w:ind w:left="405"/>
            </w:pPr>
            <w:r>
              <w:rPr>
                <w:color w:val="5F6A72"/>
                <w:spacing w:val="-7"/>
                <w:position w:val="1"/>
              </w:rPr>
              <w:t>50.5</w:t>
            </w:r>
          </w:p>
        </w:tc>
        <w:tc>
          <w:tcPr>
            <w:tcW w:w="1118" w:type="dxa"/>
            <w:tcBorders>
              <w:left w:val="nil"/>
              <w:right w:val="nil"/>
            </w:tcBorders>
            <w:vAlign w:val="top"/>
          </w:tcPr>
          <w:p w14:paraId="04C2C2D3">
            <w:pPr>
              <w:pStyle w:val="8"/>
              <w:spacing w:before="66" w:line="237" w:lineRule="exact"/>
              <w:ind w:left="402"/>
            </w:pPr>
            <w:r>
              <w:rPr>
                <w:color w:val="5F6A72"/>
                <w:spacing w:val="-6"/>
                <w:position w:val="1"/>
              </w:rPr>
              <w:t>49.5</w:t>
            </w:r>
          </w:p>
        </w:tc>
        <w:tc>
          <w:tcPr>
            <w:tcW w:w="1118" w:type="dxa"/>
            <w:tcBorders>
              <w:left w:val="nil"/>
              <w:right w:val="nil"/>
            </w:tcBorders>
            <w:vAlign w:val="top"/>
          </w:tcPr>
          <w:p w14:paraId="34A62474">
            <w:pPr>
              <w:pStyle w:val="8"/>
              <w:spacing w:before="66" w:line="237" w:lineRule="exact"/>
              <w:ind w:left="402"/>
            </w:pPr>
            <w:r>
              <w:rPr>
                <w:color w:val="5F6A72"/>
                <w:spacing w:val="-6"/>
                <w:position w:val="1"/>
              </w:rPr>
              <w:t>45.1</w:t>
            </w:r>
          </w:p>
        </w:tc>
        <w:tc>
          <w:tcPr>
            <w:tcW w:w="1118" w:type="dxa"/>
            <w:tcBorders>
              <w:left w:val="nil"/>
              <w:right w:val="nil"/>
            </w:tcBorders>
            <w:vAlign w:val="top"/>
          </w:tcPr>
          <w:p w14:paraId="0E72EFDE">
            <w:pPr>
              <w:pStyle w:val="8"/>
              <w:spacing w:before="66" w:line="237" w:lineRule="exact"/>
              <w:ind w:left="405"/>
            </w:pPr>
            <w:r>
              <w:rPr>
                <w:color w:val="5F6A72"/>
                <w:spacing w:val="-6"/>
                <w:position w:val="1"/>
              </w:rPr>
              <w:t>26.9</w:t>
            </w:r>
          </w:p>
        </w:tc>
        <w:tc>
          <w:tcPr>
            <w:tcW w:w="1118" w:type="dxa"/>
            <w:tcBorders>
              <w:left w:val="nil"/>
              <w:right w:val="nil"/>
            </w:tcBorders>
            <w:vAlign w:val="top"/>
          </w:tcPr>
          <w:p w14:paraId="277BCCA2">
            <w:pPr>
              <w:pStyle w:val="8"/>
              <w:spacing w:before="66" w:line="237" w:lineRule="exact"/>
              <w:ind w:left="407"/>
            </w:pPr>
            <w:r>
              <w:rPr>
                <w:color w:val="5F6A72"/>
                <w:spacing w:val="-7"/>
                <w:position w:val="1"/>
              </w:rPr>
              <w:t>69.2</w:t>
            </w:r>
          </w:p>
        </w:tc>
        <w:tc>
          <w:tcPr>
            <w:tcW w:w="1260" w:type="dxa"/>
            <w:tcBorders>
              <w:left w:val="nil"/>
              <w:right w:val="nil"/>
            </w:tcBorders>
            <w:vAlign w:val="top"/>
          </w:tcPr>
          <w:p w14:paraId="548B7430">
            <w:pPr>
              <w:pStyle w:val="8"/>
              <w:spacing w:before="66" w:line="237" w:lineRule="exact"/>
              <w:ind w:left="473"/>
            </w:pPr>
            <w:r>
              <w:rPr>
                <w:color w:val="5F6A72"/>
                <w:spacing w:val="-6"/>
                <w:position w:val="1"/>
              </w:rPr>
              <w:t>79.1</w:t>
            </w:r>
          </w:p>
        </w:tc>
        <w:tc>
          <w:tcPr>
            <w:tcW w:w="1118" w:type="dxa"/>
            <w:tcBorders>
              <w:left w:val="nil"/>
              <w:right w:val="nil"/>
            </w:tcBorders>
            <w:vAlign w:val="top"/>
          </w:tcPr>
          <w:p w14:paraId="1696FB91">
            <w:pPr>
              <w:pStyle w:val="8"/>
              <w:spacing w:before="66" w:line="237" w:lineRule="exact"/>
              <w:ind w:left="408"/>
            </w:pPr>
            <w:r>
              <w:rPr>
                <w:color w:val="5F6A72"/>
                <w:spacing w:val="-7"/>
                <w:position w:val="1"/>
              </w:rPr>
              <w:t>63.7</w:t>
            </w:r>
          </w:p>
        </w:tc>
        <w:tc>
          <w:tcPr>
            <w:tcW w:w="1118" w:type="dxa"/>
            <w:tcBorders>
              <w:left w:val="nil"/>
              <w:right w:val="nil"/>
            </w:tcBorders>
            <w:shd w:val="clear" w:color="auto" w:fill="A1D7EF"/>
            <w:vAlign w:val="top"/>
          </w:tcPr>
          <w:p w14:paraId="37F3FD1A">
            <w:pPr>
              <w:pStyle w:val="8"/>
              <w:spacing w:before="66" w:line="237" w:lineRule="exact"/>
              <w:ind w:left="407"/>
            </w:pPr>
            <w:r>
              <w:rPr>
                <w:color w:val="5F6A72"/>
                <w:spacing w:val="-7"/>
                <w:position w:val="1"/>
              </w:rPr>
              <w:t>54.9</w:t>
            </w:r>
          </w:p>
        </w:tc>
      </w:tr>
      <w:tr w14:paraId="45C9B38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shd w:val="clear" w:color="auto" w:fill="EAF9FF"/>
            <w:vAlign w:val="top"/>
          </w:tcPr>
          <w:p w14:paraId="34A952C0">
            <w:pPr>
              <w:pStyle w:val="8"/>
              <w:spacing w:before="66" w:line="237" w:lineRule="exact"/>
              <w:ind w:left="12"/>
            </w:pPr>
            <w:r>
              <w:rPr>
                <w:color w:val="2A8ABF"/>
                <w:spacing w:val="-9"/>
                <w:position w:val="1"/>
              </w:rPr>
              <w:t>Chile</w:t>
            </w:r>
          </w:p>
        </w:tc>
        <w:tc>
          <w:tcPr>
            <w:tcW w:w="1118" w:type="dxa"/>
            <w:tcBorders>
              <w:left w:val="single" w:color="D7DADB" w:sz="4" w:space="0"/>
              <w:right w:val="nil"/>
            </w:tcBorders>
            <w:shd w:val="clear" w:color="auto" w:fill="EAF9FF"/>
            <w:vAlign w:val="top"/>
          </w:tcPr>
          <w:p w14:paraId="6E513CF8">
            <w:pPr>
              <w:pStyle w:val="8"/>
              <w:spacing w:before="66" w:line="237" w:lineRule="exact"/>
              <w:ind w:left="405"/>
            </w:pPr>
            <w:r>
              <w:rPr>
                <w:color w:val="5F6A72"/>
                <w:spacing w:val="-7"/>
                <w:position w:val="1"/>
              </w:rPr>
              <w:t>57.1</w:t>
            </w:r>
          </w:p>
        </w:tc>
        <w:tc>
          <w:tcPr>
            <w:tcW w:w="1118" w:type="dxa"/>
            <w:tcBorders>
              <w:left w:val="nil"/>
              <w:right w:val="nil"/>
            </w:tcBorders>
            <w:shd w:val="clear" w:color="auto" w:fill="EAF9FF"/>
            <w:vAlign w:val="top"/>
          </w:tcPr>
          <w:p w14:paraId="0A414931">
            <w:pPr>
              <w:pStyle w:val="8"/>
              <w:spacing w:before="66" w:line="237" w:lineRule="exact"/>
              <w:ind w:left="407"/>
            </w:pPr>
            <w:r>
              <w:rPr>
                <w:color w:val="5F6A72"/>
                <w:spacing w:val="-7"/>
                <w:position w:val="1"/>
              </w:rPr>
              <w:t>61.5</w:t>
            </w:r>
          </w:p>
        </w:tc>
        <w:tc>
          <w:tcPr>
            <w:tcW w:w="1118" w:type="dxa"/>
            <w:tcBorders>
              <w:left w:val="nil"/>
              <w:right w:val="nil"/>
            </w:tcBorders>
            <w:shd w:val="clear" w:color="auto" w:fill="EAF9FF"/>
            <w:vAlign w:val="top"/>
          </w:tcPr>
          <w:p w14:paraId="4AE7B7F4">
            <w:pPr>
              <w:pStyle w:val="8"/>
              <w:spacing w:before="66" w:line="237" w:lineRule="exact"/>
              <w:ind w:left="402"/>
            </w:pPr>
            <w:r>
              <w:rPr>
                <w:color w:val="5F6A72"/>
                <w:spacing w:val="-6"/>
                <w:position w:val="1"/>
              </w:rPr>
              <w:t>40.7</w:t>
            </w:r>
          </w:p>
        </w:tc>
        <w:tc>
          <w:tcPr>
            <w:tcW w:w="1118" w:type="dxa"/>
            <w:tcBorders>
              <w:left w:val="nil"/>
              <w:right w:val="nil"/>
            </w:tcBorders>
            <w:shd w:val="clear" w:color="auto" w:fill="EAF9FF"/>
            <w:vAlign w:val="top"/>
          </w:tcPr>
          <w:p w14:paraId="6D1CE419">
            <w:pPr>
              <w:pStyle w:val="8"/>
              <w:spacing w:before="66" w:line="237" w:lineRule="exact"/>
              <w:ind w:left="406"/>
            </w:pPr>
            <w:r>
              <w:rPr>
                <w:color w:val="5F6A72"/>
                <w:spacing w:val="-7"/>
                <w:position w:val="1"/>
              </w:rPr>
              <w:t>82.4</w:t>
            </w:r>
          </w:p>
        </w:tc>
        <w:tc>
          <w:tcPr>
            <w:tcW w:w="1118" w:type="dxa"/>
            <w:tcBorders>
              <w:left w:val="nil"/>
              <w:right w:val="nil"/>
            </w:tcBorders>
            <w:shd w:val="clear" w:color="auto" w:fill="EAF9FF"/>
            <w:vAlign w:val="top"/>
          </w:tcPr>
          <w:p w14:paraId="3159D670">
            <w:pPr>
              <w:pStyle w:val="8"/>
              <w:spacing w:before="66" w:line="237" w:lineRule="exact"/>
              <w:ind w:left="407"/>
            </w:pPr>
            <w:r>
              <w:rPr>
                <w:color w:val="5F6A72"/>
                <w:spacing w:val="-7"/>
                <w:position w:val="1"/>
              </w:rPr>
              <w:t>69.2</w:t>
            </w:r>
          </w:p>
        </w:tc>
        <w:tc>
          <w:tcPr>
            <w:tcW w:w="1260" w:type="dxa"/>
            <w:tcBorders>
              <w:left w:val="nil"/>
              <w:right w:val="nil"/>
            </w:tcBorders>
            <w:shd w:val="clear" w:color="auto" w:fill="EAF9FF"/>
            <w:vAlign w:val="top"/>
          </w:tcPr>
          <w:p w14:paraId="0166FC2B">
            <w:pPr>
              <w:pStyle w:val="8"/>
              <w:spacing w:before="66" w:line="237" w:lineRule="exact"/>
              <w:ind w:left="473"/>
            </w:pPr>
            <w:r>
              <w:rPr>
                <w:color w:val="5F6A72"/>
                <w:spacing w:val="-6"/>
                <w:position w:val="1"/>
              </w:rPr>
              <w:t>38.5</w:t>
            </w:r>
          </w:p>
        </w:tc>
        <w:tc>
          <w:tcPr>
            <w:tcW w:w="1118" w:type="dxa"/>
            <w:tcBorders>
              <w:left w:val="nil"/>
              <w:right w:val="nil"/>
            </w:tcBorders>
            <w:shd w:val="clear" w:color="auto" w:fill="EAF9FF"/>
            <w:vAlign w:val="top"/>
          </w:tcPr>
          <w:p w14:paraId="7FDF8E56">
            <w:pPr>
              <w:pStyle w:val="8"/>
              <w:spacing w:before="66" w:line="237" w:lineRule="exact"/>
              <w:ind w:left="402"/>
            </w:pPr>
            <w:r>
              <w:rPr>
                <w:color w:val="5F6A72"/>
                <w:spacing w:val="-6"/>
                <w:position w:val="1"/>
              </w:rPr>
              <w:t>72.5</w:t>
            </w:r>
          </w:p>
        </w:tc>
        <w:tc>
          <w:tcPr>
            <w:tcW w:w="1118" w:type="dxa"/>
            <w:tcBorders>
              <w:left w:val="nil"/>
              <w:right w:val="nil"/>
            </w:tcBorders>
            <w:shd w:val="clear" w:color="auto" w:fill="A1D7EF"/>
            <w:vAlign w:val="top"/>
          </w:tcPr>
          <w:p w14:paraId="292CEF4E">
            <w:pPr>
              <w:pStyle w:val="8"/>
              <w:spacing w:before="66" w:line="237" w:lineRule="exact"/>
              <w:ind w:left="408"/>
            </w:pPr>
            <w:r>
              <w:rPr>
                <w:color w:val="5F6A72"/>
                <w:spacing w:val="-7"/>
                <w:position w:val="1"/>
              </w:rPr>
              <w:t>60.3</w:t>
            </w:r>
          </w:p>
        </w:tc>
      </w:tr>
      <w:tr w14:paraId="5066CB5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vAlign w:val="top"/>
          </w:tcPr>
          <w:p w14:paraId="1C2D16D5">
            <w:pPr>
              <w:pStyle w:val="8"/>
              <w:spacing w:before="66" w:line="237" w:lineRule="exact"/>
              <w:ind w:left="18"/>
            </w:pPr>
            <w:r>
              <w:rPr>
                <w:color w:val="2A8ABF"/>
                <w:spacing w:val="-12"/>
                <w:position w:val="1"/>
              </w:rPr>
              <w:t>Ecuador</w:t>
            </w:r>
          </w:p>
        </w:tc>
        <w:tc>
          <w:tcPr>
            <w:tcW w:w="1118" w:type="dxa"/>
            <w:tcBorders>
              <w:left w:val="single" w:color="D7DADB" w:sz="4" w:space="0"/>
              <w:right w:val="nil"/>
            </w:tcBorders>
            <w:vAlign w:val="top"/>
          </w:tcPr>
          <w:p w14:paraId="41DE8E6C">
            <w:pPr>
              <w:pStyle w:val="8"/>
              <w:spacing w:before="66" w:line="237" w:lineRule="exact"/>
              <w:ind w:left="406"/>
            </w:pPr>
            <w:r>
              <w:rPr>
                <w:color w:val="5F6A72"/>
                <w:spacing w:val="-7"/>
                <w:position w:val="1"/>
              </w:rPr>
              <w:t>62.6</w:t>
            </w:r>
          </w:p>
        </w:tc>
        <w:tc>
          <w:tcPr>
            <w:tcW w:w="1118" w:type="dxa"/>
            <w:tcBorders>
              <w:left w:val="nil"/>
              <w:right w:val="nil"/>
            </w:tcBorders>
            <w:vAlign w:val="top"/>
          </w:tcPr>
          <w:p w14:paraId="68E7EC56">
            <w:pPr>
              <w:pStyle w:val="8"/>
              <w:spacing w:before="66" w:line="237" w:lineRule="exact"/>
              <w:ind w:left="406"/>
            </w:pPr>
            <w:r>
              <w:rPr>
                <w:color w:val="5F6A72"/>
                <w:spacing w:val="-7"/>
                <w:position w:val="1"/>
              </w:rPr>
              <w:t>56.0</w:t>
            </w:r>
          </w:p>
        </w:tc>
        <w:tc>
          <w:tcPr>
            <w:tcW w:w="1118" w:type="dxa"/>
            <w:tcBorders>
              <w:left w:val="nil"/>
              <w:right w:val="nil"/>
            </w:tcBorders>
            <w:vAlign w:val="top"/>
          </w:tcPr>
          <w:p w14:paraId="15B52ED7">
            <w:pPr>
              <w:pStyle w:val="8"/>
              <w:spacing w:before="66" w:line="237" w:lineRule="exact"/>
              <w:ind w:left="402"/>
            </w:pPr>
            <w:r>
              <w:rPr>
                <w:color w:val="5F6A72"/>
                <w:spacing w:val="-6"/>
                <w:position w:val="1"/>
              </w:rPr>
              <w:t>47.3</w:t>
            </w:r>
          </w:p>
        </w:tc>
        <w:tc>
          <w:tcPr>
            <w:tcW w:w="1118" w:type="dxa"/>
            <w:tcBorders>
              <w:left w:val="nil"/>
              <w:right w:val="nil"/>
            </w:tcBorders>
            <w:vAlign w:val="top"/>
          </w:tcPr>
          <w:p w14:paraId="618CE14B">
            <w:pPr>
              <w:pStyle w:val="8"/>
              <w:spacing w:before="66" w:line="237" w:lineRule="exact"/>
              <w:ind w:left="402"/>
            </w:pPr>
            <w:r>
              <w:rPr>
                <w:color w:val="5F6A72"/>
                <w:spacing w:val="-6"/>
                <w:position w:val="1"/>
              </w:rPr>
              <w:t>31.9</w:t>
            </w:r>
          </w:p>
        </w:tc>
        <w:tc>
          <w:tcPr>
            <w:tcW w:w="1118" w:type="dxa"/>
            <w:tcBorders>
              <w:left w:val="nil"/>
              <w:right w:val="nil"/>
            </w:tcBorders>
            <w:vAlign w:val="top"/>
          </w:tcPr>
          <w:p w14:paraId="4418D785">
            <w:pPr>
              <w:pStyle w:val="8"/>
              <w:spacing w:before="66" w:line="237" w:lineRule="exact"/>
              <w:ind w:left="407"/>
            </w:pPr>
            <w:r>
              <w:rPr>
                <w:color w:val="5F6A72"/>
                <w:spacing w:val="-7"/>
                <w:position w:val="1"/>
              </w:rPr>
              <w:t>69.2</w:t>
            </w:r>
          </w:p>
        </w:tc>
        <w:tc>
          <w:tcPr>
            <w:tcW w:w="1260" w:type="dxa"/>
            <w:tcBorders>
              <w:left w:val="nil"/>
              <w:right w:val="nil"/>
            </w:tcBorders>
            <w:vAlign w:val="top"/>
          </w:tcPr>
          <w:p w14:paraId="4A9979B6">
            <w:pPr>
              <w:pStyle w:val="8"/>
              <w:spacing w:before="66" w:line="237" w:lineRule="exact"/>
              <w:ind w:left="473"/>
            </w:pPr>
            <w:r>
              <w:rPr>
                <w:color w:val="5F6A72"/>
                <w:spacing w:val="-6"/>
                <w:position w:val="1"/>
              </w:rPr>
              <w:t>73.1</w:t>
            </w:r>
          </w:p>
        </w:tc>
        <w:tc>
          <w:tcPr>
            <w:tcW w:w="1118" w:type="dxa"/>
            <w:tcBorders>
              <w:left w:val="nil"/>
              <w:right w:val="nil"/>
            </w:tcBorders>
            <w:vAlign w:val="top"/>
          </w:tcPr>
          <w:p w14:paraId="16860FE5">
            <w:pPr>
              <w:pStyle w:val="8"/>
              <w:spacing w:before="66" w:line="237" w:lineRule="exact"/>
              <w:ind w:left="405"/>
            </w:pPr>
            <w:r>
              <w:rPr>
                <w:color w:val="5F6A72"/>
                <w:spacing w:val="-6"/>
                <w:position w:val="1"/>
              </w:rPr>
              <w:t>23.1</w:t>
            </w:r>
          </w:p>
        </w:tc>
        <w:tc>
          <w:tcPr>
            <w:tcW w:w="1118" w:type="dxa"/>
            <w:tcBorders>
              <w:left w:val="nil"/>
              <w:right w:val="nil"/>
            </w:tcBorders>
            <w:shd w:val="clear" w:color="auto" w:fill="A1D7EF"/>
            <w:vAlign w:val="top"/>
          </w:tcPr>
          <w:p w14:paraId="4A1C372E">
            <w:pPr>
              <w:pStyle w:val="8"/>
              <w:spacing w:before="66" w:line="237" w:lineRule="exact"/>
              <w:ind w:left="407"/>
            </w:pPr>
            <w:r>
              <w:rPr>
                <w:color w:val="5F6A72"/>
                <w:spacing w:val="-7"/>
                <w:position w:val="1"/>
              </w:rPr>
              <w:t>51.9</w:t>
            </w:r>
          </w:p>
        </w:tc>
      </w:tr>
      <w:tr w14:paraId="38130BB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shd w:val="clear" w:color="auto" w:fill="EAF9FF"/>
            <w:vAlign w:val="top"/>
          </w:tcPr>
          <w:p w14:paraId="04C09861">
            <w:pPr>
              <w:pStyle w:val="8"/>
              <w:spacing w:before="66" w:line="238" w:lineRule="exact"/>
              <w:ind w:left="3"/>
            </w:pPr>
            <w:r>
              <w:rPr>
                <w:color w:val="2A8ABF"/>
                <w:spacing w:val="-8"/>
                <w:position w:val="1"/>
              </w:rPr>
              <w:t>Venezuela</w:t>
            </w:r>
          </w:p>
        </w:tc>
        <w:tc>
          <w:tcPr>
            <w:tcW w:w="1118" w:type="dxa"/>
            <w:tcBorders>
              <w:left w:val="single" w:color="D7DADB" w:sz="4" w:space="0"/>
              <w:right w:val="nil"/>
            </w:tcBorders>
            <w:shd w:val="clear" w:color="auto" w:fill="EAF9FF"/>
            <w:vAlign w:val="top"/>
          </w:tcPr>
          <w:p w14:paraId="59D87AC2">
            <w:pPr>
              <w:pStyle w:val="8"/>
              <w:spacing w:before="66" w:line="238" w:lineRule="exact"/>
              <w:ind w:left="403"/>
            </w:pPr>
            <w:r>
              <w:rPr>
                <w:color w:val="5F6A72"/>
                <w:spacing w:val="-6"/>
                <w:position w:val="1"/>
              </w:rPr>
              <w:t>20.9</w:t>
            </w:r>
          </w:p>
        </w:tc>
        <w:tc>
          <w:tcPr>
            <w:tcW w:w="1118" w:type="dxa"/>
            <w:tcBorders>
              <w:left w:val="nil"/>
              <w:right w:val="nil"/>
            </w:tcBorders>
            <w:shd w:val="clear" w:color="auto" w:fill="EAF9FF"/>
            <w:vAlign w:val="top"/>
          </w:tcPr>
          <w:p w14:paraId="5341A038">
            <w:pPr>
              <w:pStyle w:val="8"/>
              <w:spacing w:before="66" w:line="238" w:lineRule="exact"/>
              <w:ind w:left="406"/>
            </w:pPr>
            <w:r>
              <w:rPr>
                <w:color w:val="5F6A72"/>
                <w:spacing w:val="-7"/>
                <w:position w:val="1"/>
              </w:rPr>
              <w:t>82.4</w:t>
            </w:r>
          </w:p>
        </w:tc>
        <w:tc>
          <w:tcPr>
            <w:tcW w:w="1118" w:type="dxa"/>
            <w:tcBorders>
              <w:left w:val="nil"/>
              <w:right w:val="nil"/>
            </w:tcBorders>
            <w:shd w:val="clear" w:color="auto" w:fill="EAF9FF"/>
            <w:vAlign w:val="top"/>
          </w:tcPr>
          <w:p w14:paraId="23E8E954">
            <w:pPr>
              <w:pStyle w:val="8"/>
              <w:spacing w:before="66" w:line="238" w:lineRule="exact"/>
              <w:ind w:left="402"/>
            </w:pPr>
            <w:r>
              <w:rPr>
                <w:color w:val="5F6A72"/>
                <w:spacing w:val="-6"/>
                <w:position w:val="1"/>
              </w:rPr>
              <w:t>49.5</w:t>
            </w:r>
          </w:p>
        </w:tc>
        <w:tc>
          <w:tcPr>
            <w:tcW w:w="1118" w:type="dxa"/>
            <w:tcBorders>
              <w:left w:val="nil"/>
              <w:right w:val="nil"/>
            </w:tcBorders>
            <w:shd w:val="clear" w:color="auto" w:fill="EAF9FF"/>
            <w:vAlign w:val="top"/>
          </w:tcPr>
          <w:p w14:paraId="2B4D63E2">
            <w:pPr>
              <w:pStyle w:val="8"/>
              <w:spacing w:before="66" w:line="238" w:lineRule="exact"/>
              <w:ind w:left="407"/>
            </w:pPr>
            <w:r>
              <w:rPr>
                <w:color w:val="5F6A72"/>
                <w:spacing w:val="-7"/>
                <w:position w:val="1"/>
              </w:rPr>
              <w:t>51.6</w:t>
            </w:r>
          </w:p>
        </w:tc>
        <w:tc>
          <w:tcPr>
            <w:tcW w:w="1118" w:type="dxa"/>
            <w:tcBorders>
              <w:left w:val="nil"/>
              <w:right w:val="nil"/>
            </w:tcBorders>
            <w:shd w:val="clear" w:color="auto" w:fill="EAF9FF"/>
            <w:vAlign w:val="top"/>
          </w:tcPr>
          <w:p w14:paraId="2597BD42">
            <w:pPr>
              <w:pStyle w:val="8"/>
              <w:spacing w:before="66" w:line="238" w:lineRule="exact"/>
              <w:ind w:left="407"/>
            </w:pPr>
            <w:r>
              <w:rPr>
                <w:color w:val="5F6A72"/>
                <w:spacing w:val="-7"/>
                <w:position w:val="1"/>
              </w:rPr>
              <w:t>69.2</w:t>
            </w:r>
          </w:p>
        </w:tc>
        <w:tc>
          <w:tcPr>
            <w:tcW w:w="1260" w:type="dxa"/>
            <w:tcBorders>
              <w:left w:val="nil"/>
              <w:right w:val="nil"/>
            </w:tcBorders>
            <w:shd w:val="clear" w:color="auto" w:fill="EAF9FF"/>
            <w:vAlign w:val="top"/>
          </w:tcPr>
          <w:p w14:paraId="40B7918A">
            <w:pPr>
              <w:pStyle w:val="8"/>
              <w:spacing w:before="66" w:line="238" w:lineRule="exact"/>
              <w:ind w:left="478"/>
            </w:pPr>
            <w:r>
              <w:rPr>
                <w:color w:val="5F6A72"/>
                <w:spacing w:val="-7"/>
                <w:position w:val="1"/>
              </w:rPr>
              <w:t>98.4</w:t>
            </w:r>
          </w:p>
        </w:tc>
        <w:tc>
          <w:tcPr>
            <w:tcW w:w="1118" w:type="dxa"/>
            <w:tcBorders>
              <w:left w:val="nil"/>
              <w:right w:val="nil"/>
            </w:tcBorders>
            <w:shd w:val="clear" w:color="auto" w:fill="EAF9FF"/>
            <w:vAlign w:val="top"/>
          </w:tcPr>
          <w:p w14:paraId="6C55D934">
            <w:pPr>
              <w:pStyle w:val="8"/>
              <w:spacing w:before="66" w:line="238" w:lineRule="exact"/>
              <w:ind w:left="410"/>
            </w:pPr>
            <w:r>
              <w:rPr>
                <w:color w:val="5F6A72"/>
                <w:spacing w:val="-7"/>
                <w:position w:val="1"/>
              </w:rPr>
              <w:t>19.8</w:t>
            </w:r>
          </w:p>
        </w:tc>
        <w:tc>
          <w:tcPr>
            <w:tcW w:w="1118" w:type="dxa"/>
            <w:tcBorders>
              <w:left w:val="nil"/>
              <w:right w:val="nil"/>
            </w:tcBorders>
            <w:shd w:val="clear" w:color="auto" w:fill="A1D7EF"/>
            <w:vAlign w:val="top"/>
          </w:tcPr>
          <w:p w14:paraId="140D9F3B">
            <w:pPr>
              <w:pStyle w:val="8"/>
              <w:spacing w:before="66" w:line="238" w:lineRule="exact"/>
              <w:ind w:left="407"/>
            </w:pPr>
            <w:r>
              <w:rPr>
                <w:color w:val="5F6A72"/>
                <w:spacing w:val="-7"/>
                <w:position w:val="1"/>
              </w:rPr>
              <w:t>56.0</w:t>
            </w:r>
          </w:p>
        </w:tc>
      </w:tr>
      <w:tr w14:paraId="16AA7F5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118" w:type="dxa"/>
            <w:tcBorders>
              <w:left w:val="nil"/>
              <w:right w:val="single" w:color="D7DADB" w:sz="4" w:space="0"/>
            </w:tcBorders>
            <w:vAlign w:val="top"/>
          </w:tcPr>
          <w:p w14:paraId="5A93D208">
            <w:pPr>
              <w:pStyle w:val="8"/>
              <w:spacing w:before="67" w:line="237" w:lineRule="exact"/>
              <w:ind w:left="18"/>
            </w:pPr>
            <w:r>
              <w:rPr>
                <w:color w:val="2A8ABF"/>
                <w:spacing w:val="-8"/>
                <w:position w:val="1"/>
              </w:rPr>
              <w:t>Bolivia</w:t>
            </w:r>
          </w:p>
        </w:tc>
        <w:tc>
          <w:tcPr>
            <w:tcW w:w="1118" w:type="dxa"/>
            <w:tcBorders>
              <w:left w:val="single" w:color="D7DADB" w:sz="4" w:space="0"/>
              <w:right w:val="nil"/>
            </w:tcBorders>
            <w:vAlign w:val="top"/>
          </w:tcPr>
          <w:p w14:paraId="40889B70">
            <w:pPr>
              <w:pStyle w:val="8"/>
              <w:spacing w:before="67" w:line="237" w:lineRule="exact"/>
              <w:ind w:left="401"/>
            </w:pPr>
            <w:r>
              <w:rPr>
                <w:color w:val="5F6A72"/>
                <w:spacing w:val="-6"/>
                <w:position w:val="1"/>
              </w:rPr>
              <w:t>73.6</w:t>
            </w:r>
          </w:p>
        </w:tc>
        <w:tc>
          <w:tcPr>
            <w:tcW w:w="1118" w:type="dxa"/>
            <w:tcBorders>
              <w:left w:val="nil"/>
              <w:right w:val="nil"/>
            </w:tcBorders>
            <w:vAlign w:val="top"/>
          </w:tcPr>
          <w:p w14:paraId="6EE42D90">
            <w:pPr>
              <w:pStyle w:val="8"/>
              <w:spacing w:before="67" w:line="237" w:lineRule="exact"/>
              <w:ind w:left="407"/>
            </w:pPr>
            <w:r>
              <w:rPr>
                <w:color w:val="5F6A72"/>
                <w:spacing w:val="-7"/>
                <w:position w:val="1"/>
              </w:rPr>
              <w:t>69.2</w:t>
            </w:r>
          </w:p>
        </w:tc>
        <w:tc>
          <w:tcPr>
            <w:tcW w:w="1118" w:type="dxa"/>
            <w:tcBorders>
              <w:left w:val="nil"/>
              <w:right w:val="nil"/>
            </w:tcBorders>
            <w:vAlign w:val="top"/>
          </w:tcPr>
          <w:p w14:paraId="28CD2D9F">
            <w:pPr>
              <w:pStyle w:val="8"/>
              <w:spacing w:before="67" w:line="237" w:lineRule="exact"/>
              <w:ind w:left="402"/>
            </w:pPr>
            <w:r>
              <w:rPr>
                <w:color w:val="5F6A72"/>
                <w:spacing w:val="-6"/>
                <w:position w:val="1"/>
              </w:rPr>
              <w:t>76.9</w:t>
            </w:r>
          </w:p>
        </w:tc>
        <w:tc>
          <w:tcPr>
            <w:tcW w:w="1118" w:type="dxa"/>
            <w:tcBorders>
              <w:left w:val="nil"/>
              <w:right w:val="nil"/>
            </w:tcBorders>
            <w:vAlign w:val="top"/>
          </w:tcPr>
          <w:p w14:paraId="6369F8F6">
            <w:pPr>
              <w:pStyle w:val="8"/>
              <w:spacing w:before="67" w:line="237" w:lineRule="exact"/>
              <w:ind w:left="407"/>
            </w:pPr>
            <w:r>
              <w:rPr>
                <w:color w:val="5F6A72"/>
                <w:spacing w:val="-7"/>
                <w:position w:val="1"/>
              </w:rPr>
              <w:t>62.6</w:t>
            </w:r>
          </w:p>
        </w:tc>
        <w:tc>
          <w:tcPr>
            <w:tcW w:w="1118" w:type="dxa"/>
            <w:tcBorders>
              <w:left w:val="nil"/>
              <w:right w:val="nil"/>
            </w:tcBorders>
            <w:vAlign w:val="top"/>
          </w:tcPr>
          <w:p w14:paraId="0C612C58">
            <w:pPr>
              <w:pStyle w:val="8"/>
              <w:spacing w:before="67" w:line="237" w:lineRule="exact"/>
              <w:ind w:left="407"/>
            </w:pPr>
            <w:r>
              <w:rPr>
                <w:color w:val="5F6A72"/>
                <w:spacing w:val="-7"/>
                <w:position w:val="1"/>
              </w:rPr>
              <w:t>69.2</w:t>
            </w:r>
          </w:p>
        </w:tc>
        <w:tc>
          <w:tcPr>
            <w:tcW w:w="1260" w:type="dxa"/>
            <w:tcBorders>
              <w:left w:val="nil"/>
              <w:right w:val="nil"/>
            </w:tcBorders>
            <w:vAlign w:val="top"/>
          </w:tcPr>
          <w:p w14:paraId="1A85B8FF">
            <w:pPr>
              <w:pStyle w:val="8"/>
              <w:spacing w:before="67" w:line="237" w:lineRule="exact"/>
              <w:ind w:left="473"/>
            </w:pPr>
            <w:r>
              <w:rPr>
                <w:color w:val="5F6A72"/>
                <w:spacing w:val="-6"/>
                <w:position w:val="1"/>
              </w:rPr>
              <w:t>49.5</w:t>
            </w:r>
          </w:p>
        </w:tc>
        <w:tc>
          <w:tcPr>
            <w:tcW w:w="1118" w:type="dxa"/>
            <w:tcBorders>
              <w:left w:val="nil"/>
              <w:right w:val="nil"/>
            </w:tcBorders>
            <w:vAlign w:val="top"/>
          </w:tcPr>
          <w:p w14:paraId="4859CE97">
            <w:pPr>
              <w:pStyle w:val="8"/>
              <w:spacing w:before="67" w:line="237" w:lineRule="exact"/>
              <w:ind w:left="403"/>
            </w:pPr>
            <w:r>
              <w:rPr>
                <w:color w:val="5F6A72"/>
                <w:spacing w:val="-6"/>
                <w:position w:val="1"/>
              </w:rPr>
              <w:t>41.8</w:t>
            </w:r>
          </w:p>
        </w:tc>
        <w:tc>
          <w:tcPr>
            <w:tcW w:w="1118" w:type="dxa"/>
            <w:tcBorders>
              <w:left w:val="nil"/>
              <w:right w:val="nil"/>
            </w:tcBorders>
            <w:shd w:val="clear" w:color="auto" w:fill="A1D7EF"/>
            <w:vAlign w:val="top"/>
          </w:tcPr>
          <w:p w14:paraId="7ED61195">
            <w:pPr>
              <w:pStyle w:val="8"/>
              <w:spacing w:before="67" w:line="237" w:lineRule="exact"/>
              <w:ind w:left="408"/>
            </w:pPr>
            <w:r>
              <w:rPr>
                <w:color w:val="5F6A72"/>
                <w:spacing w:val="-7"/>
                <w:position w:val="1"/>
              </w:rPr>
              <w:t>63.3</w:t>
            </w:r>
          </w:p>
        </w:tc>
      </w:tr>
      <w:tr w14:paraId="0BE1CE8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7" w:hRule="atLeast"/>
        </w:trPr>
        <w:tc>
          <w:tcPr>
            <w:tcW w:w="1118" w:type="dxa"/>
            <w:tcBorders>
              <w:left w:val="nil"/>
              <w:right w:val="single" w:color="D7DADB" w:sz="4" w:space="0"/>
            </w:tcBorders>
            <w:shd w:val="clear" w:color="auto" w:fill="EAF9FF"/>
            <w:vAlign w:val="top"/>
          </w:tcPr>
          <w:p w14:paraId="5C548F27">
            <w:pPr>
              <w:pStyle w:val="8"/>
              <w:spacing w:before="65" w:line="271" w:lineRule="auto"/>
              <w:ind w:left="5" w:right="195"/>
            </w:pPr>
            <w:r>
              <w:rPr>
                <w:color w:val="2A8ABF"/>
                <w:spacing w:val="-9"/>
              </w:rPr>
              <w:t>Trinidad</w:t>
            </w:r>
            <w:r>
              <w:rPr>
                <w:color w:val="2A8ABF"/>
                <w:spacing w:val="-11"/>
              </w:rPr>
              <w:t xml:space="preserve"> </w:t>
            </w:r>
            <w:r>
              <w:rPr>
                <w:color w:val="2A8ABF"/>
                <w:spacing w:val="-9"/>
              </w:rPr>
              <w:t>And</w:t>
            </w:r>
            <w:r>
              <w:rPr>
                <w:color w:val="2A8ABF"/>
              </w:rPr>
              <w:t xml:space="preserve"> </w:t>
            </w:r>
            <w:r>
              <w:rPr>
                <w:color w:val="2A8ABF"/>
                <w:spacing w:val="-11"/>
              </w:rPr>
              <w:t>Tobago</w:t>
            </w:r>
          </w:p>
        </w:tc>
        <w:tc>
          <w:tcPr>
            <w:tcW w:w="1118" w:type="dxa"/>
            <w:tcBorders>
              <w:left w:val="single" w:color="D7DADB" w:sz="4" w:space="0"/>
              <w:right w:val="nil"/>
            </w:tcBorders>
            <w:shd w:val="clear" w:color="auto" w:fill="EAF9FF"/>
            <w:vAlign w:val="top"/>
          </w:tcPr>
          <w:p w14:paraId="00B1BAB6">
            <w:pPr>
              <w:pStyle w:val="8"/>
              <w:spacing w:before="191" w:line="237" w:lineRule="exact"/>
              <w:ind w:left="405"/>
            </w:pPr>
            <w:r>
              <w:rPr>
                <w:color w:val="5F6A72"/>
                <w:spacing w:val="-7"/>
                <w:position w:val="1"/>
              </w:rPr>
              <w:t>94.5</w:t>
            </w:r>
          </w:p>
        </w:tc>
        <w:tc>
          <w:tcPr>
            <w:tcW w:w="1118" w:type="dxa"/>
            <w:tcBorders>
              <w:left w:val="nil"/>
              <w:right w:val="nil"/>
            </w:tcBorders>
            <w:shd w:val="clear" w:color="auto" w:fill="EAF9FF"/>
            <w:vAlign w:val="top"/>
          </w:tcPr>
          <w:p w14:paraId="6BBE3245">
            <w:pPr>
              <w:pStyle w:val="8"/>
              <w:spacing w:before="191" w:line="237" w:lineRule="exact"/>
              <w:ind w:left="406"/>
            </w:pPr>
            <w:r>
              <w:rPr>
                <w:color w:val="5F6A72"/>
                <w:spacing w:val="-7"/>
                <w:position w:val="1"/>
              </w:rPr>
              <w:t>92.9</w:t>
            </w:r>
          </w:p>
        </w:tc>
        <w:tc>
          <w:tcPr>
            <w:tcW w:w="1118" w:type="dxa"/>
            <w:tcBorders>
              <w:left w:val="nil"/>
              <w:right w:val="nil"/>
            </w:tcBorders>
            <w:shd w:val="clear" w:color="auto" w:fill="EAF9FF"/>
            <w:vAlign w:val="top"/>
          </w:tcPr>
          <w:p w14:paraId="564CD6BD">
            <w:pPr>
              <w:pStyle w:val="8"/>
              <w:spacing w:before="191" w:line="237" w:lineRule="exact"/>
              <w:ind w:left="406"/>
            </w:pPr>
            <w:r>
              <w:rPr>
                <w:color w:val="5F6A72"/>
                <w:spacing w:val="-7"/>
                <w:position w:val="1"/>
              </w:rPr>
              <w:t>91.2</w:t>
            </w:r>
          </w:p>
        </w:tc>
        <w:tc>
          <w:tcPr>
            <w:tcW w:w="1118" w:type="dxa"/>
            <w:tcBorders>
              <w:left w:val="nil"/>
              <w:right w:val="nil"/>
            </w:tcBorders>
            <w:shd w:val="clear" w:color="auto" w:fill="EAF9FF"/>
            <w:vAlign w:val="top"/>
          </w:tcPr>
          <w:p w14:paraId="71E311CA">
            <w:pPr>
              <w:pStyle w:val="8"/>
              <w:spacing w:before="191" w:line="237" w:lineRule="exact"/>
              <w:ind w:left="407"/>
            </w:pPr>
            <w:r>
              <w:rPr>
                <w:color w:val="5F6A72"/>
                <w:spacing w:val="-7"/>
                <w:position w:val="1"/>
              </w:rPr>
              <w:t>56.0</w:t>
            </w:r>
          </w:p>
        </w:tc>
        <w:tc>
          <w:tcPr>
            <w:tcW w:w="1118" w:type="dxa"/>
            <w:tcBorders>
              <w:left w:val="nil"/>
              <w:right w:val="nil"/>
            </w:tcBorders>
            <w:shd w:val="clear" w:color="auto" w:fill="EAF9FF"/>
            <w:vAlign w:val="top"/>
          </w:tcPr>
          <w:p w14:paraId="1C154A95">
            <w:pPr>
              <w:pStyle w:val="8"/>
              <w:spacing w:before="191" w:line="237" w:lineRule="exact"/>
              <w:ind w:left="407"/>
            </w:pPr>
            <w:r>
              <w:rPr>
                <w:color w:val="5F6A72"/>
                <w:spacing w:val="-7"/>
                <w:position w:val="1"/>
              </w:rPr>
              <w:t>69.2</w:t>
            </w:r>
          </w:p>
        </w:tc>
        <w:tc>
          <w:tcPr>
            <w:tcW w:w="1260" w:type="dxa"/>
            <w:tcBorders>
              <w:left w:val="nil"/>
              <w:right w:val="nil"/>
            </w:tcBorders>
            <w:shd w:val="clear" w:color="auto" w:fill="EAF9FF"/>
            <w:vAlign w:val="top"/>
          </w:tcPr>
          <w:p w14:paraId="6F4CC0A0">
            <w:pPr>
              <w:pStyle w:val="8"/>
              <w:spacing w:before="191" w:line="237" w:lineRule="exact"/>
              <w:ind w:left="473"/>
            </w:pPr>
            <w:r>
              <w:rPr>
                <w:color w:val="5F6A72"/>
                <w:spacing w:val="-6"/>
                <w:position w:val="1"/>
              </w:rPr>
              <w:t>49.5</w:t>
            </w:r>
          </w:p>
        </w:tc>
        <w:tc>
          <w:tcPr>
            <w:tcW w:w="1118" w:type="dxa"/>
            <w:tcBorders>
              <w:left w:val="nil"/>
              <w:right w:val="nil"/>
            </w:tcBorders>
            <w:shd w:val="clear" w:color="auto" w:fill="EAF9FF"/>
            <w:vAlign w:val="top"/>
          </w:tcPr>
          <w:p w14:paraId="3DB566FB">
            <w:pPr>
              <w:pStyle w:val="8"/>
              <w:spacing w:before="191" w:line="237" w:lineRule="exact"/>
              <w:ind w:left="402"/>
            </w:pPr>
            <w:r>
              <w:rPr>
                <w:color w:val="5F6A72"/>
                <w:spacing w:val="-6"/>
                <w:position w:val="1"/>
              </w:rPr>
              <w:t>36.3</w:t>
            </w:r>
          </w:p>
        </w:tc>
        <w:tc>
          <w:tcPr>
            <w:tcW w:w="1118" w:type="dxa"/>
            <w:tcBorders>
              <w:left w:val="nil"/>
              <w:right w:val="nil"/>
            </w:tcBorders>
            <w:shd w:val="clear" w:color="auto" w:fill="A1D7EF"/>
            <w:vAlign w:val="top"/>
          </w:tcPr>
          <w:p w14:paraId="7A88E573">
            <w:pPr>
              <w:pStyle w:val="8"/>
              <w:spacing w:before="191" w:line="237" w:lineRule="exact"/>
              <w:ind w:left="408"/>
            </w:pPr>
            <w:r>
              <w:rPr>
                <w:color w:val="5F6A72"/>
                <w:spacing w:val="-7"/>
                <w:position w:val="1"/>
              </w:rPr>
              <w:t>69.9</w:t>
            </w:r>
          </w:p>
        </w:tc>
      </w:tr>
      <w:tr w14:paraId="1193D28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118" w:type="dxa"/>
            <w:tcBorders>
              <w:left w:val="nil"/>
              <w:right w:val="single" w:color="D7DADB" w:sz="4" w:space="0"/>
            </w:tcBorders>
            <w:vAlign w:val="top"/>
          </w:tcPr>
          <w:p w14:paraId="7C967C8A">
            <w:pPr>
              <w:pStyle w:val="8"/>
              <w:spacing w:before="105" w:line="184" w:lineRule="auto"/>
              <w:ind w:left="12"/>
            </w:pPr>
            <w:r>
              <w:rPr>
                <w:color w:val="2A8ABF"/>
                <w:spacing w:val="-13"/>
              </w:rPr>
              <w:t>Guyana</w:t>
            </w:r>
          </w:p>
        </w:tc>
        <w:tc>
          <w:tcPr>
            <w:tcW w:w="1118" w:type="dxa"/>
            <w:tcBorders>
              <w:left w:val="single" w:color="D7DADB" w:sz="4" w:space="0"/>
              <w:right w:val="nil"/>
            </w:tcBorders>
            <w:vAlign w:val="top"/>
          </w:tcPr>
          <w:p w14:paraId="3C280962">
            <w:pPr>
              <w:pStyle w:val="8"/>
              <w:spacing w:before="66" w:line="237" w:lineRule="exact"/>
              <w:ind w:left="405"/>
            </w:pPr>
            <w:r>
              <w:rPr>
                <w:color w:val="5F6A72"/>
                <w:spacing w:val="-7"/>
                <w:position w:val="1"/>
              </w:rPr>
              <w:t>94.5</w:t>
            </w:r>
          </w:p>
        </w:tc>
        <w:tc>
          <w:tcPr>
            <w:tcW w:w="1118" w:type="dxa"/>
            <w:tcBorders>
              <w:left w:val="nil"/>
              <w:right w:val="nil"/>
            </w:tcBorders>
            <w:vAlign w:val="top"/>
          </w:tcPr>
          <w:p w14:paraId="65DBA400">
            <w:pPr>
              <w:pStyle w:val="8"/>
              <w:spacing w:before="66" w:line="237" w:lineRule="exact"/>
              <w:ind w:left="406"/>
            </w:pPr>
            <w:r>
              <w:rPr>
                <w:color w:val="5F6A72"/>
                <w:spacing w:val="-7"/>
                <w:position w:val="1"/>
              </w:rPr>
              <w:t>92.9</w:t>
            </w:r>
          </w:p>
        </w:tc>
        <w:tc>
          <w:tcPr>
            <w:tcW w:w="1118" w:type="dxa"/>
            <w:tcBorders>
              <w:left w:val="nil"/>
              <w:right w:val="nil"/>
            </w:tcBorders>
            <w:vAlign w:val="top"/>
          </w:tcPr>
          <w:p w14:paraId="02D8CC81">
            <w:pPr>
              <w:pStyle w:val="8"/>
              <w:spacing w:before="66" w:line="237" w:lineRule="exact"/>
              <w:ind w:left="406"/>
            </w:pPr>
            <w:r>
              <w:rPr>
                <w:color w:val="5F6A72"/>
                <w:spacing w:val="-7"/>
                <w:position w:val="1"/>
              </w:rPr>
              <w:t>95.6</w:t>
            </w:r>
          </w:p>
        </w:tc>
        <w:tc>
          <w:tcPr>
            <w:tcW w:w="1118" w:type="dxa"/>
            <w:tcBorders>
              <w:left w:val="nil"/>
              <w:right w:val="nil"/>
            </w:tcBorders>
            <w:vAlign w:val="top"/>
          </w:tcPr>
          <w:p w14:paraId="66227589">
            <w:pPr>
              <w:pStyle w:val="8"/>
              <w:spacing w:before="66" w:line="237" w:lineRule="exact"/>
              <w:ind w:left="361"/>
            </w:pPr>
            <w:r>
              <w:rPr>
                <w:color w:val="5F6A72"/>
                <w:spacing w:val="-7"/>
                <w:position w:val="1"/>
              </w:rPr>
              <w:t>100.0</w:t>
            </w:r>
          </w:p>
        </w:tc>
        <w:tc>
          <w:tcPr>
            <w:tcW w:w="1118" w:type="dxa"/>
            <w:tcBorders>
              <w:left w:val="nil"/>
              <w:right w:val="nil"/>
            </w:tcBorders>
            <w:vAlign w:val="top"/>
          </w:tcPr>
          <w:p w14:paraId="4EF962EF">
            <w:pPr>
              <w:pStyle w:val="8"/>
              <w:spacing w:before="66" w:line="237" w:lineRule="exact"/>
              <w:ind w:left="407"/>
            </w:pPr>
            <w:r>
              <w:rPr>
                <w:color w:val="5F6A72"/>
                <w:spacing w:val="-7"/>
                <w:position w:val="1"/>
              </w:rPr>
              <w:t>69.2</w:t>
            </w:r>
          </w:p>
        </w:tc>
        <w:tc>
          <w:tcPr>
            <w:tcW w:w="1260" w:type="dxa"/>
            <w:tcBorders>
              <w:left w:val="nil"/>
              <w:right w:val="nil"/>
            </w:tcBorders>
            <w:vAlign w:val="top"/>
          </w:tcPr>
          <w:p w14:paraId="5F2C8034">
            <w:pPr>
              <w:pStyle w:val="8"/>
              <w:spacing w:before="66" w:line="237" w:lineRule="exact"/>
              <w:ind w:left="477"/>
            </w:pPr>
            <w:r>
              <w:rPr>
                <w:color w:val="5F6A72"/>
                <w:spacing w:val="-7"/>
                <w:position w:val="1"/>
              </w:rPr>
              <w:t>86.3</w:t>
            </w:r>
          </w:p>
        </w:tc>
        <w:tc>
          <w:tcPr>
            <w:tcW w:w="1118" w:type="dxa"/>
            <w:tcBorders>
              <w:left w:val="nil"/>
              <w:right w:val="nil"/>
            </w:tcBorders>
            <w:vAlign w:val="top"/>
          </w:tcPr>
          <w:p w14:paraId="3AF921A7">
            <w:pPr>
              <w:pStyle w:val="8"/>
              <w:spacing w:before="66" w:line="237" w:lineRule="exact"/>
              <w:ind w:left="410"/>
            </w:pPr>
            <w:r>
              <w:rPr>
                <w:color w:val="5F6A72"/>
                <w:spacing w:val="-7"/>
                <w:position w:val="1"/>
              </w:rPr>
              <w:t>15.4</w:t>
            </w:r>
          </w:p>
        </w:tc>
        <w:tc>
          <w:tcPr>
            <w:tcW w:w="1118" w:type="dxa"/>
            <w:tcBorders>
              <w:left w:val="nil"/>
              <w:right w:val="nil"/>
            </w:tcBorders>
            <w:shd w:val="clear" w:color="auto" w:fill="A1D7EF"/>
            <w:vAlign w:val="top"/>
          </w:tcPr>
          <w:p w14:paraId="135A2747">
            <w:pPr>
              <w:pStyle w:val="8"/>
              <w:spacing w:before="66" w:line="237" w:lineRule="exact"/>
              <w:ind w:left="402"/>
            </w:pPr>
            <w:r>
              <w:rPr>
                <w:color w:val="5F6A72"/>
                <w:spacing w:val="-6"/>
                <w:position w:val="1"/>
              </w:rPr>
              <w:t>79.1</w:t>
            </w:r>
          </w:p>
        </w:tc>
      </w:tr>
      <w:tr w14:paraId="121959E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118" w:type="dxa"/>
            <w:tcBorders>
              <w:left w:val="nil"/>
              <w:right w:val="single" w:color="D7DADB" w:sz="4" w:space="0"/>
            </w:tcBorders>
            <w:shd w:val="clear" w:color="auto" w:fill="EAF9FF"/>
            <w:vAlign w:val="top"/>
          </w:tcPr>
          <w:p w14:paraId="1564BD52">
            <w:pPr>
              <w:pStyle w:val="8"/>
              <w:rPr>
                <w:sz w:val="21"/>
              </w:rPr>
            </w:pPr>
          </w:p>
        </w:tc>
        <w:tc>
          <w:tcPr>
            <w:tcW w:w="1118" w:type="dxa"/>
            <w:tcBorders>
              <w:left w:val="single" w:color="D7DADB" w:sz="4" w:space="0"/>
              <w:right w:val="nil"/>
            </w:tcBorders>
            <w:shd w:val="clear" w:color="auto" w:fill="EAF9FF"/>
            <w:vAlign w:val="top"/>
          </w:tcPr>
          <w:p w14:paraId="7EE07B55">
            <w:pPr>
              <w:pStyle w:val="8"/>
              <w:rPr>
                <w:sz w:val="21"/>
              </w:rPr>
            </w:pPr>
          </w:p>
        </w:tc>
        <w:tc>
          <w:tcPr>
            <w:tcW w:w="1118" w:type="dxa"/>
            <w:tcBorders>
              <w:left w:val="nil"/>
              <w:right w:val="nil"/>
            </w:tcBorders>
            <w:shd w:val="clear" w:color="auto" w:fill="EAF9FF"/>
            <w:vAlign w:val="top"/>
          </w:tcPr>
          <w:p w14:paraId="0FB42170">
            <w:pPr>
              <w:pStyle w:val="8"/>
              <w:rPr>
                <w:sz w:val="21"/>
              </w:rPr>
            </w:pPr>
          </w:p>
        </w:tc>
        <w:tc>
          <w:tcPr>
            <w:tcW w:w="1118" w:type="dxa"/>
            <w:tcBorders>
              <w:left w:val="nil"/>
              <w:right w:val="nil"/>
            </w:tcBorders>
            <w:shd w:val="clear" w:color="auto" w:fill="EAF9FF"/>
            <w:vAlign w:val="top"/>
          </w:tcPr>
          <w:p w14:paraId="6398D50E">
            <w:pPr>
              <w:pStyle w:val="8"/>
              <w:rPr>
                <w:sz w:val="21"/>
              </w:rPr>
            </w:pPr>
          </w:p>
        </w:tc>
        <w:tc>
          <w:tcPr>
            <w:tcW w:w="1118" w:type="dxa"/>
            <w:tcBorders>
              <w:left w:val="nil"/>
              <w:right w:val="nil"/>
            </w:tcBorders>
            <w:shd w:val="clear" w:color="auto" w:fill="EAF9FF"/>
            <w:vAlign w:val="top"/>
          </w:tcPr>
          <w:p w14:paraId="3A869075">
            <w:pPr>
              <w:pStyle w:val="8"/>
              <w:rPr>
                <w:sz w:val="21"/>
              </w:rPr>
            </w:pPr>
          </w:p>
        </w:tc>
        <w:tc>
          <w:tcPr>
            <w:tcW w:w="1118" w:type="dxa"/>
            <w:tcBorders>
              <w:left w:val="nil"/>
              <w:right w:val="nil"/>
            </w:tcBorders>
            <w:shd w:val="clear" w:color="auto" w:fill="EAF9FF"/>
            <w:vAlign w:val="top"/>
          </w:tcPr>
          <w:p w14:paraId="04382DB0">
            <w:pPr>
              <w:pStyle w:val="8"/>
              <w:rPr>
                <w:sz w:val="21"/>
              </w:rPr>
            </w:pPr>
          </w:p>
        </w:tc>
        <w:tc>
          <w:tcPr>
            <w:tcW w:w="1260" w:type="dxa"/>
            <w:tcBorders>
              <w:left w:val="nil"/>
              <w:right w:val="nil"/>
            </w:tcBorders>
            <w:shd w:val="clear" w:color="auto" w:fill="EAF9FF"/>
            <w:vAlign w:val="top"/>
          </w:tcPr>
          <w:p w14:paraId="1ABCD528">
            <w:pPr>
              <w:pStyle w:val="8"/>
              <w:rPr>
                <w:sz w:val="21"/>
              </w:rPr>
            </w:pPr>
          </w:p>
        </w:tc>
        <w:tc>
          <w:tcPr>
            <w:tcW w:w="1118" w:type="dxa"/>
            <w:tcBorders>
              <w:left w:val="nil"/>
              <w:right w:val="nil"/>
            </w:tcBorders>
            <w:shd w:val="clear" w:color="auto" w:fill="EAF9FF"/>
            <w:vAlign w:val="top"/>
          </w:tcPr>
          <w:p w14:paraId="74F36E07">
            <w:pPr>
              <w:pStyle w:val="8"/>
              <w:rPr>
                <w:sz w:val="21"/>
              </w:rPr>
            </w:pPr>
          </w:p>
        </w:tc>
        <w:tc>
          <w:tcPr>
            <w:tcW w:w="1118" w:type="dxa"/>
            <w:tcBorders>
              <w:left w:val="nil"/>
              <w:right w:val="nil"/>
            </w:tcBorders>
            <w:shd w:val="clear" w:color="auto" w:fill="A1D7EF"/>
            <w:vAlign w:val="top"/>
          </w:tcPr>
          <w:p w14:paraId="2771FD2D">
            <w:pPr>
              <w:pStyle w:val="8"/>
              <w:rPr>
                <w:sz w:val="21"/>
              </w:rPr>
            </w:pPr>
          </w:p>
        </w:tc>
      </w:tr>
      <w:tr w14:paraId="6D939DB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118" w:type="dxa"/>
            <w:tcBorders>
              <w:left w:val="nil"/>
              <w:right w:val="single" w:color="D7DADB" w:sz="4" w:space="0"/>
            </w:tcBorders>
            <w:vAlign w:val="top"/>
          </w:tcPr>
          <w:p w14:paraId="1F0FD0FC">
            <w:pPr>
              <w:pStyle w:val="8"/>
              <w:spacing w:before="65" w:line="234" w:lineRule="auto"/>
              <w:ind w:left="12"/>
            </w:pPr>
            <w:r>
              <w:rPr>
                <w:color w:val="2A8ABF"/>
                <w:spacing w:val="-11"/>
              </w:rPr>
              <w:t>Global</w:t>
            </w:r>
            <w:r>
              <w:rPr>
                <w:color w:val="2A8ABF"/>
                <w:spacing w:val="-2"/>
              </w:rPr>
              <w:t xml:space="preserve"> </w:t>
            </w:r>
            <w:r>
              <w:rPr>
                <w:color w:val="2A8ABF"/>
                <w:spacing w:val="-11"/>
              </w:rPr>
              <w:t>average</w:t>
            </w:r>
          </w:p>
        </w:tc>
        <w:tc>
          <w:tcPr>
            <w:tcW w:w="1118" w:type="dxa"/>
            <w:tcBorders>
              <w:left w:val="single" w:color="D7DADB" w:sz="4" w:space="0"/>
              <w:right w:val="nil"/>
            </w:tcBorders>
            <w:vAlign w:val="top"/>
          </w:tcPr>
          <w:p w14:paraId="33D4DEC4">
            <w:pPr>
              <w:pStyle w:val="8"/>
              <w:spacing w:before="65" w:line="238" w:lineRule="exact"/>
              <w:ind w:left="405"/>
            </w:pPr>
            <w:r>
              <w:rPr>
                <w:color w:val="5F6A72"/>
                <w:spacing w:val="-7"/>
                <w:position w:val="1"/>
              </w:rPr>
              <w:t>50.0</w:t>
            </w:r>
          </w:p>
        </w:tc>
        <w:tc>
          <w:tcPr>
            <w:tcW w:w="1118" w:type="dxa"/>
            <w:tcBorders>
              <w:left w:val="nil"/>
              <w:right w:val="nil"/>
            </w:tcBorders>
            <w:vAlign w:val="top"/>
          </w:tcPr>
          <w:p w14:paraId="2BF56FB7">
            <w:pPr>
              <w:pStyle w:val="8"/>
              <w:spacing w:before="65" w:line="238" w:lineRule="exact"/>
              <w:ind w:left="406"/>
            </w:pPr>
            <w:r>
              <w:rPr>
                <w:color w:val="5F6A72"/>
                <w:spacing w:val="-7"/>
                <w:position w:val="1"/>
              </w:rPr>
              <w:t>50.0</w:t>
            </w:r>
          </w:p>
        </w:tc>
        <w:tc>
          <w:tcPr>
            <w:tcW w:w="1118" w:type="dxa"/>
            <w:tcBorders>
              <w:left w:val="nil"/>
              <w:right w:val="nil"/>
            </w:tcBorders>
            <w:vAlign w:val="top"/>
          </w:tcPr>
          <w:p w14:paraId="64D1D3FE">
            <w:pPr>
              <w:pStyle w:val="8"/>
              <w:spacing w:before="65" w:line="238" w:lineRule="exact"/>
              <w:ind w:left="406"/>
            </w:pPr>
            <w:r>
              <w:rPr>
                <w:color w:val="5F6A72"/>
                <w:spacing w:val="-7"/>
                <w:position w:val="1"/>
              </w:rPr>
              <w:t>50.0</w:t>
            </w:r>
          </w:p>
        </w:tc>
        <w:tc>
          <w:tcPr>
            <w:tcW w:w="1118" w:type="dxa"/>
            <w:tcBorders>
              <w:left w:val="nil"/>
              <w:right w:val="nil"/>
            </w:tcBorders>
            <w:vAlign w:val="top"/>
          </w:tcPr>
          <w:p w14:paraId="0D8471F9">
            <w:pPr>
              <w:pStyle w:val="8"/>
              <w:spacing w:before="65" w:line="238" w:lineRule="exact"/>
              <w:ind w:left="407"/>
            </w:pPr>
            <w:r>
              <w:rPr>
                <w:color w:val="5F6A72"/>
                <w:spacing w:val="-7"/>
                <w:position w:val="1"/>
              </w:rPr>
              <w:t>50.0</w:t>
            </w:r>
          </w:p>
        </w:tc>
        <w:tc>
          <w:tcPr>
            <w:tcW w:w="1118" w:type="dxa"/>
            <w:tcBorders>
              <w:left w:val="nil"/>
              <w:right w:val="nil"/>
            </w:tcBorders>
            <w:vAlign w:val="top"/>
          </w:tcPr>
          <w:p w14:paraId="7005193B">
            <w:pPr>
              <w:pStyle w:val="8"/>
              <w:spacing w:before="65" w:line="238" w:lineRule="exact"/>
              <w:ind w:left="407"/>
            </w:pPr>
            <w:r>
              <w:rPr>
                <w:color w:val="5F6A72"/>
                <w:spacing w:val="-7"/>
                <w:position w:val="1"/>
              </w:rPr>
              <w:t>50.0</w:t>
            </w:r>
          </w:p>
        </w:tc>
        <w:tc>
          <w:tcPr>
            <w:tcW w:w="1260" w:type="dxa"/>
            <w:tcBorders>
              <w:left w:val="nil"/>
              <w:right w:val="nil"/>
            </w:tcBorders>
            <w:vAlign w:val="top"/>
          </w:tcPr>
          <w:p w14:paraId="358955A2">
            <w:pPr>
              <w:pStyle w:val="8"/>
              <w:spacing w:before="65" w:line="238" w:lineRule="exact"/>
              <w:ind w:left="478"/>
            </w:pPr>
            <w:r>
              <w:rPr>
                <w:color w:val="5F6A72"/>
                <w:spacing w:val="-7"/>
                <w:position w:val="1"/>
              </w:rPr>
              <w:t>50.0</w:t>
            </w:r>
          </w:p>
        </w:tc>
        <w:tc>
          <w:tcPr>
            <w:tcW w:w="1118" w:type="dxa"/>
            <w:tcBorders>
              <w:left w:val="nil"/>
              <w:right w:val="nil"/>
            </w:tcBorders>
            <w:vAlign w:val="top"/>
          </w:tcPr>
          <w:p w14:paraId="73D77BE0">
            <w:pPr>
              <w:pStyle w:val="8"/>
              <w:spacing w:before="65" w:line="238" w:lineRule="exact"/>
              <w:ind w:left="407"/>
            </w:pPr>
            <w:r>
              <w:rPr>
                <w:color w:val="5F6A72"/>
                <w:spacing w:val="-7"/>
                <w:position w:val="1"/>
              </w:rPr>
              <w:t>50.0</w:t>
            </w:r>
          </w:p>
        </w:tc>
        <w:tc>
          <w:tcPr>
            <w:tcW w:w="1118" w:type="dxa"/>
            <w:tcBorders>
              <w:left w:val="nil"/>
              <w:right w:val="nil"/>
            </w:tcBorders>
            <w:shd w:val="clear" w:color="auto" w:fill="A1D7EF"/>
            <w:vAlign w:val="top"/>
          </w:tcPr>
          <w:p w14:paraId="7384DA4F">
            <w:pPr>
              <w:pStyle w:val="8"/>
              <w:spacing w:before="65" w:line="238" w:lineRule="exact"/>
              <w:ind w:left="407"/>
            </w:pPr>
            <w:r>
              <w:rPr>
                <w:color w:val="5F6A72"/>
                <w:spacing w:val="-7"/>
                <w:position w:val="1"/>
              </w:rPr>
              <w:t>50.0</w:t>
            </w:r>
          </w:p>
        </w:tc>
      </w:tr>
      <w:tr w14:paraId="0E1FD51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79" w:hRule="atLeast"/>
        </w:trPr>
        <w:tc>
          <w:tcPr>
            <w:tcW w:w="1118" w:type="dxa"/>
            <w:tcBorders>
              <w:left w:val="nil"/>
              <w:bottom w:val="nil"/>
              <w:right w:val="single" w:color="D7DADB" w:sz="4" w:space="0"/>
            </w:tcBorders>
            <w:shd w:val="clear" w:color="auto" w:fill="EAF9FF"/>
            <w:vAlign w:val="top"/>
          </w:tcPr>
          <w:p w14:paraId="125CBCB1">
            <w:pPr>
              <w:pStyle w:val="8"/>
              <w:spacing w:before="65" w:line="234" w:lineRule="auto"/>
              <w:ind w:left="18"/>
            </w:pPr>
            <w:r>
              <w:rPr>
                <w:color w:val="2A8ABF"/>
                <w:spacing w:val="-11"/>
              </w:rPr>
              <w:t>Regional</w:t>
            </w:r>
          </w:p>
          <w:p w14:paraId="4F137854">
            <w:pPr>
              <w:pStyle w:val="8"/>
              <w:spacing w:before="113" w:line="133" w:lineRule="exact"/>
              <w:ind w:left="10"/>
            </w:pPr>
            <w:r>
              <w:rPr>
                <w:color w:val="2A8ABF"/>
                <w:spacing w:val="-10"/>
                <w:position w:val="1"/>
              </w:rPr>
              <w:t>average</w:t>
            </w:r>
          </w:p>
        </w:tc>
        <w:tc>
          <w:tcPr>
            <w:tcW w:w="1118" w:type="dxa"/>
            <w:tcBorders>
              <w:left w:val="single" w:color="D7DADB" w:sz="4" w:space="0"/>
              <w:bottom w:val="nil"/>
              <w:right w:val="nil"/>
            </w:tcBorders>
            <w:shd w:val="clear" w:color="auto" w:fill="EAF9FF"/>
            <w:vAlign w:val="top"/>
          </w:tcPr>
          <w:p w14:paraId="73A7AF2D">
            <w:pPr>
              <w:pStyle w:val="8"/>
              <w:spacing w:before="190" w:line="237" w:lineRule="exact"/>
              <w:ind w:left="401"/>
            </w:pPr>
            <w:r>
              <w:rPr>
                <w:color w:val="5F6A72"/>
                <w:spacing w:val="-6"/>
                <w:position w:val="1"/>
              </w:rPr>
              <w:t>49.9</w:t>
            </w:r>
          </w:p>
        </w:tc>
        <w:tc>
          <w:tcPr>
            <w:tcW w:w="1118" w:type="dxa"/>
            <w:tcBorders>
              <w:left w:val="nil"/>
              <w:bottom w:val="nil"/>
              <w:right w:val="nil"/>
            </w:tcBorders>
            <w:shd w:val="clear" w:color="auto" w:fill="EAF9FF"/>
            <w:vAlign w:val="top"/>
          </w:tcPr>
          <w:p w14:paraId="3E80496F">
            <w:pPr>
              <w:pStyle w:val="8"/>
              <w:spacing w:before="190" w:line="237" w:lineRule="exact"/>
              <w:ind w:left="406"/>
            </w:pPr>
            <w:r>
              <w:rPr>
                <w:color w:val="5F6A72"/>
                <w:spacing w:val="-7"/>
                <w:position w:val="1"/>
              </w:rPr>
              <w:t>57.0</w:t>
            </w:r>
          </w:p>
        </w:tc>
        <w:tc>
          <w:tcPr>
            <w:tcW w:w="1118" w:type="dxa"/>
            <w:tcBorders>
              <w:left w:val="nil"/>
              <w:bottom w:val="nil"/>
              <w:right w:val="nil"/>
            </w:tcBorders>
            <w:shd w:val="clear" w:color="auto" w:fill="EAF9FF"/>
            <w:vAlign w:val="top"/>
          </w:tcPr>
          <w:p w14:paraId="1F1E326D">
            <w:pPr>
              <w:pStyle w:val="8"/>
              <w:spacing w:before="190" w:line="237" w:lineRule="exact"/>
              <w:ind w:left="402"/>
            </w:pPr>
            <w:r>
              <w:rPr>
                <w:color w:val="5F6A72"/>
                <w:spacing w:val="-6"/>
                <w:position w:val="1"/>
              </w:rPr>
              <w:t>49.2</w:t>
            </w:r>
          </w:p>
        </w:tc>
        <w:tc>
          <w:tcPr>
            <w:tcW w:w="1118" w:type="dxa"/>
            <w:tcBorders>
              <w:left w:val="nil"/>
              <w:bottom w:val="nil"/>
              <w:right w:val="nil"/>
            </w:tcBorders>
            <w:shd w:val="clear" w:color="auto" w:fill="EAF9FF"/>
            <w:vAlign w:val="top"/>
          </w:tcPr>
          <w:p w14:paraId="3311DC7F">
            <w:pPr>
              <w:pStyle w:val="8"/>
              <w:spacing w:before="190" w:line="237" w:lineRule="exact"/>
              <w:ind w:left="407"/>
            </w:pPr>
            <w:r>
              <w:rPr>
                <w:color w:val="5F6A72"/>
                <w:spacing w:val="-7"/>
                <w:position w:val="1"/>
              </w:rPr>
              <w:t>55.4</w:t>
            </w:r>
          </w:p>
        </w:tc>
        <w:tc>
          <w:tcPr>
            <w:tcW w:w="1118" w:type="dxa"/>
            <w:tcBorders>
              <w:left w:val="nil"/>
              <w:bottom w:val="nil"/>
              <w:right w:val="nil"/>
            </w:tcBorders>
            <w:shd w:val="clear" w:color="auto" w:fill="EAF9FF"/>
            <w:vAlign w:val="top"/>
          </w:tcPr>
          <w:p w14:paraId="6C4B22A6">
            <w:pPr>
              <w:pStyle w:val="8"/>
              <w:spacing w:before="190" w:line="237" w:lineRule="exact"/>
              <w:ind w:left="407"/>
            </w:pPr>
            <w:r>
              <w:rPr>
                <w:color w:val="5F6A72"/>
                <w:spacing w:val="-7"/>
                <w:position w:val="1"/>
              </w:rPr>
              <w:t>69.2</w:t>
            </w:r>
          </w:p>
        </w:tc>
        <w:tc>
          <w:tcPr>
            <w:tcW w:w="1260" w:type="dxa"/>
            <w:tcBorders>
              <w:left w:val="nil"/>
              <w:bottom w:val="nil"/>
              <w:right w:val="nil"/>
            </w:tcBorders>
            <w:shd w:val="clear" w:color="auto" w:fill="EAF9FF"/>
            <w:vAlign w:val="top"/>
          </w:tcPr>
          <w:p w14:paraId="7AB6C27E">
            <w:pPr>
              <w:pStyle w:val="8"/>
              <w:spacing w:before="190" w:line="237" w:lineRule="exact"/>
              <w:ind w:left="478"/>
            </w:pPr>
            <w:r>
              <w:rPr>
                <w:color w:val="5F6A72"/>
                <w:spacing w:val="-7"/>
                <w:position w:val="1"/>
              </w:rPr>
              <w:t>54.7</w:t>
            </w:r>
          </w:p>
        </w:tc>
        <w:tc>
          <w:tcPr>
            <w:tcW w:w="1118" w:type="dxa"/>
            <w:tcBorders>
              <w:left w:val="nil"/>
              <w:bottom w:val="nil"/>
              <w:right w:val="nil"/>
            </w:tcBorders>
            <w:shd w:val="clear" w:color="auto" w:fill="EAF9FF"/>
            <w:vAlign w:val="top"/>
          </w:tcPr>
          <w:p w14:paraId="500244AD">
            <w:pPr>
              <w:pStyle w:val="8"/>
              <w:spacing w:before="190" w:line="237" w:lineRule="exact"/>
              <w:ind w:left="402"/>
            </w:pPr>
            <w:r>
              <w:rPr>
                <w:color w:val="5F6A72"/>
                <w:spacing w:val="-6"/>
                <w:position w:val="1"/>
              </w:rPr>
              <w:t>31.6</w:t>
            </w:r>
          </w:p>
        </w:tc>
        <w:tc>
          <w:tcPr>
            <w:tcW w:w="1118" w:type="dxa"/>
            <w:tcBorders>
              <w:left w:val="nil"/>
              <w:bottom w:val="nil"/>
              <w:right w:val="nil"/>
            </w:tcBorders>
            <w:shd w:val="clear" w:color="auto" w:fill="A1D7EF"/>
            <w:vAlign w:val="top"/>
          </w:tcPr>
          <w:p w14:paraId="701334BE">
            <w:pPr>
              <w:pStyle w:val="8"/>
              <w:spacing w:before="190" w:line="237" w:lineRule="exact"/>
              <w:ind w:left="407"/>
            </w:pPr>
            <w:r>
              <w:rPr>
                <w:color w:val="5F6A72"/>
                <w:spacing w:val="-7"/>
                <w:position w:val="1"/>
              </w:rPr>
              <w:t>52.4</w:t>
            </w:r>
          </w:p>
        </w:tc>
      </w:tr>
    </w:tbl>
    <w:p w14:paraId="784FD750">
      <w:pPr>
        <w:pStyle w:val="4"/>
        <w:spacing w:before="149" w:line="177" w:lineRule="exact"/>
        <w:ind w:left="372"/>
        <w:rPr>
          <w:sz w:val="15"/>
          <w:szCs w:val="15"/>
        </w:rPr>
      </w:pPr>
      <w:r>
        <w:drawing>
          <wp:anchor distT="0" distB="0" distL="0" distR="0" simplePos="0" relativeHeight="251892736"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position w:val="1"/>
          <w:sz w:val="15"/>
          <w:szCs w:val="15"/>
        </w:rPr>
        <w:t>Note: Scores out</w:t>
      </w:r>
      <w:r>
        <w:rPr>
          <w:i/>
          <w:iCs/>
          <w:color w:val="333333"/>
          <w:spacing w:val="-10"/>
          <w:position w:val="1"/>
          <w:sz w:val="15"/>
          <w:szCs w:val="15"/>
        </w:rPr>
        <w:t xml:space="preserve"> </w:t>
      </w:r>
      <w:r>
        <w:rPr>
          <w:i/>
          <w:iCs/>
          <w:color w:val="333333"/>
          <w:spacing w:val="-5"/>
          <w:w w:val="94"/>
          <w:position w:val="1"/>
          <w:sz w:val="15"/>
          <w:szCs w:val="15"/>
        </w:rPr>
        <w:t>of</w:t>
      </w:r>
      <w:r>
        <w:rPr>
          <w:i/>
          <w:iCs/>
          <w:color w:val="333333"/>
          <w:spacing w:val="-11"/>
          <w:position w:val="1"/>
          <w:sz w:val="15"/>
          <w:szCs w:val="15"/>
        </w:rPr>
        <w:t xml:space="preserve"> </w:t>
      </w:r>
      <w:r>
        <w:rPr>
          <w:i/>
          <w:iCs/>
          <w:color w:val="333333"/>
          <w:spacing w:val="-5"/>
          <w:w w:val="94"/>
          <w:position w:val="1"/>
          <w:sz w:val="15"/>
          <w:szCs w:val="15"/>
        </w:rPr>
        <w:t>100;</w:t>
      </w:r>
      <w:r>
        <w:rPr>
          <w:i/>
          <w:iCs/>
          <w:color w:val="333333"/>
          <w:spacing w:val="-8"/>
          <w:position w:val="1"/>
          <w:sz w:val="15"/>
          <w:szCs w:val="15"/>
        </w:rPr>
        <w:t xml:space="preserve"> </w:t>
      </w:r>
      <w:r>
        <w:rPr>
          <w:i/>
          <w:iCs/>
          <w:color w:val="333333"/>
          <w:spacing w:val="-5"/>
          <w:w w:val="94"/>
          <w:position w:val="1"/>
          <w:sz w:val="15"/>
          <w:szCs w:val="15"/>
        </w:rPr>
        <w:t>lower</w:t>
      </w:r>
      <w:r>
        <w:rPr>
          <w:i/>
          <w:iCs/>
          <w:color w:val="333333"/>
          <w:spacing w:val="-19"/>
          <w:position w:val="1"/>
          <w:sz w:val="15"/>
          <w:szCs w:val="15"/>
        </w:rPr>
        <w:t xml:space="preserve"> </w:t>
      </w:r>
      <w:r>
        <w:rPr>
          <w:i/>
          <w:iCs/>
          <w:color w:val="333333"/>
          <w:spacing w:val="-5"/>
          <w:w w:val="94"/>
          <w:position w:val="1"/>
          <w:sz w:val="15"/>
          <w:szCs w:val="15"/>
        </w:rPr>
        <w:t>score = more attractive mark</w:t>
      </w:r>
      <w:r>
        <w:rPr>
          <w:i/>
          <w:iCs/>
          <w:color w:val="333333"/>
          <w:spacing w:val="-6"/>
          <w:w w:val="94"/>
          <w:position w:val="1"/>
          <w:sz w:val="15"/>
          <w:szCs w:val="15"/>
        </w:rPr>
        <w:t>et. Source: BMI Downstream</w:t>
      </w:r>
      <w:r>
        <w:rPr>
          <w:i/>
          <w:iCs/>
          <w:color w:val="333333"/>
          <w:spacing w:val="4"/>
          <w:position w:val="1"/>
          <w:sz w:val="15"/>
          <w:szCs w:val="15"/>
        </w:rPr>
        <w:t xml:space="preserve"> </w:t>
      </w:r>
      <w:r>
        <w:rPr>
          <w:i/>
          <w:iCs/>
          <w:color w:val="333333"/>
          <w:spacing w:val="-6"/>
          <w:w w:val="94"/>
          <w:position w:val="1"/>
          <w:sz w:val="15"/>
          <w:szCs w:val="15"/>
        </w:rPr>
        <w:t>Oil</w:t>
      </w:r>
      <w:r>
        <w:rPr>
          <w:i/>
          <w:iCs/>
          <w:color w:val="333333"/>
          <w:spacing w:val="-12"/>
          <w:position w:val="1"/>
          <w:sz w:val="15"/>
          <w:szCs w:val="15"/>
        </w:rPr>
        <w:t xml:space="preserve"> </w:t>
      </w:r>
      <w:r>
        <w:rPr>
          <w:i/>
          <w:iCs/>
          <w:color w:val="333333"/>
          <w:spacing w:val="-6"/>
          <w:w w:val="94"/>
          <w:position w:val="1"/>
          <w:sz w:val="15"/>
          <w:szCs w:val="15"/>
        </w:rPr>
        <w:t>&amp; Gas Risk/Reward</w:t>
      </w:r>
      <w:r>
        <w:rPr>
          <w:i/>
          <w:iCs/>
          <w:color w:val="333333"/>
          <w:spacing w:val="-11"/>
          <w:position w:val="1"/>
          <w:sz w:val="15"/>
          <w:szCs w:val="15"/>
        </w:rPr>
        <w:t xml:space="preserve"> </w:t>
      </w:r>
      <w:r>
        <w:rPr>
          <w:i/>
          <w:iCs/>
          <w:color w:val="333333"/>
          <w:spacing w:val="-6"/>
          <w:w w:val="94"/>
          <w:position w:val="1"/>
          <w:sz w:val="15"/>
          <w:szCs w:val="15"/>
        </w:rPr>
        <w:t>Index</w:t>
      </w:r>
    </w:p>
    <w:p w14:paraId="261C4991">
      <w:pPr>
        <w:pStyle w:val="4"/>
        <w:spacing w:line="242" w:lineRule="auto"/>
      </w:pPr>
    </w:p>
    <w:p w14:paraId="7487A89E">
      <w:pPr>
        <w:pStyle w:val="4"/>
        <w:spacing w:before="70" w:line="234" w:lineRule="auto"/>
        <w:ind w:left="427"/>
        <w:rPr>
          <w:sz w:val="24"/>
          <w:szCs w:val="24"/>
        </w:rPr>
      </w:pPr>
      <w:r>
        <w:rPr>
          <w:color w:val="174174"/>
          <w:spacing w:val="-11"/>
          <w:sz w:val="24"/>
          <w:szCs w:val="24"/>
        </w:rPr>
        <w:t>Latin</w:t>
      </w:r>
      <w:r>
        <w:rPr>
          <w:color w:val="174174"/>
          <w:spacing w:val="-20"/>
          <w:sz w:val="24"/>
          <w:szCs w:val="24"/>
        </w:rPr>
        <w:t xml:space="preserve"> </w:t>
      </w:r>
      <w:r>
        <w:rPr>
          <w:color w:val="174174"/>
          <w:spacing w:val="-11"/>
          <w:sz w:val="24"/>
          <w:szCs w:val="24"/>
        </w:rPr>
        <w:t>America Downstream Country Rewards Index</w:t>
      </w:r>
    </w:p>
    <w:p w14:paraId="48E85E15">
      <w:pPr>
        <w:spacing w:line="42"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3044"/>
        <w:gridCol w:w="1432"/>
        <w:gridCol w:w="1432"/>
        <w:gridCol w:w="1432"/>
        <w:gridCol w:w="1432"/>
        <w:gridCol w:w="1432"/>
      </w:tblGrid>
      <w:tr w14:paraId="64379BD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3044" w:type="dxa"/>
            <w:tcBorders>
              <w:left w:val="nil"/>
            </w:tcBorders>
            <w:vAlign w:val="top"/>
          </w:tcPr>
          <w:p w14:paraId="204D0049">
            <w:pPr>
              <w:pStyle w:val="8"/>
              <w:rPr>
                <w:sz w:val="21"/>
              </w:rPr>
            </w:pPr>
          </w:p>
        </w:tc>
        <w:tc>
          <w:tcPr>
            <w:tcW w:w="1432" w:type="dxa"/>
            <w:tcBorders>
              <w:right w:val="nil"/>
            </w:tcBorders>
            <w:vAlign w:val="top"/>
          </w:tcPr>
          <w:p w14:paraId="6346AC63">
            <w:pPr>
              <w:pStyle w:val="8"/>
              <w:spacing w:before="70" w:line="243" w:lineRule="exact"/>
              <w:ind w:left="264"/>
            </w:pPr>
            <w:r>
              <w:rPr>
                <w:b/>
                <w:bCs/>
                <w:color w:val="5F6A72"/>
                <w:spacing w:val="-7"/>
                <w:position w:val="1"/>
              </w:rPr>
              <w:t>State Asset</w:t>
            </w:r>
          </w:p>
          <w:p w14:paraId="78C63B49">
            <w:pPr>
              <w:pStyle w:val="8"/>
              <w:spacing w:before="6" w:line="210" w:lineRule="exact"/>
              <w:ind w:left="290"/>
            </w:pPr>
            <w:r>
              <w:rPr>
                <w:b/>
                <w:bCs/>
                <w:color w:val="5F6A72"/>
                <w:spacing w:val="-8"/>
                <w:position w:val="2"/>
              </w:rPr>
              <w:t>Ownership</w:t>
            </w:r>
          </w:p>
        </w:tc>
        <w:tc>
          <w:tcPr>
            <w:tcW w:w="1432" w:type="dxa"/>
            <w:tcBorders>
              <w:left w:val="nil"/>
              <w:right w:val="nil"/>
            </w:tcBorders>
            <w:vAlign w:val="top"/>
          </w:tcPr>
          <w:p w14:paraId="7CD0CB61">
            <w:pPr>
              <w:pStyle w:val="8"/>
              <w:spacing w:before="70" w:line="210" w:lineRule="exact"/>
              <w:ind w:left="297"/>
            </w:pPr>
            <w:r>
              <w:rPr>
                <w:b/>
                <w:bCs/>
                <w:color w:val="5F6A72"/>
                <w:spacing w:val="-8"/>
                <w:position w:val="2"/>
              </w:rPr>
              <w:t>Population</w:t>
            </w:r>
          </w:p>
        </w:tc>
        <w:tc>
          <w:tcPr>
            <w:tcW w:w="1432" w:type="dxa"/>
            <w:tcBorders>
              <w:left w:val="nil"/>
              <w:right w:val="nil"/>
            </w:tcBorders>
            <w:vAlign w:val="top"/>
          </w:tcPr>
          <w:p w14:paraId="56223C4F">
            <w:pPr>
              <w:pStyle w:val="8"/>
              <w:spacing w:before="70" w:line="210" w:lineRule="exact"/>
              <w:ind w:left="297"/>
            </w:pPr>
            <w:r>
              <w:rPr>
                <w:b/>
                <w:bCs/>
                <w:color w:val="5F6A72"/>
                <w:spacing w:val="-8"/>
                <w:position w:val="2"/>
              </w:rPr>
              <w:t>Population</w:t>
            </w:r>
          </w:p>
          <w:p w14:paraId="079F3D0B">
            <w:pPr>
              <w:pStyle w:val="8"/>
              <w:spacing w:before="40" w:line="243" w:lineRule="exact"/>
              <w:ind w:left="435"/>
            </w:pPr>
            <w:r>
              <w:rPr>
                <w:b/>
                <w:bCs/>
                <w:color w:val="5F6A72"/>
                <w:spacing w:val="-10"/>
                <w:position w:val="1"/>
              </w:rPr>
              <w:t>Growth</w:t>
            </w:r>
          </w:p>
        </w:tc>
        <w:tc>
          <w:tcPr>
            <w:tcW w:w="1432" w:type="dxa"/>
            <w:tcBorders>
              <w:left w:val="nil"/>
              <w:right w:val="nil"/>
            </w:tcBorders>
            <w:shd w:val="clear" w:color="auto" w:fill="A1D7EF"/>
            <w:vAlign w:val="top"/>
          </w:tcPr>
          <w:p w14:paraId="693D0866">
            <w:pPr>
              <w:pStyle w:val="8"/>
              <w:spacing w:before="112" w:line="184" w:lineRule="auto"/>
              <w:ind w:left="401"/>
            </w:pPr>
            <w:r>
              <w:rPr>
                <w:b/>
                <w:bCs/>
                <w:color w:val="5F6A72"/>
                <w:spacing w:val="-7"/>
              </w:rPr>
              <w:t>Country</w:t>
            </w:r>
          </w:p>
          <w:p w14:paraId="5FC0757E">
            <w:pPr>
              <w:pStyle w:val="8"/>
              <w:spacing w:before="49" w:line="243" w:lineRule="exact"/>
              <w:ind w:left="392"/>
            </w:pPr>
            <w:r>
              <w:rPr>
                <w:b/>
                <w:bCs/>
                <w:color w:val="5F6A72"/>
                <w:spacing w:val="-11"/>
                <w:position w:val="1"/>
              </w:rPr>
              <w:t>Rewards</w:t>
            </w:r>
          </w:p>
        </w:tc>
        <w:tc>
          <w:tcPr>
            <w:tcW w:w="1432" w:type="dxa"/>
            <w:tcBorders>
              <w:left w:val="nil"/>
              <w:right w:val="nil"/>
            </w:tcBorders>
            <w:shd w:val="clear" w:color="auto" w:fill="A1D7EF"/>
            <w:vAlign w:val="top"/>
          </w:tcPr>
          <w:p w14:paraId="52DDF445">
            <w:pPr>
              <w:pStyle w:val="8"/>
              <w:spacing w:before="70" w:line="243" w:lineRule="exact"/>
              <w:ind w:left="392"/>
            </w:pPr>
            <w:r>
              <w:rPr>
                <w:b/>
                <w:bCs/>
                <w:color w:val="5F6A72"/>
                <w:spacing w:val="-11"/>
                <w:position w:val="1"/>
              </w:rPr>
              <w:t>Rewards</w:t>
            </w:r>
          </w:p>
        </w:tc>
      </w:tr>
      <w:tr w14:paraId="4AFEA6F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vAlign w:val="top"/>
          </w:tcPr>
          <w:p w14:paraId="478E11F3">
            <w:pPr>
              <w:pStyle w:val="8"/>
              <w:spacing w:before="65" w:line="237" w:lineRule="exact"/>
              <w:ind w:left="18"/>
            </w:pPr>
            <w:r>
              <w:rPr>
                <w:color w:val="2A8ABF"/>
                <w:spacing w:val="-12"/>
                <w:position w:val="1"/>
              </w:rPr>
              <w:t>Brazil</w:t>
            </w:r>
          </w:p>
        </w:tc>
        <w:tc>
          <w:tcPr>
            <w:tcW w:w="1432" w:type="dxa"/>
            <w:tcBorders>
              <w:right w:val="nil"/>
            </w:tcBorders>
            <w:vAlign w:val="top"/>
          </w:tcPr>
          <w:p w14:paraId="2D08C57A">
            <w:pPr>
              <w:pStyle w:val="8"/>
              <w:spacing w:before="65" w:line="237" w:lineRule="exact"/>
              <w:ind w:left="555"/>
            </w:pPr>
            <w:r>
              <w:rPr>
                <w:color w:val="5F6A72"/>
                <w:spacing w:val="-6"/>
                <w:position w:val="1"/>
              </w:rPr>
              <w:t>49.5</w:t>
            </w:r>
          </w:p>
        </w:tc>
        <w:tc>
          <w:tcPr>
            <w:tcW w:w="1432" w:type="dxa"/>
            <w:tcBorders>
              <w:left w:val="nil"/>
              <w:right w:val="nil"/>
            </w:tcBorders>
            <w:vAlign w:val="top"/>
          </w:tcPr>
          <w:p w14:paraId="29E2BDF3">
            <w:pPr>
              <w:pStyle w:val="8"/>
              <w:spacing w:before="65" w:line="237" w:lineRule="exact"/>
              <w:ind w:left="613"/>
            </w:pPr>
            <w:r>
              <w:rPr>
                <w:color w:val="5F6A72"/>
                <w:spacing w:val="-7"/>
                <w:position w:val="1"/>
              </w:rPr>
              <w:t>6.6</w:t>
            </w:r>
          </w:p>
        </w:tc>
        <w:tc>
          <w:tcPr>
            <w:tcW w:w="1432" w:type="dxa"/>
            <w:tcBorders>
              <w:left w:val="nil"/>
              <w:right w:val="nil"/>
            </w:tcBorders>
            <w:vAlign w:val="top"/>
          </w:tcPr>
          <w:p w14:paraId="5D037A9C">
            <w:pPr>
              <w:pStyle w:val="8"/>
              <w:spacing w:before="65" w:line="237" w:lineRule="exact"/>
              <w:ind w:left="564"/>
            </w:pPr>
            <w:r>
              <w:rPr>
                <w:color w:val="5F6A72"/>
                <w:spacing w:val="-7"/>
                <w:position w:val="1"/>
              </w:rPr>
              <w:t>68.1</w:t>
            </w:r>
          </w:p>
        </w:tc>
        <w:tc>
          <w:tcPr>
            <w:tcW w:w="1432" w:type="dxa"/>
            <w:tcBorders>
              <w:left w:val="nil"/>
              <w:right w:val="nil"/>
            </w:tcBorders>
            <w:shd w:val="clear" w:color="auto" w:fill="A1D7EF"/>
            <w:vAlign w:val="top"/>
          </w:tcPr>
          <w:p w14:paraId="656688E4">
            <w:pPr>
              <w:pStyle w:val="8"/>
              <w:spacing w:before="65" w:line="239" w:lineRule="exact"/>
              <w:ind w:left="559"/>
            </w:pPr>
            <w:r>
              <w:rPr>
                <w:color w:val="5F6A72"/>
                <w:spacing w:val="-6"/>
                <w:position w:val="1"/>
              </w:rPr>
              <w:t>41.4</w:t>
            </w:r>
          </w:p>
        </w:tc>
        <w:tc>
          <w:tcPr>
            <w:tcW w:w="1432" w:type="dxa"/>
            <w:tcBorders>
              <w:left w:val="nil"/>
              <w:right w:val="nil"/>
            </w:tcBorders>
            <w:shd w:val="clear" w:color="auto" w:fill="A1D7EF"/>
            <w:vAlign w:val="top"/>
          </w:tcPr>
          <w:p w14:paraId="32657F6C">
            <w:pPr>
              <w:pStyle w:val="8"/>
              <w:spacing w:before="65" w:line="237" w:lineRule="exact"/>
              <w:ind w:left="559"/>
            </w:pPr>
            <w:r>
              <w:rPr>
                <w:color w:val="5F6A72"/>
                <w:spacing w:val="-6"/>
                <w:position w:val="1"/>
              </w:rPr>
              <w:t>32.0</w:t>
            </w:r>
          </w:p>
        </w:tc>
      </w:tr>
      <w:tr w14:paraId="1474A4D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shd w:val="clear" w:color="auto" w:fill="EAF9FF"/>
            <w:vAlign w:val="top"/>
          </w:tcPr>
          <w:p w14:paraId="1A12FC80">
            <w:pPr>
              <w:pStyle w:val="8"/>
              <w:spacing w:before="65" w:line="237" w:lineRule="exact"/>
              <w:ind w:left="18"/>
            </w:pPr>
            <w:r>
              <w:rPr>
                <w:color w:val="2A8ABF"/>
                <w:spacing w:val="-11"/>
                <w:position w:val="1"/>
              </w:rPr>
              <w:t>Mexico</w:t>
            </w:r>
          </w:p>
        </w:tc>
        <w:tc>
          <w:tcPr>
            <w:tcW w:w="1432" w:type="dxa"/>
            <w:tcBorders>
              <w:right w:val="nil"/>
            </w:tcBorders>
            <w:shd w:val="clear" w:color="auto" w:fill="EAF9FF"/>
            <w:vAlign w:val="top"/>
          </w:tcPr>
          <w:p w14:paraId="2BE0C06B">
            <w:pPr>
              <w:pStyle w:val="8"/>
              <w:spacing w:before="65" w:line="237" w:lineRule="exact"/>
              <w:ind w:left="559"/>
            </w:pPr>
            <w:r>
              <w:rPr>
                <w:color w:val="5F6A72"/>
                <w:spacing w:val="-7"/>
                <w:position w:val="1"/>
              </w:rPr>
              <w:t>86.3</w:t>
            </w:r>
          </w:p>
        </w:tc>
        <w:tc>
          <w:tcPr>
            <w:tcW w:w="1432" w:type="dxa"/>
            <w:tcBorders>
              <w:left w:val="nil"/>
              <w:right w:val="nil"/>
            </w:tcBorders>
            <w:shd w:val="clear" w:color="auto" w:fill="EAF9FF"/>
            <w:vAlign w:val="top"/>
          </w:tcPr>
          <w:p w14:paraId="54D7C99D">
            <w:pPr>
              <w:pStyle w:val="8"/>
              <w:spacing w:before="65" w:line="237" w:lineRule="exact"/>
              <w:ind w:left="612"/>
            </w:pPr>
            <w:r>
              <w:rPr>
                <w:color w:val="5F6A72"/>
                <w:spacing w:val="-7"/>
                <w:position w:val="1"/>
              </w:rPr>
              <w:t>9.9</w:t>
            </w:r>
          </w:p>
        </w:tc>
        <w:tc>
          <w:tcPr>
            <w:tcW w:w="1432" w:type="dxa"/>
            <w:tcBorders>
              <w:left w:val="nil"/>
              <w:right w:val="nil"/>
            </w:tcBorders>
            <w:shd w:val="clear" w:color="auto" w:fill="EAF9FF"/>
            <w:vAlign w:val="top"/>
          </w:tcPr>
          <w:p w14:paraId="4712B323">
            <w:pPr>
              <w:pStyle w:val="8"/>
              <w:spacing w:before="65" w:line="237" w:lineRule="exact"/>
              <w:ind w:left="564"/>
            </w:pPr>
            <w:r>
              <w:rPr>
                <w:color w:val="5F6A72"/>
                <w:spacing w:val="-7"/>
                <w:position w:val="1"/>
              </w:rPr>
              <w:t>56.0</w:t>
            </w:r>
          </w:p>
        </w:tc>
        <w:tc>
          <w:tcPr>
            <w:tcW w:w="1432" w:type="dxa"/>
            <w:tcBorders>
              <w:left w:val="nil"/>
              <w:right w:val="nil"/>
            </w:tcBorders>
            <w:shd w:val="clear" w:color="auto" w:fill="A1D7EF"/>
            <w:vAlign w:val="top"/>
          </w:tcPr>
          <w:p w14:paraId="35C9D935">
            <w:pPr>
              <w:pStyle w:val="8"/>
              <w:spacing w:before="65" w:line="237" w:lineRule="exact"/>
              <w:ind w:left="564"/>
            </w:pPr>
            <w:r>
              <w:rPr>
                <w:color w:val="5F6A72"/>
                <w:spacing w:val="-7"/>
                <w:position w:val="1"/>
              </w:rPr>
              <w:t>50.7</w:t>
            </w:r>
          </w:p>
        </w:tc>
        <w:tc>
          <w:tcPr>
            <w:tcW w:w="1432" w:type="dxa"/>
            <w:tcBorders>
              <w:left w:val="nil"/>
              <w:right w:val="nil"/>
            </w:tcBorders>
            <w:shd w:val="clear" w:color="auto" w:fill="A1D7EF"/>
            <w:vAlign w:val="top"/>
          </w:tcPr>
          <w:p w14:paraId="05E8A50D">
            <w:pPr>
              <w:pStyle w:val="8"/>
              <w:spacing w:before="65" w:line="237" w:lineRule="exact"/>
              <w:ind w:left="559"/>
            </w:pPr>
            <w:r>
              <w:rPr>
                <w:color w:val="5F6A72"/>
                <w:spacing w:val="-6"/>
                <w:position w:val="1"/>
              </w:rPr>
              <w:t>39.8</w:t>
            </w:r>
          </w:p>
        </w:tc>
      </w:tr>
      <w:tr w14:paraId="649580A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vAlign w:val="top"/>
          </w:tcPr>
          <w:p w14:paraId="02E5A81D">
            <w:pPr>
              <w:pStyle w:val="8"/>
              <w:spacing w:before="65" w:line="234" w:lineRule="auto"/>
              <w:ind w:left="3"/>
            </w:pPr>
            <w:r>
              <w:rPr>
                <w:color w:val="2A8ABF"/>
                <w:spacing w:val="-4"/>
              </w:rPr>
              <w:t>Argentina</w:t>
            </w:r>
          </w:p>
        </w:tc>
        <w:tc>
          <w:tcPr>
            <w:tcW w:w="1432" w:type="dxa"/>
            <w:tcBorders>
              <w:right w:val="nil"/>
            </w:tcBorders>
            <w:vAlign w:val="top"/>
          </w:tcPr>
          <w:p w14:paraId="08CE3F5A">
            <w:pPr>
              <w:pStyle w:val="8"/>
              <w:spacing w:before="65" w:line="238" w:lineRule="exact"/>
              <w:ind w:left="555"/>
            </w:pPr>
            <w:r>
              <w:rPr>
                <w:color w:val="5F6A72"/>
                <w:spacing w:val="-6"/>
                <w:position w:val="1"/>
              </w:rPr>
              <w:t>43.4</w:t>
            </w:r>
          </w:p>
        </w:tc>
        <w:tc>
          <w:tcPr>
            <w:tcW w:w="1432" w:type="dxa"/>
            <w:tcBorders>
              <w:left w:val="nil"/>
              <w:right w:val="nil"/>
            </w:tcBorders>
            <w:vAlign w:val="top"/>
          </w:tcPr>
          <w:p w14:paraId="75971EE0">
            <w:pPr>
              <w:pStyle w:val="8"/>
              <w:spacing w:before="65" w:line="238" w:lineRule="exact"/>
              <w:ind w:left="559"/>
            </w:pPr>
            <w:r>
              <w:rPr>
                <w:color w:val="5F6A72"/>
                <w:spacing w:val="-6"/>
                <w:position w:val="1"/>
              </w:rPr>
              <w:t>35.2</w:t>
            </w:r>
          </w:p>
        </w:tc>
        <w:tc>
          <w:tcPr>
            <w:tcW w:w="1432" w:type="dxa"/>
            <w:tcBorders>
              <w:left w:val="nil"/>
              <w:right w:val="nil"/>
            </w:tcBorders>
            <w:vAlign w:val="top"/>
          </w:tcPr>
          <w:p w14:paraId="17C77343">
            <w:pPr>
              <w:pStyle w:val="8"/>
              <w:spacing w:before="65" w:line="238" w:lineRule="exact"/>
              <w:ind w:left="564"/>
            </w:pPr>
            <w:r>
              <w:rPr>
                <w:color w:val="5F6A72"/>
                <w:spacing w:val="-7"/>
                <w:position w:val="1"/>
              </w:rPr>
              <w:t>61.5</w:t>
            </w:r>
          </w:p>
        </w:tc>
        <w:tc>
          <w:tcPr>
            <w:tcW w:w="1432" w:type="dxa"/>
            <w:tcBorders>
              <w:left w:val="nil"/>
              <w:right w:val="nil"/>
            </w:tcBorders>
            <w:shd w:val="clear" w:color="auto" w:fill="A1D7EF"/>
            <w:vAlign w:val="top"/>
          </w:tcPr>
          <w:p w14:paraId="186C4FA6">
            <w:pPr>
              <w:pStyle w:val="8"/>
              <w:spacing w:before="65" w:line="238" w:lineRule="exact"/>
              <w:ind w:left="559"/>
            </w:pPr>
            <w:r>
              <w:rPr>
                <w:color w:val="5F6A72"/>
                <w:spacing w:val="-6"/>
                <w:position w:val="1"/>
              </w:rPr>
              <w:t>46.7</w:t>
            </w:r>
          </w:p>
        </w:tc>
        <w:tc>
          <w:tcPr>
            <w:tcW w:w="1432" w:type="dxa"/>
            <w:tcBorders>
              <w:left w:val="nil"/>
              <w:right w:val="nil"/>
            </w:tcBorders>
            <w:shd w:val="clear" w:color="auto" w:fill="A1D7EF"/>
            <w:vAlign w:val="top"/>
          </w:tcPr>
          <w:p w14:paraId="485BC825">
            <w:pPr>
              <w:pStyle w:val="8"/>
              <w:spacing w:before="65" w:line="238" w:lineRule="exact"/>
              <w:ind w:left="560"/>
            </w:pPr>
            <w:r>
              <w:rPr>
                <w:color w:val="5F6A72"/>
                <w:spacing w:val="-6"/>
                <w:position w:val="1"/>
              </w:rPr>
              <w:t>40.2</w:t>
            </w:r>
          </w:p>
        </w:tc>
      </w:tr>
      <w:tr w14:paraId="0786776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shd w:val="clear" w:color="auto" w:fill="EAF9FF"/>
            <w:vAlign w:val="top"/>
          </w:tcPr>
          <w:p w14:paraId="0ED9B053">
            <w:pPr>
              <w:pStyle w:val="8"/>
              <w:spacing w:before="66" w:line="237" w:lineRule="exact"/>
              <w:ind w:left="12"/>
            </w:pPr>
            <w:r>
              <w:rPr>
                <w:color w:val="2A8ABF"/>
                <w:spacing w:val="-7"/>
                <w:position w:val="1"/>
              </w:rPr>
              <w:t>Colombia</w:t>
            </w:r>
          </w:p>
        </w:tc>
        <w:tc>
          <w:tcPr>
            <w:tcW w:w="1432" w:type="dxa"/>
            <w:tcBorders>
              <w:right w:val="nil"/>
            </w:tcBorders>
            <w:shd w:val="clear" w:color="auto" w:fill="EAF9FF"/>
            <w:vAlign w:val="top"/>
          </w:tcPr>
          <w:p w14:paraId="075E43EA">
            <w:pPr>
              <w:pStyle w:val="8"/>
              <w:spacing w:before="66" w:line="237" w:lineRule="exact"/>
              <w:ind w:left="555"/>
            </w:pPr>
            <w:r>
              <w:rPr>
                <w:color w:val="5F6A72"/>
                <w:spacing w:val="-6"/>
                <w:position w:val="1"/>
              </w:rPr>
              <w:t>78.6</w:t>
            </w:r>
          </w:p>
        </w:tc>
        <w:tc>
          <w:tcPr>
            <w:tcW w:w="1432" w:type="dxa"/>
            <w:tcBorders>
              <w:left w:val="nil"/>
              <w:right w:val="nil"/>
            </w:tcBorders>
            <w:shd w:val="clear" w:color="auto" w:fill="EAF9FF"/>
            <w:vAlign w:val="top"/>
          </w:tcPr>
          <w:p w14:paraId="38D5942C">
            <w:pPr>
              <w:pStyle w:val="8"/>
              <w:spacing w:before="66" w:line="237" w:lineRule="exact"/>
              <w:ind w:left="561"/>
            </w:pPr>
            <w:r>
              <w:rPr>
                <w:color w:val="5F6A72"/>
                <w:spacing w:val="-6"/>
                <w:position w:val="1"/>
              </w:rPr>
              <w:t>28.6</w:t>
            </w:r>
          </w:p>
        </w:tc>
        <w:tc>
          <w:tcPr>
            <w:tcW w:w="1432" w:type="dxa"/>
            <w:tcBorders>
              <w:left w:val="nil"/>
              <w:right w:val="nil"/>
            </w:tcBorders>
            <w:shd w:val="clear" w:color="auto" w:fill="EAF9FF"/>
            <w:vAlign w:val="top"/>
          </w:tcPr>
          <w:p w14:paraId="46CA014A">
            <w:pPr>
              <w:pStyle w:val="8"/>
              <w:spacing w:before="66" w:line="237" w:lineRule="exact"/>
              <w:ind w:left="564"/>
            </w:pPr>
            <w:r>
              <w:rPr>
                <w:color w:val="5F6A72"/>
                <w:spacing w:val="-7"/>
                <w:position w:val="1"/>
              </w:rPr>
              <w:t>62.6</w:t>
            </w:r>
          </w:p>
        </w:tc>
        <w:tc>
          <w:tcPr>
            <w:tcW w:w="1432" w:type="dxa"/>
            <w:tcBorders>
              <w:left w:val="nil"/>
              <w:right w:val="nil"/>
            </w:tcBorders>
            <w:shd w:val="clear" w:color="auto" w:fill="A1D7EF"/>
            <w:vAlign w:val="top"/>
          </w:tcPr>
          <w:p w14:paraId="0566A5A8">
            <w:pPr>
              <w:pStyle w:val="8"/>
              <w:spacing w:before="66" w:line="237" w:lineRule="exact"/>
              <w:ind w:left="564"/>
            </w:pPr>
            <w:r>
              <w:rPr>
                <w:color w:val="5F6A72"/>
                <w:spacing w:val="-7"/>
                <w:position w:val="1"/>
              </w:rPr>
              <w:t>56.6</w:t>
            </w:r>
          </w:p>
        </w:tc>
        <w:tc>
          <w:tcPr>
            <w:tcW w:w="1432" w:type="dxa"/>
            <w:tcBorders>
              <w:left w:val="nil"/>
              <w:right w:val="nil"/>
            </w:tcBorders>
            <w:shd w:val="clear" w:color="auto" w:fill="A1D7EF"/>
            <w:vAlign w:val="top"/>
          </w:tcPr>
          <w:p w14:paraId="5E43C779">
            <w:pPr>
              <w:pStyle w:val="8"/>
              <w:spacing w:before="66" w:line="237" w:lineRule="exact"/>
              <w:ind w:left="560"/>
            </w:pPr>
            <w:r>
              <w:rPr>
                <w:color w:val="5F6A72"/>
                <w:spacing w:val="-6"/>
                <w:position w:val="1"/>
              </w:rPr>
              <w:t>45.7</w:t>
            </w:r>
          </w:p>
        </w:tc>
      </w:tr>
      <w:tr w14:paraId="29FB7C8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vAlign w:val="top"/>
          </w:tcPr>
          <w:p w14:paraId="4FF7BA87">
            <w:pPr>
              <w:pStyle w:val="8"/>
              <w:spacing w:before="108" w:line="183" w:lineRule="auto"/>
              <w:ind w:left="18"/>
            </w:pPr>
            <w:r>
              <w:rPr>
                <w:color w:val="2A8ABF"/>
                <w:spacing w:val="-13"/>
              </w:rPr>
              <w:t>Peru</w:t>
            </w:r>
          </w:p>
        </w:tc>
        <w:tc>
          <w:tcPr>
            <w:tcW w:w="1432" w:type="dxa"/>
            <w:tcBorders>
              <w:right w:val="nil"/>
            </w:tcBorders>
            <w:vAlign w:val="top"/>
          </w:tcPr>
          <w:p w14:paraId="579C753D">
            <w:pPr>
              <w:pStyle w:val="8"/>
              <w:spacing w:before="66" w:line="237" w:lineRule="exact"/>
              <w:ind w:left="555"/>
            </w:pPr>
            <w:r>
              <w:rPr>
                <w:color w:val="5F6A72"/>
                <w:spacing w:val="-6"/>
                <w:position w:val="1"/>
              </w:rPr>
              <w:t>30.8</w:t>
            </w:r>
          </w:p>
        </w:tc>
        <w:tc>
          <w:tcPr>
            <w:tcW w:w="1432" w:type="dxa"/>
            <w:tcBorders>
              <w:left w:val="nil"/>
              <w:right w:val="nil"/>
            </w:tcBorders>
            <w:vAlign w:val="top"/>
          </w:tcPr>
          <w:p w14:paraId="3520B0EC">
            <w:pPr>
              <w:pStyle w:val="8"/>
              <w:spacing w:before="66" w:line="237" w:lineRule="exact"/>
              <w:ind w:left="559"/>
            </w:pPr>
            <w:r>
              <w:rPr>
                <w:color w:val="5F6A72"/>
                <w:spacing w:val="-6"/>
                <w:position w:val="1"/>
              </w:rPr>
              <w:t>47.3</w:t>
            </w:r>
          </w:p>
        </w:tc>
        <w:tc>
          <w:tcPr>
            <w:tcW w:w="1432" w:type="dxa"/>
            <w:tcBorders>
              <w:left w:val="nil"/>
              <w:right w:val="nil"/>
            </w:tcBorders>
            <w:vAlign w:val="top"/>
          </w:tcPr>
          <w:p w14:paraId="0C1A4499">
            <w:pPr>
              <w:pStyle w:val="8"/>
              <w:spacing w:before="66" w:line="237" w:lineRule="exact"/>
              <w:ind w:left="559"/>
            </w:pPr>
            <w:r>
              <w:rPr>
                <w:color w:val="5F6A72"/>
                <w:spacing w:val="-6"/>
                <w:position w:val="1"/>
              </w:rPr>
              <w:t>42.9</w:t>
            </w:r>
          </w:p>
        </w:tc>
        <w:tc>
          <w:tcPr>
            <w:tcW w:w="1432" w:type="dxa"/>
            <w:tcBorders>
              <w:left w:val="nil"/>
              <w:right w:val="nil"/>
            </w:tcBorders>
            <w:shd w:val="clear" w:color="auto" w:fill="A1D7EF"/>
            <w:vAlign w:val="top"/>
          </w:tcPr>
          <w:p w14:paraId="3D91764E">
            <w:pPr>
              <w:pStyle w:val="8"/>
              <w:spacing w:before="66" w:line="237" w:lineRule="exact"/>
              <w:ind w:left="559"/>
            </w:pPr>
            <w:r>
              <w:rPr>
                <w:color w:val="5F6A72"/>
                <w:spacing w:val="-6"/>
                <w:position w:val="1"/>
              </w:rPr>
              <w:t>40.3</w:t>
            </w:r>
          </w:p>
        </w:tc>
        <w:tc>
          <w:tcPr>
            <w:tcW w:w="1432" w:type="dxa"/>
            <w:tcBorders>
              <w:left w:val="nil"/>
              <w:right w:val="nil"/>
            </w:tcBorders>
            <w:shd w:val="clear" w:color="auto" w:fill="A1D7EF"/>
            <w:vAlign w:val="top"/>
          </w:tcPr>
          <w:p w14:paraId="0779BCE6">
            <w:pPr>
              <w:pStyle w:val="8"/>
              <w:spacing w:before="66" w:line="237" w:lineRule="exact"/>
              <w:ind w:left="564"/>
            </w:pPr>
            <w:r>
              <w:rPr>
                <w:color w:val="5F6A72"/>
                <w:spacing w:val="-7"/>
                <w:position w:val="1"/>
              </w:rPr>
              <w:t>50.5</w:t>
            </w:r>
          </w:p>
        </w:tc>
      </w:tr>
      <w:tr w14:paraId="7D51508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3044" w:type="dxa"/>
            <w:tcBorders>
              <w:left w:val="nil"/>
            </w:tcBorders>
            <w:shd w:val="clear" w:color="auto" w:fill="EAF9FF"/>
            <w:vAlign w:val="top"/>
          </w:tcPr>
          <w:p w14:paraId="67F33EC9">
            <w:pPr>
              <w:pStyle w:val="8"/>
              <w:spacing w:before="67" w:line="237" w:lineRule="exact"/>
              <w:ind w:left="12"/>
            </w:pPr>
            <w:r>
              <w:rPr>
                <w:color w:val="2A8ABF"/>
                <w:spacing w:val="-9"/>
                <w:position w:val="1"/>
              </w:rPr>
              <w:t>Chile</w:t>
            </w:r>
          </w:p>
        </w:tc>
        <w:tc>
          <w:tcPr>
            <w:tcW w:w="1432" w:type="dxa"/>
            <w:tcBorders>
              <w:right w:val="nil"/>
            </w:tcBorders>
            <w:shd w:val="clear" w:color="auto" w:fill="EAF9FF"/>
            <w:vAlign w:val="top"/>
          </w:tcPr>
          <w:p w14:paraId="21EA1F76">
            <w:pPr>
              <w:pStyle w:val="8"/>
              <w:spacing w:before="67" w:line="237" w:lineRule="exact"/>
              <w:ind w:left="607"/>
            </w:pPr>
            <w:r>
              <w:rPr>
                <w:color w:val="5F6A72"/>
                <w:spacing w:val="-7"/>
                <w:position w:val="1"/>
              </w:rPr>
              <w:t>8.8</w:t>
            </w:r>
          </w:p>
        </w:tc>
        <w:tc>
          <w:tcPr>
            <w:tcW w:w="1432" w:type="dxa"/>
            <w:tcBorders>
              <w:left w:val="nil"/>
              <w:right w:val="nil"/>
            </w:tcBorders>
            <w:shd w:val="clear" w:color="auto" w:fill="EAF9FF"/>
            <w:vAlign w:val="top"/>
          </w:tcPr>
          <w:p w14:paraId="510A5143">
            <w:pPr>
              <w:pStyle w:val="8"/>
              <w:spacing w:before="67" w:line="237" w:lineRule="exact"/>
              <w:ind w:left="563"/>
            </w:pPr>
            <w:r>
              <w:rPr>
                <w:color w:val="5F6A72"/>
                <w:spacing w:val="-7"/>
                <w:position w:val="1"/>
              </w:rPr>
              <w:t>56.0</w:t>
            </w:r>
          </w:p>
        </w:tc>
        <w:tc>
          <w:tcPr>
            <w:tcW w:w="1432" w:type="dxa"/>
            <w:tcBorders>
              <w:left w:val="nil"/>
              <w:right w:val="nil"/>
            </w:tcBorders>
            <w:shd w:val="clear" w:color="auto" w:fill="EAF9FF"/>
            <w:vAlign w:val="top"/>
          </w:tcPr>
          <w:p w14:paraId="42AE5D1C">
            <w:pPr>
              <w:pStyle w:val="8"/>
              <w:spacing w:before="67" w:line="237" w:lineRule="exact"/>
              <w:ind w:left="559"/>
            </w:pPr>
            <w:r>
              <w:rPr>
                <w:color w:val="5F6A72"/>
                <w:spacing w:val="-6"/>
                <w:position w:val="1"/>
              </w:rPr>
              <w:t>75.8</w:t>
            </w:r>
          </w:p>
        </w:tc>
        <w:tc>
          <w:tcPr>
            <w:tcW w:w="1432" w:type="dxa"/>
            <w:tcBorders>
              <w:left w:val="nil"/>
              <w:right w:val="nil"/>
            </w:tcBorders>
            <w:shd w:val="clear" w:color="auto" w:fill="A1D7EF"/>
            <w:vAlign w:val="top"/>
          </w:tcPr>
          <w:p w14:paraId="30FD25FE">
            <w:pPr>
              <w:pStyle w:val="8"/>
              <w:spacing w:before="67" w:line="237" w:lineRule="exact"/>
              <w:ind w:left="559"/>
            </w:pPr>
            <w:r>
              <w:rPr>
                <w:color w:val="5F6A72"/>
                <w:spacing w:val="-6"/>
                <w:position w:val="1"/>
              </w:rPr>
              <w:t>46.9</w:t>
            </w:r>
          </w:p>
        </w:tc>
        <w:tc>
          <w:tcPr>
            <w:tcW w:w="1432" w:type="dxa"/>
            <w:tcBorders>
              <w:left w:val="nil"/>
              <w:right w:val="nil"/>
            </w:tcBorders>
            <w:shd w:val="clear" w:color="auto" w:fill="A1D7EF"/>
            <w:vAlign w:val="top"/>
          </w:tcPr>
          <w:p w14:paraId="3F19F4C1">
            <w:pPr>
              <w:pStyle w:val="8"/>
              <w:spacing w:before="67" w:line="237" w:lineRule="exact"/>
              <w:ind w:left="564"/>
            </w:pPr>
            <w:r>
              <w:rPr>
                <w:color w:val="5F6A72"/>
                <w:spacing w:val="-7"/>
                <w:position w:val="1"/>
              </w:rPr>
              <w:t>56.3</w:t>
            </w:r>
          </w:p>
        </w:tc>
      </w:tr>
      <w:tr w14:paraId="291121E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3044" w:type="dxa"/>
            <w:tcBorders>
              <w:left w:val="nil"/>
            </w:tcBorders>
            <w:vAlign w:val="top"/>
          </w:tcPr>
          <w:p w14:paraId="28E0F350">
            <w:pPr>
              <w:pStyle w:val="8"/>
              <w:spacing w:before="66" w:line="237" w:lineRule="exact"/>
              <w:ind w:left="18"/>
            </w:pPr>
            <w:r>
              <w:rPr>
                <w:color w:val="2A8ABF"/>
                <w:spacing w:val="-12"/>
                <w:position w:val="1"/>
              </w:rPr>
              <w:t>Ecuador</w:t>
            </w:r>
          </w:p>
        </w:tc>
        <w:tc>
          <w:tcPr>
            <w:tcW w:w="1432" w:type="dxa"/>
            <w:tcBorders>
              <w:right w:val="nil"/>
            </w:tcBorders>
            <w:vAlign w:val="top"/>
          </w:tcPr>
          <w:p w14:paraId="6C224E9D">
            <w:pPr>
              <w:pStyle w:val="8"/>
              <w:spacing w:before="66" w:line="237" w:lineRule="exact"/>
              <w:ind w:left="559"/>
            </w:pPr>
            <w:r>
              <w:rPr>
                <w:color w:val="5F6A72"/>
                <w:spacing w:val="-7"/>
                <w:position w:val="1"/>
              </w:rPr>
              <w:t>83.0</w:t>
            </w:r>
          </w:p>
        </w:tc>
        <w:tc>
          <w:tcPr>
            <w:tcW w:w="1432" w:type="dxa"/>
            <w:tcBorders>
              <w:left w:val="nil"/>
              <w:right w:val="nil"/>
            </w:tcBorders>
            <w:vAlign w:val="top"/>
          </w:tcPr>
          <w:p w14:paraId="4C0C6669">
            <w:pPr>
              <w:pStyle w:val="8"/>
              <w:spacing w:before="66" w:line="237" w:lineRule="exact"/>
              <w:ind w:left="563"/>
            </w:pPr>
            <w:r>
              <w:rPr>
                <w:color w:val="5F6A72"/>
                <w:spacing w:val="-7"/>
                <w:position w:val="1"/>
              </w:rPr>
              <w:t>59.3</w:t>
            </w:r>
          </w:p>
        </w:tc>
        <w:tc>
          <w:tcPr>
            <w:tcW w:w="1432" w:type="dxa"/>
            <w:tcBorders>
              <w:left w:val="nil"/>
              <w:right w:val="nil"/>
            </w:tcBorders>
            <w:vAlign w:val="top"/>
          </w:tcPr>
          <w:p w14:paraId="4D837BB7">
            <w:pPr>
              <w:pStyle w:val="8"/>
              <w:spacing w:before="66" w:line="237" w:lineRule="exact"/>
              <w:ind w:left="559"/>
            </w:pPr>
            <w:r>
              <w:rPr>
                <w:color w:val="5F6A72"/>
                <w:spacing w:val="-6"/>
                <w:position w:val="1"/>
              </w:rPr>
              <w:t>39.6</w:t>
            </w:r>
          </w:p>
        </w:tc>
        <w:tc>
          <w:tcPr>
            <w:tcW w:w="1432" w:type="dxa"/>
            <w:tcBorders>
              <w:left w:val="nil"/>
              <w:right w:val="nil"/>
            </w:tcBorders>
            <w:shd w:val="clear" w:color="auto" w:fill="A1D7EF"/>
            <w:vAlign w:val="top"/>
          </w:tcPr>
          <w:p w14:paraId="64D5B09E">
            <w:pPr>
              <w:pStyle w:val="8"/>
              <w:spacing w:before="66" w:line="237" w:lineRule="exact"/>
              <w:ind w:left="564"/>
            </w:pPr>
            <w:r>
              <w:rPr>
                <w:color w:val="5F6A72"/>
                <w:spacing w:val="-7"/>
                <w:position w:val="1"/>
              </w:rPr>
              <w:t>60.6</w:t>
            </w:r>
          </w:p>
        </w:tc>
        <w:tc>
          <w:tcPr>
            <w:tcW w:w="1432" w:type="dxa"/>
            <w:tcBorders>
              <w:left w:val="nil"/>
              <w:right w:val="nil"/>
            </w:tcBorders>
            <w:shd w:val="clear" w:color="auto" w:fill="A1D7EF"/>
            <w:vAlign w:val="top"/>
          </w:tcPr>
          <w:p w14:paraId="29D0D953">
            <w:pPr>
              <w:pStyle w:val="8"/>
              <w:spacing w:before="66" w:line="237" w:lineRule="exact"/>
              <w:ind w:left="564"/>
            </w:pPr>
            <w:r>
              <w:rPr>
                <w:color w:val="5F6A72"/>
                <w:spacing w:val="-7"/>
                <w:position w:val="1"/>
              </w:rPr>
              <w:t>54.5</w:t>
            </w:r>
          </w:p>
        </w:tc>
      </w:tr>
      <w:tr w14:paraId="572B453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shd w:val="clear" w:color="auto" w:fill="EAF9FF"/>
            <w:vAlign w:val="top"/>
          </w:tcPr>
          <w:p w14:paraId="3E75F89E">
            <w:pPr>
              <w:pStyle w:val="8"/>
              <w:spacing w:before="65" w:line="238" w:lineRule="exact"/>
              <w:ind w:left="3"/>
            </w:pPr>
            <w:r>
              <w:rPr>
                <w:color w:val="2A8ABF"/>
                <w:spacing w:val="-8"/>
                <w:position w:val="1"/>
              </w:rPr>
              <w:t>Venezuela</w:t>
            </w:r>
          </w:p>
        </w:tc>
        <w:tc>
          <w:tcPr>
            <w:tcW w:w="1432" w:type="dxa"/>
            <w:tcBorders>
              <w:right w:val="nil"/>
            </w:tcBorders>
            <w:shd w:val="clear" w:color="auto" w:fill="EAF9FF"/>
            <w:vAlign w:val="top"/>
          </w:tcPr>
          <w:p w14:paraId="220B6D07">
            <w:pPr>
              <w:pStyle w:val="8"/>
              <w:spacing w:before="65" w:line="238" w:lineRule="exact"/>
              <w:ind w:left="559"/>
            </w:pPr>
            <w:r>
              <w:rPr>
                <w:color w:val="5F6A72"/>
                <w:spacing w:val="-7"/>
                <w:position w:val="1"/>
              </w:rPr>
              <w:t>93.4</w:t>
            </w:r>
          </w:p>
        </w:tc>
        <w:tc>
          <w:tcPr>
            <w:tcW w:w="1432" w:type="dxa"/>
            <w:tcBorders>
              <w:left w:val="nil"/>
              <w:right w:val="nil"/>
            </w:tcBorders>
            <w:shd w:val="clear" w:color="auto" w:fill="EAF9FF"/>
            <w:vAlign w:val="top"/>
          </w:tcPr>
          <w:p w14:paraId="17E0A7F8">
            <w:pPr>
              <w:pStyle w:val="8"/>
              <w:spacing w:before="65" w:line="238" w:lineRule="exact"/>
              <w:ind w:left="563"/>
            </w:pPr>
            <w:r>
              <w:rPr>
                <w:color w:val="5F6A72"/>
                <w:spacing w:val="-7"/>
                <w:position w:val="1"/>
              </w:rPr>
              <w:t>50.5</w:t>
            </w:r>
          </w:p>
        </w:tc>
        <w:tc>
          <w:tcPr>
            <w:tcW w:w="1432" w:type="dxa"/>
            <w:tcBorders>
              <w:left w:val="nil"/>
              <w:right w:val="nil"/>
            </w:tcBorders>
            <w:shd w:val="clear" w:color="auto" w:fill="EAF9FF"/>
            <w:vAlign w:val="top"/>
          </w:tcPr>
          <w:p w14:paraId="2E68DA09">
            <w:pPr>
              <w:pStyle w:val="8"/>
              <w:spacing w:before="65" w:line="238" w:lineRule="exact"/>
              <w:ind w:left="562"/>
            </w:pPr>
            <w:r>
              <w:rPr>
                <w:color w:val="5F6A72"/>
                <w:spacing w:val="-6"/>
                <w:position w:val="1"/>
              </w:rPr>
              <w:t>26.4</w:t>
            </w:r>
          </w:p>
        </w:tc>
        <w:tc>
          <w:tcPr>
            <w:tcW w:w="1432" w:type="dxa"/>
            <w:tcBorders>
              <w:left w:val="nil"/>
              <w:right w:val="nil"/>
            </w:tcBorders>
            <w:shd w:val="clear" w:color="auto" w:fill="A1D7EF"/>
            <w:vAlign w:val="top"/>
          </w:tcPr>
          <w:p w14:paraId="0DCD4A55">
            <w:pPr>
              <w:pStyle w:val="8"/>
              <w:spacing w:before="65" w:line="238" w:lineRule="exact"/>
              <w:ind w:left="564"/>
            </w:pPr>
            <w:r>
              <w:rPr>
                <w:color w:val="5F6A72"/>
                <w:spacing w:val="-7"/>
                <w:position w:val="1"/>
              </w:rPr>
              <w:t>56.8</w:t>
            </w:r>
          </w:p>
        </w:tc>
        <w:tc>
          <w:tcPr>
            <w:tcW w:w="1432" w:type="dxa"/>
            <w:tcBorders>
              <w:left w:val="nil"/>
              <w:right w:val="nil"/>
            </w:tcBorders>
            <w:shd w:val="clear" w:color="auto" w:fill="A1D7EF"/>
            <w:vAlign w:val="top"/>
          </w:tcPr>
          <w:p w14:paraId="4DD72094">
            <w:pPr>
              <w:pStyle w:val="8"/>
              <w:spacing w:before="65" w:line="238" w:lineRule="exact"/>
              <w:ind w:left="564"/>
            </w:pPr>
            <w:r>
              <w:rPr>
                <w:color w:val="5F6A72"/>
                <w:spacing w:val="-7"/>
                <w:position w:val="1"/>
              </w:rPr>
              <w:t>56.2</w:t>
            </w:r>
          </w:p>
        </w:tc>
      </w:tr>
      <w:tr w14:paraId="5553775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3044" w:type="dxa"/>
            <w:tcBorders>
              <w:left w:val="nil"/>
            </w:tcBorders>
            <w:vAlign w:val="top"/>
          </w:tcPr>
          <w:p w14:paraId="79CA0639">
            <w:pPr>
              <w:pStyle w:val="8"/>
              <w:spacing w:before="66" w:line="237" w:lineRule="exact"/>
              <w:ind w:left="18"/>
            </w:pPr>
            <w:r>
              <w:rPr>
                <w:color w:val="2A8ABF"/>
                <w:spacing w:val="-8"/>
                <w:position w:val="1"/>
              </w:rPr>
              <w:t>Bolivia</w:t>
            </w:r>
          </w:p>
        </w:tc>
        <w:tc>
          <w:tcPr>
            <w:tcW w:w="1432" w:type="dxa"/>
            <w:tcBorders>
              <w:right w:val="nil"/>
            </w:tcBorders>
            <w:vAlign w:val="top"/>
          </w:tcPr>
          <w:p w14:paraId="4BADD61C">
            <w:pPr>
              <w:pStyle w:val="8"/>
              <w:spacing w:before="66" w:line="237" w:lineRule="exact"/>
              <w:ind w:left="555"/>
            </w:pPr>
            <w:r>
              <w:rPr>
                <w:color w:val="5F6A72"/>
                <w:spacing w:val="-6"/>
                <w:position w:val="1"/>
              </w:rPr>
              <w:t>78.6</w:t>
            </w:r>
          </w:p>
        </w:tc>
        <w:tc>
          <w:tcPr>
            <w:tcW w:w="1432" w:type="dxa"/>
            <w:tcBorders>
              <w:left w:val="nil"/>
              <w:right w:val="nil"/>
            </w:tcBorders>
            <w:vAlign w:val="top"/>
          </w:tcPr>
          <w:p w14:paraId="152BAA9A">
            <w:pPr>
              <w:pStyle w:val="8"/>
              <w:spacing w:before="66" w:line="237" w:lineRule="exact"/>
              <w:ind w:left="564"/>
            </w:pPr>
            <w:r>
              <w:rPr>
                <w:color w:val="5F6A72"/>
                <w:spacing w:val="-7"/>
                <w:position w:val="1"/>
              </w:rPr>
              <w:t>62.6</w:t>
            </w:r>
          </w:p>
        </w:tc>
        <w:tc>
          <w:tcPr>
            <w:tcW w:w="1432" w:type="dxa"/>
            <w:tcBorders>
              <w:left w:val="nil"/>
              <w:right w:val="nil"/>
            </w:tcBorders>
            <w:vAlign w:val="top"/>
          </w:tcPr>
          <w:p w14:paraId="026FDE01">
            <w:pPr>
              <w:pStyle w:val="8"/>
              <w:spacing w:before="66" w:line="237" w:lineRule="exact"/>
              <w:ind w:left="562"/>
            </w:pPr>
            <w:r>
              <w:rPr>
                <w:color w:val="5F6A72"/>
                <w:spacing w:val="-6"/>
                <w:position w:val="1"/>
              </w:rPr>
              <w:t>29.7</w:t>
            </w:r>
          </w:p>
        </w:tc>
        <w:tc>
          <w:tcPr>
            <w:tcW w:w="1432" w:type="dxa"/>
            <w:tcBorders>
              <w:left w:val="nil"/>
              <w:right w:val="nil"/>
            </w:tcBorders>
            <w:shd w:val="clear" w:color="auto" w:fill="A1D7EF"/>
            <w:vAlign w:val="top"/>
          </w:tcPr>
          <w:p w14:paraId="7BDD3F1B">
            <w:pPr>
              <w:pStyle w:val="8"/>
              <w:spacing w:before="66" w:line="237" w:lineRule="exact"/>
              <w:ind w:left="564"/>
            </w:pPr>
            <w:r>
              <w:rPr>
                <w:color w:val="5F6A72"/>
                <w:spacing w:val="-7"/>
                <w:position w:val="1"/>
              </w:rPr>
              <w:t>57.0</w:t>
            </w:r>
          </w:p>
        </w:tc>
        <w:tc>
          <w:tcPr>
            <w:tcW w:w="1432" w:type="dxa"/>
            <w:tcBorders>
              <w:left w:val="nil"/>
              <w:right w:val="nil"/>
            </w:tcBorders>
            <w:shd w:val="clear" w:color="auto" w:fill="A1D7EF"/>
            <w:vAlign w:val="top"/>
          </w:tcPr>
          <w:p w14:paraId="10F6A3A1">
            <w:pPr>
              <w:pStyle w:val="8"/>
              <w:spacing w:before="66" w:line="237" w:lineRule="exact"/>
              <w:ind w:left="565"/>
            </w:pPr>
            <w:r>
              <w:rPr>
                <w:color w:val="5F6A72"/>
                <w:spacing w:val="-7"/>
                <w:position w:val="1"/>
              </w:rPr>
              <w:t>61.4</w:t>
            </w:r>
          </w:p>
        </w:tc>
      </w:tr>
      <w:tr w14:paraId="104C923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shd w:val="clear" w:color="auto" w:fill="EAF9FF"/>
            <w:vAlign w:val="top"/>
          </w:tcPr>
          <w:p w14:paraId="64AC649E">
            <w:pPr>
              <w:pStyle w:val="8"/>
              <w:spacing w:before="65" w:line="234" w:lineRule="auto"/>
              <w:ind w:left="5"/>
            </w:pPr>
            <w:r>
              <w:rPr>
                <w:color w:val="2A8ABF"/>
                <w:spacing w:val="-9"/>
              </w:rPr>
              <w:t>Trinidad</w:t>
            </w:r>
            <w:r>
              <w:rPr>
                <w:color w:val="2A8ABF"/>
                <w:spacing w:val="-18"/>
              </w:rPr>
              <w:t xml:space="preserve"> </w:t>
            </w:r>
            <w:r>
              <w:rPr>
                <w:color w:val="2A8ABF"/>
                <w:spacing w:val="-9"/>
              </w:rPr>
              <w:t>And</w:t>
            </w:r>
            <w:r>
              <w:rPr>
                <w:color w:val="2A8ABF"/>
                <w:spacing w:val="-16"/>
              </w:rPr>
              <w:t xml:space="preserve"> </w:t>
            </w:r>
            <w:r>
              <w:rPr>
                <w:color w:val="2A8ABF"/>
                <w:spacing w:val="-9"/>
              </w:rPr>
              <w:t>Tobago</w:t>
            </w:r>
          </w:p>
        </w:tc>
        <w:tc>
          <w:tcPr>
            <w:tcW w:w="1432" w:type="dxa"/>
            <w:tcBorders>
              <w:right w:val="nil"/>
            </w:tcBorders>
            <w:shd w:val="clear" w:color="auto" w:fill="EAF9FF"/>
            <w:vAlign w:val="top"/>
          </w:tcPr>
          <w:p w14:paraId="21EC004B">
            <w:pPr>
              <w:pStyle w:val="8"/>
              <w:spacing w:before="65" w:line="237" w:lineRule="exact"/>
              <w:ind w:left="559"/>
            </w:pPr>
            <w:r>
              <w:rPr>
                <w:color w:val="5F6A72"/>
                <w:spacing w:val="-7"/>
                <w:position w:val="1"/>
              </w:rPr>
              <w:t>59.9</w:t>
            </w:r>
          </w:p>
        </w:tc>
        <w:tc>
          <w:tcPr>
            <w:tcW w:w="1432" w:type="dxa"/>
            <w:tcBorders>
              <w:left w:val="nil"/>
              <w:right w:val="nil"/>
            </w:tcBorders>
            <w:shd w:val="clear" w:color="auto" w:fill="EAF9FF"/>
            <w:vAlign w:val="top"/>
          </w:tcPr>
          <w:p w14:paraId="27D9726F">
            <w:pPr>
              <w:pStyle w:val="8"/>
              <w:spacing w:before="65" w:line="237" w:lineRule="exact"/>
              <w:ind w:left="563"/>
            </w:pPr>
            <w:r>
              <w:rPr>
                <w:color w:val="5F6A72"/>
                <w:spacing w:val="-7"/>
                <w:position w:val="1"/>
              </w:rPr>
              <w:t>95.6</w:t>
            </w:r>
          </w:p>
        </w:tc>
        <w:tc>
          <w:tcPr>
            <w:tcW w:w="1432" w:type="dxa"/>
            <w:tcBorders>
              <w:left w:val="nil"/>
              <w:right w:val="nil"/>
            </w:tcBorders>
            <w:shd w:val="clear" w:color="auto" w:fill="EAF9FF"/>
            <w:vAlign w:val="top"/>
          </w:tcPr>
          <w:p w14:paraId="486D8177">
            <w:pPr>
              <w:pStyle w:val="8"/>
              <w:spacing w:before="65" w:line="237" w:lineRule="exact"/>
              <w:ind w:left="559"/>
            </w:pPr>
            <w:r>
              <w:rPr>
                <w:color w:val="5F6A72"/>
                <w:spacing w:val="-6"/>
                <w:position w:val="1"/>
              </w:rPr>
              <w:t>78.0</w:t>
            </w:r>
          </w:p>
        </w:tc>
        <w:tc>
          <w:tcPr>
            <w:tcW w:w="1432" w:type="dxa"/>
            <w:tcBorders>
              <w:left w:val="nil"/>
              <w:right w:val="nil"/>
            </w:tcBorders>
            <w:shd w:val="clear" w:color="auto" w:fill="A1D7EF"/>
            <w:vAlign w:val="top"/>
          </w:tcPr>
          <w:p w14:paraId="05B234AA">
            <w:pPr>
              <w:pStyle w:val="8"/>
              <w:spacing w:before="65" w:line="237" w:lineRule="exact"/>
              <w:ind w:left="559"/>
            </w:pPr>
            <w:r>
              <w:rPr>
                <w:color w:val="5F6A72"/>
                <w:spacing w:val="-6"/>
                <w:position w:val="1"/>
              </w:rPr>
              <w:t>77.8</w:t>
            </w:r>
          </w:p>
        </w:tc>
        <w:tc>
          <w:tcPr>
            <w:tcW w:w="1432" w:type="dxa"/>
            <w:tcBorders>
              <w:left w:val="nil"/>
              <w:right w:val="nil"/>
            </w:tcBorders>
            <w:shd w:val="clear" w:color="auto" w:fill="A1D7EF"/>
            <w:vAlign w:val="top"/>
          </w:tcPr>
          <w:p w14:paraId="06E15699">
            <w:pPr>
              <w:pStyle w:val="8"/>
              <w:spacing w:before="65" w:line="237" w:lineRule="exact"/>
              <w:ind w:left="559"/>
            </w:pPr>
            <w:r>
              <w:rPr>
                <w:color w:val="5F6A72"/>
                <w:spacing w:val="-6"/>
                <w:position w:val="1"/>
              </w:rPr>
              <w:t>72.3</w:t>
            </w:r>
          </w:p>
        </w:tc>
      </w:tr>
      <w:tr w14:paraId="2C5D6AA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vAlign w:val="top"/>
          </w:tcPr>
          <w:p w14:paraId="108BD617">
            <w:pPr>
              <w:pStyle w:val="8"/>
              <w:spacing w:before="105" w:line="184" w:lineRule="auto"/>
              <w:ind w:left="12"/>
            </w:pPr>
            <w:r>
              <w:rPr>
                <w:color w:val="2A8ABF"/>
                <w:spacing w:val="-13"/>
              </w:rPr>
              <w:t>Guyana</w:t>
            </w:r>
          </w:p>
        </w:tc>
        <w:tc>
          <w:tcPr>
            <w:tcW w:w="1432" w:type="dxa"/>
            <w:tcBorders>
              <w:right w:val="nil"/>
            </w:tcBorders>
            <w:vAlign w:val="top"/>
          </w:tcPr>
          <w:p w14:paraId="7B0A1AD2">
            <w:pPr>
              <w:pStyle w:val="8"/>
              <w:spacing w:before="66" w:line="237" w:lineRule="exact"/>
              <w:ind w:left="607"/>
            </w:pPr>
            <w:r>
              <w:rPr>
                <w:color w:val="5F6A72"/>
                <w:spacing w:val="-7"/>
                <w:position w:val="1"/>
              </w:rPr>
              <w:t>8.8</w:t>
            </w:r>
          </w:p>
        </w:tc>
        <w:tc>
          <w:tcPr>
            <w:tcW w:w="1432" w:type="dxa"/>
            <w:tcBorders>
              <w:left w:val="nil"/>
              <w:right w:val="nil"/>
            </w:tcBorders>
            <w:vAlign w:val="top"/>
          </w:tcPr>
          <w:p w14:paraId="67E7CD06">
            <w:pPr>
              <w:pStyle w:val="8"/>
              <w:spacing w:before="66" w:line="237" w:lineRule="exact"/>
              <w:ind w:left="563"/>
            </w:pPr>
            <w:r>
              <w:rPr>
                <w:color w:val="5F6A72"/>
                <w:spacing w:val="-7"/>
                <w:position w:val="1"/>
              </w:rPr>
              <w:t>98.9</w:t>
            </w:r>
          </w:p>
        </w:tc>
        <w:tc>
          <w:tcPr>
            <w:tcW w:w="1432" w:type="dxa"/>
            <w:tcBorders>
              <w:left w:val="nil"/>
              <w:right w:val="nil"/>
            </w:tcBorders>
            <w:vAlign w:val="top"/>
          </w:tcPr>
          <w:p w14:paraId="1236A1EA">
            <w:pPr>
              <w:pStyle w:val="8"/>
              <w:spacing w:before="66" w:line="237" w:lineRule="exact"/>
              <w:ind w:left="564"/>
            </w:pPr>
            <w:r>
              <w:rPr>
                <w:color w:val="5F6A72"/>
                <w:spacing w:val="-7"/>
                <w:position w:val="1"/>
              </w:rPr>
              <w:t>59.3</w:t>
            </w:r>
          </w:p>
        </w:tc>
        <w:tc>
          <w:tcPr>
            <w:tcW w:w="1432" w:type="dxa"/>
            <w:tcBorders>
              <w:left w:val="nil"/>
              <w:right w:val="nil"/>
            </w:tcBorders>
            <w:shd w:val="clear" w:color="auto" w:fill="A1D7EF"/>
            <w:vAlign w:val="top"/>
          </w:tcPr>
          <w:p w14:paraId="08E40124">
            <w:pPr>
              <w:pStyle w:val="8"/>
              <w:spacing w:before="66" w:line="237" w:lineRule="exact"/>
              <w:ind w:left="564"/>
            </w:pPr>
            <w:r>
              <w:rPr>
                <w:color w:val="5F6A72"/>
                <w:spacing w:val="-7"/>
                <w:position w:val="1"/>
              </w:rPr>
              <w:t>55.7</w:t>
            </w:r>
          </w:p>
        </w:tc>
        <w:tc>
          <w:tcPr>
            <w:tcW w:w="1432" w:type="dxa"/>
            <w:tcBorders>
              <w:left w:val="nil"/>
              <w:right w:val="nil"/>
            </w:tcBorders>
            <w:shd w:val="clear" w:color="auto" w:fill="A1D7EF"/>
            <w:vAlign w:val="top"/>
          </w:tcPr>
          <w:p w14:paraId="1DA90C40">
            <w:pPr>
              <w:pStyle w:val="8"/>
              <w:spacing w:before="66" w:line="239" w:lineRule="exact"/>
              <w:ind w:left="559"/>
            </w:pPr>
            <w:r>
              <w:rPr>
                <w:color w:val="5F6A72"/>
                <w:spacing w:val="-6"/>
                <w:position w:val="1"/>
              </w:rPr>
              <w:t>72.1</w:t>
            </w:r>
          </w:p>
        </w:tc>
      </w:tr>
      <w:tr w14:paraId="63CB552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3044" w:type="dxa"/>
            <w:tcBorders>
              <w:left w:val="nil"/>
            </w:tcBorders>
            <w:shd w:val="clear" w:color="auto" w:fill="EAF9FF"/>
            <w:vAlign w:val="top"/>
          </w:tcPr>
          <w:p w14:paraId="694B0F50">
            <w:pPr>
              <w:pStyle w:val="8"/>
              <w:rPr>
                <w:sz w:val="21"/>
              </w:rPr>
            </w:pPr>
          </w:p>
        </w:tc>
        <w:tc>
          <w:tcPr>
            <w:tcW w:w="1432" w:type="dxa"/>
            <w:tcBorders>
              <w:right w:val="nil"/>
            </w:tcBorders>
            <w:shd w:val="clear" w:color="auto" w:fill="EAF9FF"/>
            <w:vAlign w:val="top"/>
          </w:tcPr>
          <w:p w14:paraId="3C591519">
            <w:pPr>
              <w:pStyle w:val="8"/>
              <w:rPr>
                <w:sz w:val="21"/>
              </w:rPr>
            </w:pPr>
          </w:p>
        </w:tc>
        <w:tc>
          <w:tcPr>
            <w:tcW w:w="1432" w:type="dxa"/>
            <w:tcBorders>
              <w:left w:val="nil"/>
              <w:right w:val="nil"/>
            </w:tcBorders>
            <w:shd w:val="clear" w:color="auto" w:fill="EAF9FF"/>
            <w:vAlign w:val="top"/>
          </w:tcPr>
          <w:p w14:paraId="6FFA7833">
            <w:pPr>
              <w:pStyle w:val="8"/>
              <w:rPr>
                <w:sz w:val="21"/>
              </w:rPr>
            </w:pPr>
          </w:p>
        </w:tc>
        <w:tc>
          <w:tcPr>
            <w:tcW w:w="1432" w:type="dxa"/>
            <w:tcBorders>
              <w:left w:val="nil"/>
              <w:right w:val="nil"/>
            </w:tcBorders>
            <w:shd w:val="clear" w:color="auto" w:fill="EAF9FF"/>
            <w:vAlign w:val="top"/>
          </w:tcPr>
          <w:p w14:paraId="486679FE">
            <w:pPr>
              <w:pStyle w:val="8"/>
              <w:rPr>
                <w:sz w:val="21"/>
              </w:rPr>
            </w:pPr>
          </w:p>
        </w:tc>
        <w:tc>
          <w:tcPr>
            <w:tcW w:w="1432" w:type="dxa"/>
            <w:tcBorders>
              <w:left w:val="nil"/>
              <w:right w:val="nil"/>
            </w:tcBorders>
            <w:shd w:val="clear" w:color="auto" w:fill="A1D7EF"/>
            <w:vAlign w:val="top"/>
          </w:tcPr>
          <w:p w14:paraId="2DFA0257">
            <w:pPr>
              <w:pStyle w:val="8"/>
              <w:rPr>
                <w:sz w:val="21"/>
              </w:rPr>
            </w:pPr>
          </w:p>
        </w:tc>
        <w:tc>
          <w:tcPr>
            <w:tcW w:w="1432" w:type="dxa"/>
            <w:tcBorders>
              <w:left w:val="nil"/>
              <w:right w:val="nil"/>
            </w:tcBorders>
            <w:shd w:val="clear" w:color="auto" w:fill="A1D7EF"/>
            <w:vAlign w:val="top"/>
          </w:tcPr>
          <w:p w14:paraId="4BF454DA">
            <w:pPr>
              <w:pStyle w:val="8"/>
              <w:rPr>
                <w:sz w:val="21"/>
              </w:rPr>
            </w:pPr>
          </w:p>
        </w:tc>
      </w:tr>
      <w:tr w14:paraId="045CD6A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044" w:type="dxa"/>
            <w:tcBorders>
              <w:left w:val="nil"/>
            </w:tcBorders>
            <w:vAlign w:val="top"/>
          </w:tcPr>
          <w:p w14:paraId="1B7B378B">
            <w:pPr>
              <w:pStyle w:val="8"/>
              <w:spacing w:before="65" w:line="234" w:lineRule="auto"/>
              <w:ind w:left="12"/>
            </w:pPr>
            <w:r>
              <w:rPr>
                <w:color w:val="2A8ABF"/>
                <w:spacing w:val="-11"/>
              </w:rPr>
              <w:t>Global</w:t>
            </w:r>
            <w:r>
              <w:rPr>
                <w:color w:val="2A8ABF"/>
                <w:spacing w:val="-10"/>
              </w:rPr>
              <w:t xml:space="preserve"> </w:t>
            </w:r>
            <w:r>
              <w:rPr>
                <w:color w:val="2A8ABF"/>
                <w:spacing w:val="-11"/>
              </w:rPr>
              <w:t>Average</w:t>
            </w:r>
          </w:p>
        </w:tc>
        <w:tc>
          <w:tcPr>
            <w:tcW w:w="1432" w:type="dxa"/>
            <w:tcBorders>
              <w:right w:val="nil"/>
            </w:tcBorders>
            <w:vAlign w:val="top"/>
          </w:tcPr>
          <w:p w14:paraId="4F8CE0F8">
            <w:pPr>
              <w:pStyle w:val="8"/>
              <w:spacing w:before="65" w:line="238" w:lineRule="exact"/>
              <w:ind w:left="559"/>
            </w:pPr>
            <w:r>
              <w:rPr>
                <w:color w:val="5F6A72"/>
                <w:spacing w:val="-7"/>
                <w:position w:val="1"/>
              </w:rPr>
              <w:t>50.0</w:t>
            </w:r>
          </w:p>
        </w:tc>
        <w:tc>
          <w:tcPr>
            <w:tcW w:w="1432" w:type="dxa"/>
            <w:tcBorders>
              <w:left w:val="nil"/>
              <w:right w:val="nil"/>
            </w:tcBorders>
            <w:vAlign w:val="top"/>
          </w:tcPr>
          <w:p w14:paraId="07708BB2">
            <w:pPr>
              <w:pStyle w:val="8"/>
              <w:spacing w:before="65" w:line="238" w:lineRule="exact"/>
              <w:ind w:left="563"/>
            </w:pPr>
            <w:r>
              <w:rPr>
                <w:color w:val="5F6A72"/>
                <w:spacing w:val="-7"/>
                <w:position w:val="1"/>
              </w:rPr>
              <w:t>50.0</w:t>
            </w:r>
          </w:p>
        </w:tc>
        <w:tc>
          <w:tcPr>
            <w:tcW w:w="1432" w:type="dxa"/>
            <w:tcBorders>
              <w:left w:val="nil"/>
              <w:right w:val="nil"/>
            </w:tcBorders>
            <w:vAlign w:val="top"/>
          </w:tcPr>
          <w:p w14:paraId="4FCF7DAF">
            <w:pPr>
              <w:pStyle w:val="8"/>
              <w:spacing w:before="65" w:line="238" w:lineRule="exact"/>
              <w:ind w:left="564"/>
            </w:pPr>
            <w:r>
              <w:rPr>
                <w:color w:val="5F6A72"/>
                <w:spacing w:val="-7"/>
                <w:position w:val="1"/>
              </w:rPr>
              <w:t>50.0</w:t>
            </w:r>
          </w:p>
        </w:tc>
        <w:tc>
          <w:tcPr>
            <w:tcW w:w="1432" w:type="dxa"/>
            <w:tcBorders>
              <w:left w:val="nil"/>
              <w:right w:val="nil"/>
            </w:tcBorders>
            <w:shd w:val="clear" w:color="auto" w:fill="A1D7EF"/>
            <w:vAlign w:val="top"/>
          </w:tcPr>
          <w:p w14:paraId="1B124688">
            <w:pPr>
              <w:pStyle w:val="8"/>
              <w:spacing w:before="65" w:line="238" w:lineRule="exact"/>
              <w:ind w:left="564"/>
            </w:pPr>
            <w:r>
              <w:rPr>
                <w:color w:val="5F6A72"/>
                <w:spacing w:val="-7"/>
                <w:position w:val="1"/>
              </w:rPr>
              <w:t>50.0</w:t>
            </w:r>
          </w:p>
        </w:tc>
        <w:tc>
          <w:tcPr>
            <w:tcW w:w="1432" w:type="dxa"/>
            <w:tcBorders>
              <w:left w:val="nil"/>
              <w:right w:val="nil"/>
            </w:tcBorders>
            <w:shd w:val="clear" w:color="auto" w:fill="A1D7EF"/>
            <w:vAlign w:val="top"/>
          </w:tcPr>
          <w:p w14:paraId="3E7E6035">
            <w:pPr>
              <w:pStyle w:val="8"/>
              <w:spacing w:before="65" w:line="238" w:lineRule="exact"/>
              <w:ind w:left="564"/>
            </w:pPr>
            <w:r>
              <w:rPr>
                <w:color w:val="5F6A72"/>
                <w:spacing w:val="-7"/>
                <w:position w:val="1"/>
              </w:rPr>
              <w:t>50.0</w:t>
            </w:r>
          </w:p>
        </w:tc>
      </w:tr>
      <w:tr w14:paraId="1831CE6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3044" w:type="dxa"/>
            <w:tcBorders>
              <w:left w:val="nil"/>
              <w:bottom w:val="nil"/>
            </w:tcBorders>
            <w:shd w:val="clear" w:color="auto" w:fill="EAF9FF"/>
            <w:vAlign w:val="top"/>
          </w:tcPr>
          <w:p w14:paraId="25144557">
            <w:pPr>
              <w:pStyle w:val="8"/>
              <w:spacing w:before="66" w:line="234" w:lineRule="auto"/>
              <w:ind w:left="18"/>
            </w:pPr>
            <w:r>
              <w:rPr>
                <w:color w:val="2A8ABF"/>
                <w:spacing w:val="-11"/>
              </w:rPr>
              <w:t>Regional</w:t>
            </w:r>
            <w:r>
              <w:rPr>
                <w:color w:val="2A8ABF"/>
                <w:spacing w:val="-7"/>
              </w:rPr>
              <w:t xml:space="preserve"> </w:t>
            </w:r>
            <w:r>
              <w:rPr>
                <w:color w:val="2A8ABF"/>
                <w:spacing w:val="-11"/>
              </w:rPr>
              <w:t>Average</w:t>
            </w:r>
          </w:p>
        </w:tc>
        <w:tc>
          <w:tcPr>
            <w:tcW w:w="1432" w:type="dxa"/>
            <w:tcBorders>
              <w:bottom w:val="nil"/>
              <w:right w:val="nil"/>
            </w:tcBorders>
            <w:shd w:val="clear" w:color="auto" w:fill="EAF9FF"/>
            <w:vAlign w:val="top"/>
          </w:tcPr>
          <w:p w14:paraId="02F8A7EA">
            <w:pPr>
              <w:pStyle w:val="8"/>
              <w:spacing w:before="66" w:line="237" w:lineRule="exact"/>
              <w:ind w:left="559"/>
            </w:pPr>
            <w:r>
              <w:rPr>
                <w:color w:val="5F6A72"/>
                <w:spacing w:val="-7"/>
                <w:position w:val="1"/>
              </w:rPr>
              <w:t>56.4</w:t>
            </w:r>
          </w:p>
        </w:tc>
        <w:tc>
          <w:tcPr>
            <w:tcW w:w="1432" w:type="dxa"/>
            <w:tcBorders>
              <w:left w:val="nil"/>
              <w:bottom w:val="nil"/>
              <w:right w:val="nil"/>
            </w:tcBorders>
            <w:shd w:val="clear" w:color="auto" w:fill="EAF9FF"/>
            <w:vAlign w:val="top"/>
          </w:tcPr>
          <w:p w14:paraId="2817F269">
            <w:pPr>
              <w:pStyle w:val="8"/>
              <w:spacing w:before="66" w:line="237" w:lineRule="exact"/>
              <w:ind w:left="563"/>
            </w:pPr>
            <w:r>
              <w:rPr>
                <w:color w:val="5F6A72"/>
                <w:spacing w:val="-7"/>
                <w:position w:val="1"/>
              </w:rPr>
              <w:t>50.0</w:t>
            </w:r>
          </w:p>
        </w:tc>
        <w:tc>
          <w:tcPr>
            <w:tcW w:w="1432" w:type="dxa"/>
            <w:tcBorders>
              <w:left w:val="nil"/>
              <w:bottom w:val="nil"/>
              <w:right w:val="nil"/>
            </w:tcBorders>
            <w:shd w:val="clear" w:color="auto" w:fill="EAF9FF"/>
            <w:vAlign w:val="top"/>
          </w:tcPr>
          <w:p w14:paraId="018D4271">
            <w:pPr>
              <w:pStyle w:val="8"/>
              <w:spacing w:before="66" w:line="237" w:lineRule="exact"/>
              <w:ind w:left="564"/>
            </w:pPr>
            <w:r>
              <w:rPr>
                <w:color w:val="5F6A72"/>
                <w:spacing w:val="-7"/>
                <w:position w:val="1"/>
              </w:rPr>
              <w:t>54.5</w:t>
            </w:r>
          </w:p>
        </w:tc>
        <w:tc>
          <w:tcPr>
            <w:tcW w:w="1432" w:type="dxa"/>
            <w:tcBorders>
              <w:left w:val="nil"/>
              <w:bottom w:val="nil"/>
              <w:right w:val="nil"/>
            </w:tcBorders>
            <w:shd w:val="clear" w:color="auto" w:fill="A1D7EF"/>
            <w:vAlign w:val="top"/>
          </w:tcPr>
          <w:p w14:paraId="09EE8BF8">
            <w:pPr>
              <w:pStyle w:val="8"/>
              <w:spacing w:before="66" w:line="237" w:lineRule="exact"/>
              <w:ind w:left="564"/>
            </w:pPr>
            <w:r>
              <w:rPr>
                <w:color w:val="5F6A72"/>
                <w:spacing w:val="-7"/>
                <w:position w:val="1"/>
              </w:rPr>
              <w:t>53.7</w:t>
            </w:r>
          </w:p>
        </w:tc>
        <w:tc>
          <w:tcPr>
            <w:tcW w:w="1432" w:type="dxa"/>
            <w:tcBorders>
              <w:left w:val="nil"/>
              <w:bottom w:val="nil"/>
              <w:right w:val="nil"/>
            </w:tcBorders>
            <w:shd w:val="clear" w:color="auto" w:fill="A1D7EF"/>
            <w:vAlign w:val="top"/>
          </w:tcPr>
          <w:p w14:paraId="6E85A551">
            <w:pPr>
              <w:pStyle w:val="8"/>
              <w:spacing w:before="66" w:line="237" w:lineRule="exact"/>
              <w:ind w:left="564"/>
            </w:pPr>
            <w:r>
              <w:rPr>
                <w:color w:val="5F6A72"/>
                <w:spacing w:val="-7"/>
                <w:position w:val="1"/>
              </w:rPr>
              <w:t>52.8</w:t>
            </w:r>
          </w:p>
        </w:tc>
      </w:tr>
    </w:tbl>
    <w:p w14:paraId="137D0B80">
      <w:pPr>
        <w:pStyle w:val="4"/>
        <w:spacing w:before="149" w:line="177" w:lineRule="exact"/>
        <w:ind w:left="372"/>
        <w:rPr>
          <w:sz w:val="15"/>
          <w:szCs w:val="15"/>
        </w:rPr>
      </w:pPr>
      <w:r>
        <w:drawing>
          <wp:anchor distT="0" distB="0" distL="0" distR="0" simplePos="0" relativeHeight="251893760"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42"/>
                    <a:stretch>
                      <a:fillRect/>
                    </a:stretch>
                  </pic:blipFill>
                  <pic:spPr>
                    <a:xfrm>
                      <a:off x="0" y="0"/>
                      <a:ext cx="6479999" cy="7143"/>
                    </a:xfrm>
                    <a:prstGeom prst="rect">
                      <a:avLst/>
                    </a:prstGeom>
                  </pic:spPr>
                </pic:pic>
              </a:graphicData>
            </a:graphic>
          </wp:anchor>
        </w:drawing>
      </w:r>
      <w:r>
        <w:rPr>
          <w:i/>
          <w:iCs/>
          <w:color w:val="333333"/>
          <w:spacing w:val="-5"/>
          <w:w w:val="94"/>
          <w:position w:val="1"/>
          <w:sz w:val="15"/>
          <w:szCs w:val="15"/>
        </w:rPr>
        <w:t>Note: Scores out</w:t>
      </w:r>
      <w:r>
        <w:rPr>
          <w:i/>
          <w:iCs/>
          <w:color w:val="333333"/>
          <w:spacing w:val="-10"/>
          <w:position w:val="1"/>
          <w:sz w:val="15"/>
          <w:szCs w:val="15"/>
        </w:rPr>
        <w:t xml:space="preserve"> </w:t>
      </w:r>
      <w:r>
        <w:rPr>
          <w:i/>
          <w:iCs/>
          <w:color w:val="333333"/>
          <w:spacing w:val="-5"/>
          <w:w w:val="94"/>
          <w:position w:val="1"/>
          <w:sz w:val="15"/>
          <w:szCs w:val="15"/>
        </w:rPr>
        <w:t>of</w:t>
      </w:r>
      <w:r>
        <w:rPr>
          <w:i/>
          <w:iCs/>
          <w:color w:val="333333"/>
          <w:spacing w:val="-11"/>
          <w:position w:val="1"/>
          <w:sz w:val="15"/>
          <w:szCs w:val="15"/>
        </w:rPr>
        <w:t xml:space="preserve"> </w:t>
      </w:r>
      <w:r>
        <w:rPr>
          <w:i/>
          <w:iCs/>
          <w:color w:val="333333"/>
          <w:spacing w:val="-5"/>
          <w:w w:val="94"/>
          <w:position w:val="1"/>
          <w:sz w:val="15"/>
          <w:szCs w:val="15"/>
        </w:rPr>
        <w:t>100;</w:t>
      </w:r>
      <w:r>
        <w:rPr>
          <w:i/>
          <w:iCs/>
          <w:color w:val="333333"/>
          <w:spacing w:val="-8"/>
          <w:position w:val="1"/>
          <w:sz w:val="15"/>
          <w:szCs w:val="15"/>
        </w:rPr>
        <w:t xml:space="preserve"> </w:t>
      </w:r>
      <w:r>
        <w:rPr>
          <w:i/>
          <w:iCs/>
          <w:color w:val="333333"/>
          <w:spacing w:val="-5"/>
          <w:w w:val="94"/>
          <w:position w:val="1"/>
          <w:sz w:val="15"/>
          <w:szCs w:val="15"/>
        </w:rPr>
        <w:t>lower</w:t>
      </w:r>
      <w:r>
        <w:rPr>
          <w:i/>
          <w:iCs/>
          <w:color w:val="333333"/>
          <w:spacing w:val="-19"/>
          <w:position w:val="1"/>
          <w:sz w:val="15"/>
          <w:szCs w:val="15"/>
        </w:rPr>
        <w:t xml:space="preserve"> </w:t>
      </w:r>
      <w:r>
        <w:rPr>
          <w:i/>
          <w:iCs/>
          <w:color w:val="333333"/>
          <w:spacing w:val="-5"/>
          <w:w w:val="94"/>
          <w:position w:val="1"/>
          <w:sz w:val="15"/>
          <w:szCs w:val="15"/>
        </w:rPr>
        <w:t>score = more attractive mark</w:t>
      </w:r>
      <w:r>
        <w:rPr>
          <w:i/>
          <w:iCs/>
          <w:color w:val="333333"/>
          <w:spacing w:val="-6"/>
          <w:w w:val="94"/>
          <w:position w:val="1"/>
          <w:sz w:val="15"/>
          <w:szCs w:val="15"/>
        </w:rPr>
        <w:t>et. Source: BMI Downstream</w:t>
      </w:r>
      <w:r>
        <w:rPr>
          <w:i/>
          <w:iCs/>
          <w:color w:val="333333"/>
          <w:spacing w:val="4"/>
          <w:position w:val="1"/>
          <w:sz w:val="15"/>
          <w:szCs w:val="15"/>
        </w:rPr>
        <w:t xml:space="preserve"> </w:t>
      </w:r>
      <w:r>
        <w:rPr>
          <w:i/>
          <w:iCs/>
          <w:color w:val="333333"/>
          <w:spacing w:val="-6"/>
          <w:w w:val="94"/>
          <w:position w:val="1"/>
          <w:sz w:val="15"/>
          <w:szCs w:val="15"/>
        </w:rPr>
        <w:t>Oil</w:t>
      </w:r>
      <w:r>
        <w:rPr>
          <w:i/>
          <w:iCs/>
          <w:color w:val="333333"/>
          <w:spacing w:val="-12"/>
          <w:position w:val="1"/>
          <w:sz w:val="15"/>
          <w:szCs w:val="15"/>
        </w:rPr>
        <w:t xml:space="preserve"> </w:t>
      </w:r>
      <w:r>
        <w:rPr>
          <w:i/>
          <w:iCs/>
          <w:color w:val="333333"/>
          <w:spacing w:val="-6"/>
          <w:w w:val="94"/>
          <w:position w:val="1"/>
          <w:sz w:val="15"/>
          <w:szCs w:val="15"/>
        </w:rPr>
        <w:t>&amp; Gas Risk/Reward</w:t>
      </w:r>
      <w:r>
        <w:rPr>
          <w:i/>
          <w:iCs/>
          <w:color w:val="333333"/>
          <w:spacing w:val="-11"/>
          <w:position w:val="1"/>
          <w:sz w:val="15"/>
          <w:szCs w:val="15"/>
        </w:rPr>
        <w:t xml:space="preserve"> </w:t>
      </w:r>
      <w:r>
        <w:rPr>
          <w:i/>
          <w:iCs/>
          <w:color w:val="333333"/>
          <w:spacing w:val="-6"/>
          <w:w w:val="94"/>
          <w:position w:val="1"/>
          <w:sz w:val="15"/>
          <w:szCs w:val="15"/>
        </w:rPr>
        <w:t>Index</w:t>
      </w:r>
    </w:p>
    <w:p w14:paraId="5BDE215D">
      <w:pPr>
        <w:spacing w:line="177" w:lineRule="exact"/>
        <w:rPr>
          <w:sz w:val="15"/>
          <w:szCs w:val="15"/>
        </w:rPr>
        <w:sectPr>
          <w:footerReference r:id="rId61" w:type="default"/>
          <w:pgSz w:w="11906" w:h="16838"/>
          <w:pgMar w:top="400" w:right="490" w:bottom="883" w:left="490" w:header="0" w:footer="0" w:gutter="0"/>
          <w:cols w:space="720" w:num="1"/>
        </w:sectPr>
      </w:pPr>
    </w:p>
    <w:p w14:paraId="52B40D46">
      <w:pPr>
        <w:pStyle w:val="4"/>
        <w:spacing w:before="73" w:line="241" w:lineRule="auto"/>
        <w:ind w:left="7372"/>
        <w:rPr>
          <w:sz w:val="20"/>
          <w:szCs w:val="20"/>
        </w:rPr>
      </w:pPr>
      <w:r>
        <w:drawing>
          <wp:anchor distT="0" distB="0" distL="0" distR="0" simplePos="0" relativeHeight="25189888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899904" behindDoc="0" locked="0" layoutInCell="0" allowOverlap="1">
            <wp:simplePos x="0" y="0"/>
            <wp:positionH relativeFrom="page">
              <wp:posOffset>311150</wp:posOffset>
            </wp:positionH>
            <wp:positionV relativeFrom="page">
              <wp:posOffset>0</wp:posOffset>
            </wp:positionV>
            <wp:extent cx="19050" cy="814070"/>
            <wp:effectExtent l="0" t="0" r="0" b="0"/>
            <wp:wrapNone/>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02EF535">
      <w:pPr>
        <w:pStyle w:val="4"/>
        <w:spacing w:line="278" w:lineRule="auto"/>
      </w:pPr>
    </w:p>
    <w:p w14:paraId="6C9C523D">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0D8CA6F">
      <w:pPr>
        <w:pStyle w:val="4"/>
        <w:spacing w:line="311" w:lineRule="auto"/>
      </w:pPr>
    </w:p>
    <w:p w14:paraId="75F4B2AB">
      <w:pPr>
        <w:pStyle w:val="4"/>
        <w:spacing w:line="312" w:lineRule="auto"/>
      </w:pPr>
    </w:p>
    <w:p w14:paraId="2DB99903">
      <w:pPr>
        <w:pStyle w:val="4"/>
        <w:spacing w:before="69" w:line="234" w:lineRule="auto"/>
        <w:ind w:left="427"/>
        <w:rPr>
          <w:sz w:val="24"/>
          <w:szCs w:val="24"/>
        </w:rPr>
      </w:pPr>
      <w:r>
        <w:rPr>
          <w:color w:val="174174"/>
          <w:spacing w:val="-10"/>
          <w:sz w:val="24"/>
          <w:szCs w:val="24"/>
        </w:rPr>
        <w:t>Latin</w:t>
      </w:r>
      <w:r>
        <w:rPr>
          <w:color w:val="174174"/>
          <w:spacing w:val="-24"/>
          <w:sz w:val="24"/>
          <w:szCs w:val="24"/>
        </w:rPr>
        <w:t xml:space="preserve"> </w:t>
      </w:r>
      <w:r>
        <w:rPr>
          <w:color w:val="174174"/>
          <w:spacing w:val="-10"/>
          <w:sz w:val="24"/>
          <w:szCs w:val="24"/>
        </w:rPr>
        <w:t xml:space="preserve">America Downstream Industry </w:t>
      </w:r>
      <w:r>
        <w:rPr>
          <w:color w:val="174174"/>
          <w:spacing w:val="-11"/>
          <w:sz w:val="24"/>
          <w:szCs w:val="24"/>
        </w:rPr>
        <w:t>Risks Index</w:t>
      </w:r>
    </w:p>
    <w:p w14:paraId="18FEEF1E">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2551"/>
        <w:gridCol w:w="2551"/>
        <w:gridCol w:w="2551"/>
        <w:gridCol w:w="2551"/>
      </w:tblGrid>
      <w:tr w14:paraId="307649A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2551" w:type="dxa"/>
            <w:tcBorders>
              <w:left w:val="nil"/>
            </w:tcBorders>
            <w:vAlign w:val="top"/>
          </w:tcPr>
          <w:p w14:paraId="71FE15C3">
            <w:pPr>
              <w:pStyle w:val="8"/>
              <w:rPr>
                <w:sz w:val="21"/>
              </w:rPr>
            </w:pPr>
          </w:p>
        </w:tc>
        <w:tc>
          <w:tcPr>
            <w:tcW w:w="2551" w:type="dxa"/>
            <w:tcBorders>
              <w:right w:val="nil"/>
            </w:tcBorders>
            <w:vAlign w:val="top"/>
          </w:tcPr>
          <w:p w14:paraId="4E1A5F4A">
            <w:pPr>
              <w:pStyle w:val="8"/>
              <w:spacing w:before="70" w:line="241" w:lineRule="auto"/>
              <w:ind w:left="740"/>
            </w:pPr>
            <w:r>
              <w:rPr>
                <w:b/>
                <w:bCs/>
                <w:color w:val="5F6A72"/>
                <w:spacing w:val="-10"/>
              </w:rPr>
              <w:t>Logistics Risk</w:t>
            </w:r>
          </w:p>
        </w:tc>
        <w:tc>
          <w:tcPr>
            <w:tcW w:w="2551" w:type="dxa"/>
            <w:tcBorders>
              <w:left w:val="nil"/>
              <w:right w:val="nil"/>
            </w:tcBorders>
            <w:vAlign w:val="top"/>
          </w:tcPr>
          <w:p w14:paraId="6BFC12D7">
            <w:pPr>
              <w:pStyle w:val="8"/>
              <w:spacing w:before="70" w:line="243" w:lineRule="exact"/>
              <w:ind w:left="719"/>
            </w:pPr>
            <w:r>
              <w:rPr>
                <w:b/>
                <w:bCs/>
                <w:color w:val="5F6A72"/>
                <w:spacing w:val="-10"/>
                <w:position w:val="1"/>
              </w:rPr>
              <w:t>Fuel</w:t>
            </w:r>
            <w:r>
              <w:rPr>
                <w:b/>
                <w:bCs/>
                <w:color w:val="5F6A72"/>
                <w:spacing w:val="-4"/>
                <w:position w:val="1"/>
              </w:rPr>
              <w:t xml:space="preserve"> </w:t>
            </w:r>
            <w:r>
              <w:rPr>
                <w:b/>
                <w:bCs/>
                <w:color w:val="5F6A72"/>
                <w:spacing w:val="-10"/>
                <w:position w:val="1"/>
              </w:rPr>
              <w:t>Subsidies</w:t>
            </w:r>
          </w:p>
        </w:tc>
        <w:tc>
          <w:tcPr>
            <w:tcW w:w="2551" w:type="dxa"/>
            <w:tcBorders>
              <w:left w:val="nil"/>
              <w:right w:val="nil"/>
            </w:tcBorders>
            <w:shd w:val="clear" w:color="auto" w:fill="E5819D"/>
            <w:vAlign w:val="top"/>
          </w:tcPr>
          <w:p w14:paraId="06F2089D">
            <w:pPr>
              <w:pStyle w:val="8"/>
              <w:spacing w:before="70" w:line="241" w:lineRule="auto"/>
              <w:ind w:left="720"/>
            </w:pPr>
            <w:r>
              <w:rPr>
                <w:b/>
                <w:bCs/>
                <w:color w:val="5F6A72"/>
                <w:spacing w:val="-8"/>
              </w:rPr>
              <w:t>Industry Risks</w:t>
            </w:r>
          </w:p>
        </w:tc>
      </w:tr>
      <w:tr w14:paraId="6CF7A44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vAlign w:val="top"/>
          </w:tcPr>
          <w:p w14:paraId="0142EA93">
            <w:pPr>
              <w:pStyle w:val="8"/>
              <w:spacing w:before="65" w:line="237" w:lineRule="exact"/>
              <w:ind w:left="18"/>
            </w:pPr>
            <w:r>
              <w:rPr>
                <w:color w:val="2A8ABF"/>
                <w:spacing w:val="-12"/>
                <w:position w:val="1"/>
              </w:rPr>
              <w:t>Brazil</w:t>
            </w:r>
          </w:p>
        </w:tc>
        <w:tc>
          <w:tcPr>
            <w:tcW w:w="2551" w:type="dxa"/>
            <w:tcBorders>
              <w:right w:val="nil"/>
            </w:tcBorders>
            <w:vAlign w:val="top"/>
          </w:tcPr>
          <w:p w14:paraId="041EF2C0">
            <w:pPr>
              <w:pStyle w:val="8"/>
              <w:spacing w:before="65" w:line="237" w:lineRule="exact"/>
              <w:ind w:left="1119"/>
            </w:pPr>
            <w:r>
              <w:rPr>
                <w:color w:val="5F6A72"/>
                <w:spacing w:val="-7"/>
                <w:position w:val="1"/>
              </w:rPr>
              <w:t>50.5</w:t>
            </w:r>
          </w:p>
        </w:tc>
        <w:tc>
          <w:tcPr>
            <w:tcW w:w="2551" w:type="dxa"/>
            <w:tcBorders>
              <w:left w:val="nil"/>
              <w:right w:val="nil"/>
            </w:tcBorders>
            <w:vAlign w:val="top"/>
          </w:tcPr>
          <w:p w14:paraId="20FE4C03">
            <w:pPr>
              <w:pStyle w:val="8"/>
              <w:spacing w:before="65" w:line="237" w:lineRule="exact"/>
              <w:ind w:left="1119"/>
            </w:pPr>
            <w:r>
              <w:rPr>
                <w:color w:val="5F6A72"/>
                <w:spacing w:val="-6"/>
                <w:position w:val="1"/>
              </w:rPr>
              <w:t>77.5</w:t>
            </w:r>
          </w:p>
        </w:tc>
        <w:tc>
          <w:tcPr>
            <w:tcW w:w="2551" w:type="dxa"/>
            <w:tcBorders>
              <w:left w:val="nil"/>
              <w:right w:val="nil"/>
            </w:tcBorders>
            <w:shd w:val="clear" w:color="auto" w:fill="E5819D"/>
            <w:vAlign w:val="top"/>
          </w:tcPr>
          <w:p w14:paraId="5D29D480">
            <w:pPr>
              <w:pStyle w:val="8"/>
              <w:spacing w:before="65" w:line="237" w:lineRule="exact"/>
              <w:ind w:left="1124"/>
            </w:pPr>
            <w:r>
              <w:rPr>
                <w:color w:val="5F6A72"/>
                <w:spacing w:val="-7"/>
                <w:position w:val="1"/>
              </w:rPr>
              <w:t>64.0</w:t>
            </w:r>
          </w:p>
        </w:tc>
      </w:tr>
      <w:tr w14:paraId="2551AAE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shd w:val="clear" w:color="auto" w:fill="EAF9FF"/>
            <w:vAlign w:val="top"/>
          </w:tcPr>
          <w:p w14:paraId="1C7580CA">
            <w:pPr>
              <w:pStyle w:val="8"/>
              <w:spacing w:before="65" w:line="237" w:lineRule="exact"/>
              <w:ind w:left="18"/>
            </w:pPr>
            <w:r>
              <w:rPr>
                <w:color w:val="2A8ABF"/>
                <w:spacing w:val="-11"/>
                <w:position w:val="1"/>
              </w:rPr>
              <w:t>Mexico</w:t>
            </w:r>
          </w:p>
        </w:tc>
        <w:tc>
          <w:tcPr>
            <w:tcW w:w="2551" w:type="dxa"/>
            <w:tcBorders>
              <w:right w:val="nil"/>
            </w:tcBorders>
            <w:shd w:val="clear" w:color="auto" w:fill="EAF9FF"/>
            <w:vAlign w:val="top"/>
          </w:tcPr>
          <w:p w14:paraId="6794E1E3">
            <w:pPr>
              <w:pStyle w:val="8"/>
              <w:spacing w:before="65" w:line="237" w:lineRule="exact"/>
              <w:ind w:left="1115"/>
            </w:pPr>
            <w:r>
              <w:rPr>
                <w:color w:val="5F6A72"/>
                <w:spacing w:val="-6"/>
                <w:position w:val="1"/>
              </w:rPr>
              <w:t>42.9</w:t>
            </w:r>
          </w:p>
        </w:tc>
        <w:tc>
          <w:tcPr>
            <w:tcW w:w="2551" w:type="dxa"/>
            <w:tcBorders>
              <w:left w:val="nil"/>
              <w:right w:val="nil"/>
            </w:tcBorders>
            <w:shd w:val="clear" w:color="auto" w:fill="EAF9FF"/>
            <w:vAlign w:val="top"/>
          </w:tcPr>
          <w:p w14:paraId="30096072">
            <w:pPr>
              <w:pStyle w:val="8"/>
              <w:spacing w:before="65" w:line="237" w:lineRule="exact"/>
              <w:ind w:left="1123"/>
            </w:pPr>
            <w:r>
              <w:rPr>
                <w:color w:val="5F6A72"/>
                <w:spacing w:val="-7"/>
                <w:position w:val="1"/>
              </w:rPr>
              <w:t>86.3</w:t>
            </w:r>
          </w:p>
        </w:tc>
        <w:tc>
          <w:tcPr>
            <w:tcW w:w="2551" w:type="dxa"/>
            <w:tcBorders>
              <w:left w:val="nil"/>
              <w:right w:val="nil"/>
            </w:tcBorders>
            <w:shd w:val="clear" w:color="auto" w:fill="E5819D"/>
            <w:vAlign w:val="top"/>
          </w:tcPr>
          <w:p w14:paraId="48BB8C33">
            <w:pPr>
              <w:pStyle w:val="8"/>
              <w:spacing w:before="65" w:line="237" w:lineRule="exact"/>
              <w:ind w:left="1124"/>
            </w:pPr>
            <w:r>
              <w:rPr>
                <w:color w:val="5F6A72"/>
                <w:spacing w:val="-7"/>
                <w:position w:val="1"/>
              </w:rPr>
              <w:t>64.6</w:t>
            </w:r>
          </w:p>
        </w:tc>
      </w:tr>
      <w:tr w14:paraId="4AF876C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vAlign w:val="top"/>
          </w:tcPr>
          <w:p w14:paraId="52B03DCC">
            <w:pPr>
              <w:pStyle w:val="8"/>
              <w:spacing w:before="65" w:line="234" w:lineRule="auto"/>
              <w:ind w:left="3"/>
            </w:pPr>
            <w:r>
              <w:rPr>
                <w:color w:val="2A8ABF"/>
                <w:spacing w:val="-4"/>
              </w:rPr>
              <w:t>Argentina</w:t>
            </w:r>
          </w:p>
        </w:tc>
        <w:tc>
          <w:tcPr>
            <w:tcW w:w="2551" w:type="dxa"/>
            <w:tcBorders>
              <w:right w:val="nil"/>
            </w:tcBorders>
            <w:vAlign w:val="top"/>
          </w:tcPr>
          <w:p w14:paraId="46D6D002">
            <w:pPr>
              <w:pStyle w:val="8"/>
              <w:spacing w:before="65" w:line="238" w:lineRule="exact"/>
              <w:ind w:left="1119"/>
            </w:pPr>
            <w:r>
              <w:rPr>
                <w:color w:val="5F6A72"/>
                <w:spacing w:val="-7"/>
                <w:position w:val="1"/>
              </w:rPr>
              <w:t>58.2</w:t>
            </w:r>
          </w:p>
        </w:tc>
        <w:tc>
          <w:tcPr>
            <w:tcW w:w="2551" w:type="dxa"/>
            <w:tcBorders>
              <w:left w:val="nil"/>
              <w:right w:val="nil"/>
            </w:tcBorders>
            <w:vAlign w:val="top"/>
          </w:tcPr>
          <w:p w14:paraId="1C3E7E70">
            <w:pPr>
              <w:pStyle w:val="8"/>
              <w:spacing w:before="65" w:line="238" w:lineRule="exact"/>
              <w:ind w:left="1124"/>
            </w:pPr>
            <w:r>
              <w:rPr>
                <w:color w:val="5F6A72"/>
                <w:spacing w:val="-7"/>
                <w:position w:val="1"/>
              </w:rPr>
              <w:t>61.5</w:t>
            </w:r>
          </w:p>
        </w:tc>
        <w:tc>
          <w:tcPr>
            <w:tcW w:w="2551" w:type="dxa"/>
            <w:tcBorders>
              <w:left w:val="nil"/>
              <w:right w:val="nil"/>
            </w:tcBorders>
            <w:shd w:val="clear" w:color="auto" w:fill="E5819D"/>
            <w:vAlign w:val="top"/>
          </w:tcPr>
          <w:p w14:paraId="66A42EAF">
            <w:pPr>
              <w:pStyle w:val="8"/>
              <w:spacing w:before="65" w:line="238" w:lineRule="exact"/>
              <w:ind w:left="1124"/>
            </w:pPr>
            <w:r>
              <w:rPr>
                <w:color w:val="5F6A72"/>
                <w:spacing w:val="-7"/>
                <w:position w:val="1"/>
              </w:rPr>
              <w:t>59.9</w:t>
            </w:r>
          </w:p>
        </w:tc>
      </w:tr>
      <w:tr w14:paraId="0297BAD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shd w:val="clear" w:color="auto" w:fill="EAF9FF"/>
            <w:vAlign w:val="top"/>
          </w:tcPr>
          <w:p w14:paraId="7EED6D99">
            <w:pPr>
              <w:pStyle w:val="8"/>
              <w:spacing w:before="66" w:line="237" w:lineRule="exact"/>
              <w:ind w:left="12"/>
            </w:pPr>
            <w:r>
              <w:rPr>
                <w:color w:val="2A8ABF"/>
                <w:spacing w:val="-7"/>
                <w:position w:val="1"/>
              </w:rPr>
              <w:t>Colombia</w:t>
            </w:r>
          </w:p>
        </w:tc>
        <w:tc>
          <w:tcPr>
            <w:tcW w:w="2551" w:type="dxa"/>
            <w:tcBorders>
              <w:right w:val="nil"/>
            </w:tcBorders>
            <w:shd w:val="clear" w:color="auto" w:fill="EAF9FF"/>
            <w:vAlign w:val="top"/>
          </w:tcPr>
          <w:p w14:paraId="161F4400">
            <w:pPr>
              <w:pStyle w:val="8"/>
              <w:spacing w:before="66" w:line="237" w:lineRule="exact"/>
              <w:ind w:left="1115"/>
            </w:pPr>
            <w:r>
              <w:rPr>
                <w:color w:val="5F6A72"/>
                <w:spacing w:val="-6"/>
                <w:position w:val="1"/>
              </w:rPr>
              <w:t>48.4</w:t>
            </w:r>
          </w:p>
        </w:tc>
        <w:tc>
          <w:tcPr>
            <w:tcW w:w="2551" w:type="dxa"/>
            <w:tcBorders>
              <w:left w:val="nil"/>
              <w:right w:val="nil"/>
            </w:tcBorders>
            <w:shd w:val="clear" w:color="auto" w:fill="EAF9FF"/>
            <w:vAlign w:val="top"/>
          </w:tcPr>
          <w:p w14:paraId="4D6CAAF8">
            <w:pPr>
              <w:pStyle w:val="8"/>
              <w:spacing w:before="66" w:line="237" w:lineRule="exact"/>
              <w:ind w:left="1123"/>
            </w:pPr>
            <w:r>
              <w:rPr>
                <w:color w:val="5F6A72"/>
                <w:spacing w:val="-7"/>
                <w:position w:val="1"/>
              </w:rPr>
              <w:t>51.1</w:t>
            </w:r>
          </w:p>
        </w:tc>
        <w:tc>
          <w:tcPr>
            <w:tcW w:w="2551" w:type="dxa"/>
            <w:tcBorders>
              <w:left w:val="nil"/>
              <w:right w:val="nil"/>
            </w:tcBorders>
            <w:shd w:val="clear" w:color="auto" w:fill="E5819D"/>
            <w:vAlign w:val="top"/>
          </w:tcPr>
          <w:p w14:paraId="0ED99AC9">
            <w:pPr>
              <w:pStyle w:val="8"/>
              <w:spacing w:before="66" w:line="237" w:lineRule="exact"/>
              <w:ind w:left="1119"/>
            </w:pPr>
            <w:r>
              <w:rPr>
                <w:color w:val="5F6A72"/>
                <w:spacing w:val="-6"/>
                <w:position w:val="1"/>
              </w:rPr>
              <w:t>49.7</w:t>
            </w:r>
          </w:p>
        </w:tc>
      </w:tr>
      <w:tr w14:paraId="653545C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551" w:type="dxa"/>
            <w:tcBorders>
              <w:left w:val="nil"/>
            </w:tcBorders>
            <w:vAlign w:val="top"/>
          </w:tcPr>
          <w:p w14:paraId="76EBC1C3">
            <w:pPr>
              <w:pStyle w:val="8"/>
              <w:spacing w:before="108" w:line="183" w:lineRule="auto"/>
              <w:ind w:left="18"/>
            </w:pPr>
            <w:r>
              <w:rPr>
                <w:color w:val="2A8ABF"/>
                <w:spacing w:val="-13"/>
              </w:rPr>
              <w:t>Peru</w:t>
            </w:r>
          </w:p>
        </w:tc>
        <w:tc>
          <w:tcPr>
            <w:tcW w:w="2551" w:type="dxa"/>
            <w:tcBorders>
              <w:right w:val="nil"/>
            </w:tcBorders>
            <w:vAlign w:val="top"/>
          </w:tcPr>
          <w:p w14:paraId="64FBB1B6">
            <w:pPr>
              <w:pStyle w:val="8"/>
              <w:spacing w:before="66" w:line="237" w:lineRule="exact"/>
              <w:ind w:left="1120"/>
            </w:pPr>
            <w:r>
              <w:rPr>
                <w:color w:val="5F6A72"/>
                <w:spacing w:val="-7"/>
                <w:position w:val="1"/>
              </w:rPr>
              <w:t>64.8</w:t>
            </w:r>
          </w:p>
        </w:tc>
        <w:tc>
          <w:tcPr>
            <w:tcW w:w="2551" w:type="dxa"/>
            <w:tcBorders>
              <w:left w:val="nil"/>
              <w:right w:val="nil"/>
            </w:tcBorders>
            <w:vAlign w:val="top"/>
          </w:tcPr>
          <w:p w14:paraId="72B4EB55">
            <w:pPr>
              <w:pStyle w:val="8"/>
              <w:spacing w:before="66" w:line="237" w:lineRule="exact"/>
              <w:ind w:left="1119"/>
            </w:pPr>
            <w:r>
              <w:rPr>
                <w:color w:val="5F6A72"/>
                <w:spacing w:val="-6"/>
                <w:position w:val="1"/>
              </w:rPr>
              <w:t>37.9</w:t>
            </w:r>
          </w:p>
        </w:tc>
        <w:tc>
          <w:tcPr>
            <w:tcW w:w="2551" w:type="dxa"/>
            <w:tcBorders>
              <w:left w:val="nil"/>
              <w:right w:val="nil"/>
            </w:tcBorders>
            <w:shd w:val="clear" w:color="auto" w:fill="E5819D"/>
            <w:vAlign w:val="top"/>
          </w:tcPr>
          <w:p w14:paraId="4F83DE82">
            <w:pPr>
              <w:pStyle w:val="8"/>
              <w:spacing w:before="66" w:line="237" w:lineRule="exact"/>
              <w:ind w:left="1124"/>
            </w:pPr>
            <w:r>
              <w:rPr>
                <w:color w:val="5F6A72"/>
                <w:spacing w:val="-7"/>
                <w:position w:val="1"/>
              </w:rPr>
              <w:t>51.4</w:t>
            </w:r>
          </w:p>
        </w:tc>
      </w:tr>
      <w:tr w14:paraId="67EF77F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shd w:val="clear" w:color="auto" w:fill="EAF9FF"/>
            <w:vAlign w:val="top"/>
          </w:tcPr>
          <w:p w14:paraId="109496DD">
            <w:pPr>
              <w:pStyle w:val="8"/>
              <w:spacing w:before="66" w:line="237" w:lineRule="exact"/>
              <w:ind w:left="12"/>
            </w:pPr>
            <w:r>
              <w:rPr>
                <w:color w:val="2A8ABF"/>
                <w:spacing w:val="-9"/>
                <w:position w:val="1"/>
              </w:rPr>
              <w:t>Chile</w:t>
            </w:r>
          </w:p>
        </w:tc>
        <w:tc>
          <w:tcPr>
            <w:tcW w:w="2551" w:type="dxa"/>
            <w:tcBorders>
              <w:right w:val="nil"/>
            </w:tcBorders>
            <w:shd w:val="clear" w:color="auto" w:fill="EAF9FF"/>
            <w:vAlign w:val="top"/>
          </w:tcPr>
          <w:p w14:paraId="3E5918DA">
            <w:pPr>
              <w:pStyle w:val="8"/>
              <w:spacing w:before="66" w:line="237" w:lineRule="exact"/>
              <w:ind w:left="1115"/>
            </w:pPr>
            <w:r>
              <w:rPr>
                <w:color w:val="5F6A72"/>
                <w:spacing w:val="-6"/>
                <w:position w:val="1"/>
              </w:rPr>
              <w:t>30.8</w:t>
            </w:r>
          </w:p>
        </w:tc>
        <w:tc>
          <w:tcPr>
            <w:tcW w:w="2551" w:type="dxa"/>
            <w:tcBorders>
              <w:left w:val="nil"/>
              <w:right w:val="nil"/>
            </w:tcBorders>
            <w:shd w:val="clear" w:color="auto" w:fill="EAF9FF"/>
            <w:vAlign w:val="top"/>
          </w:tcPr>
          <w:p w14:paraId="535EB9F9">
            <w:pPr>
              <w:pStyle w:val="8"/>
              <w:spacing w:before="66" w:line="237" w:lineRule="exact"/>
              <w:ind w:left="1119"/>
            </w:pPr>
            <w:r>
              <w:rPr>
                <w:color w:val="5F6A72"/>
                <w:spacing w:val="-6"/>
                <w:position w:val="1"/>
              </w:rPr>
              <w:t>37.9</w:t>
            </w:r>
          </w:p>
        </w:tc>
        <w:tc>
          <w:tcPr>
            <w:tcW w:w="2551" w:type="dxa"/>
            <w:tcBorders>
              <w:left w:val="nil"/>
              <w:right w:val="nil"/>
            </w:tcBorders>
            <w:shd w:val="clear" w:color="auto" w:fill="E5819D"/>
            <w:vAlign w:val="top"/>
          </w:tcPr>
          <w:p w14:paraId="51D31F43">
            <w:pPr>
              <w:pStyle w:val="8"/>
              <w:spacing w:before="66" w:line="237" w:lineRule="exact"/>
              <w:ind w:left="1119"/>
            </w:pPr>
            <w:r>
              <w:rPr>
                <w:color w:val="5F6A72"/>
                <w:spacing w:val="-6"/>
                <w:position w:val="1"/>
              </w:rPr>
              <w:t>34.3</w:t>
            </w:r>
          </w:p>
        </w:tc>
      </w:tr>
      <w:tr w14:paraId="4738944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vAlign w:val="top"/>
          </w:tcPr>
          <w:p w14:paraId="7D1A2AC4">
            <w:pPr>
              <w:pStyle w:val="8"/>
              <w:spacing w:before="66" w:line="237" w:lineRule="exact"/>
              <w:ind w:left="18"/>
            </w:pPr>
            <w:r>
              <w:rPr>
                <w:color w:val="2A8ABF"/>
                <w:spacing w:val="-12"/>
                <w:position w:val="1"/>
              </w:rPr>
              <w:t>Ecuador</w:t>
            </w:r>
          </w:p>
        </w:tc>
        <w:tc>
          <w:tcPr>
            <w:tcW w:w="2551" w:type="dxa"/>
            <w:tcBorders>
              <w:right w:val="nil"/>
            </w:tcBorders>
            <w:vAlign w:val="top"/>
          </w:tcPr>
          <w:p w14:paraId="4BA31651">
            <w:pPr>
              <w:pStyle w:val="8"/>
              <w:spacing w:before="66" w:line="237" w:lineRule="exact"/>
              <w:ind w:left="1119"/>
            </w:pPr>
            <w:r>
              <w:rPr>
                <w:color w:val="5F6A72"/>
                <w:spacing w:val="-7"/>
                <w:position w:val="1"/>
              </w:rPr>
              <w:t>51.6</w:t>
            </w:r>
          </w:p>
        </w:tc>
        <w:tc>
          <w:tcPr>
            <w:tcW w:w="2551" w:type="dxa"/>
            <w:tcBorders>
              <w:left w:val="nil"/>
              <w:right w:val="nil"/>
            </w:tcBorders>
            <w:vAlign w:val="top"/>
          </w:tcPr>
          <w:p w14:paraId="29D9120C">
            <w:pPr>
              <w:pStyle w:val="8"/>
              <w:spacing w:before="66" w:line="237" w:lineRule="exact"/>
              <w:ind w:left="1123"/>
            </w:pPr>
            <w:r>
              <w:rPr>
                <w:color w:val="5F6A72"/>
                <w:spacing w:val="-7"/>
                <w:position w:val="1"/>
              </w:rPr>
              <w:t>86.3</w:t>
            </w:r>
          </w:p>
        </w:tc>
        <w:tc>
          <w:tcPr>
            <w:tcW w:w="2551" w:type="dxa"/>
            <w:tcBorders>
              <w:left w:val="nil"/>
              <w:right w:val="nil"/>
            </w:tcBorders>
            <w:shd w:val="clear" w:color="auto" w:fill="E5819D"/>
            <w:vAlign w:val="top"/>
          </w:tcPr>
          <w:p w14:paraId="35240518">
            <w:pPr>
              <w:pStyle w:val="8"/>
              <w:spacing w:before="66" w:line="237" w:lineRule="exact"/>
              <w:ind w:left="1124"/>
            </w:pPr>
            <w:r>
              <w:rPr>
                <w:color w:val="5F6A72"/>
                <w:spacing w:val="-7"/>
                <w:position w:val="1"/>
              </w:rPr>
              <w:t>69.0</w:t>
            </w:r>
          </w:p>
        </w:tc>
      </w:tr>
      <w:tr w14:paraId="53C3FD5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shd w:val="clear" w:color="auto" w:fill="EAF9FF"/>
            <w:vAlign w:val="top"/>
          </w:tcPr>
          <w:p w14:paraId="399D1B4B">
            <w:pPr>
              <w:pStyle w:val="8"/>
              <w:spacing w:before="66" w:line="238" w:lineRule="exact"/>
              <w:ind w:left="3"/>
            </w:pPr>
            <w:r>
              <w:rPr>
                <w:color w:val="2A8ABF"/>
                <w:spacing w:val="-8"/>
                <w:position w:val="1"/>
              </w:rPr>
              <w:t>Venezuela</w:t>
            </w:r>
          </w:p>
        </w:tc>
        <w:tc>
          <w:tcPr>
            <w:tcW w:w="2551" w:type="dxa"/>
            <w:tcBorders>
              <w:right w:val="nil"/>
            </w:tcBorders>
            <w:shd w:val="clear" w:color="auto" w:fill="EAF9FF"/>
            <w:vAlign w:val="top"/>
          </w:tcPr>
          <w:p w14:paraId="3FBE11B8">
            <w:pPr>
              <w:pStyle w:val="8"/>
              <w:spacing w:before="66" w:line="238" w:lineRule="exact"/>
              <w:ind w:left="1119"/>
            </w:pPr>
            <w:r>
              <w:rPr>
                <w:color w:val="5F6A72"/>
                <w:spacing w:val="-7"/>
                <w:position w:val="1"/>
              </w:rPr>
              <w:t>86.8</w:t>
            </w:r>
          </w:p>
        </w:tc>
        <w:tc>
          <w:tcPr>
            <w:tcW w:w="2551" w:type="dxa"/>
            <w:tcBorders>
              <w:left w:val="nil"/>
              <w:right w:val="nil"/>
            </w:tcBorders>
            <w:shd w:val="clear" w:color="auto" w:fill="EAF9FF"/>
            <w:vAlign w:val="top"/>
          </w:tcPr>
          <w:p w14:paraId="22641943">
            <w:pPr>
              <w:pStyle w:val="8"/>
              <w:spacing w:before="66" w:line="238" w:lineRule="exact"/>
              <w:ind w:left="1123"/>
            </w:pPr>
            <w:r>
              <w:rPr>
                <w:color w:val="5F6A72"/>
                <w:spacing w:val="-7"/>
                <w:position w:val="1"/>
              </w:rPr>
              <w:t>98.9</w:t>
            </w:r>
          </w:p>
        </w:tc>
        <w:tc>
          <w:tcPr>
            <w:tcW w:w="2551" w:type="dxa"/>
            <w:tcBorders>
              <w:left w:val="nil"/>
              <w:right w:val="nil"/>
            </w:tcBorders>
            <w:shd w:val="clear" w:color="auto" w:fill="E5819D"/>
            <w:vAlign w:val="top"/>
          </w:tcPr>
          <w:p w14:paraId="783EB334">
            <w:pPr>
              <w:pStyle w:val="8"/>
              <w:spacing w:before="66" w:line="238" w:lineRule="exact"/>
              <w:ind w:left="1123"/>
            </w:pPr>
            <w:r>
              <w:rPr>
                <w:color w:val="5F6A72"/>
                <w:spacing w:val="-7"/>
                <w:position w:val="1"/>
              </w:rPr>
              <w:t>92.9</w:t>
            </w:r>
          </w:p>
        </w:tc>
      </w:tr>
      <w:tr w14:paraId="6920119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551" w:type="dxa"/>
            <w:tcBorders>
              <w:left w:val="nil"/>
            </w:tcBorders>
            <w:vAlign w:val="top"/>
          </w:tcPr>
          <w:p w14:paraId="69BBCF4E">
            <w:pPr>
              <w:pStyle w:val="8"/>
              <w:spacing w:before="67" w:line="237" w:lineRule="exact"/>
              <w:ind w:left="18"/>
            </w:pPr>
            <w:r>
              <w:rPr>
                <w:color w:val="2A8ABF"/>
                <w:spacing w:val="-8"/>
                <w:position w:val="1"/>
              </w:rPr>
              <w:t>Bolivia</w:t>
            </w:r>
          </w:p>
        </w:tc>
        <w:tc>
          <w:tcPr>
            <w:tcW w:w="2551" w:type="dxa"/>
            <w:tcBorders>
              <w:right w:val="nil"/>
            </w:tcBorders>
            <w:vAlign w:val="top"/>
          </w:tcPr>
          <w:p w14:paraId="262163C0">
            <w:pPr>
              <w:pStyle w:val="8"/>
              <w:spacing w:before="67" w:line="237" w:lineRule="exact"/>
              <w:ind w:left="1115"/>
            </w:pPr>
            <w:r>
              <w:rPr>
                <w:color w:val="5F6A72"/>
                <w:spacing w:val="-6"/>
                <w:position w:val="1"/>
              </w:rPr>
              <w:t>75.8</w:t>
            </w:r>
          </w:p>
        </w:tc>
        <w:tc>
          <w:tcPr>
            <w:tcW w:w="2551" w:type="dxa"/>
            <w:tcBorders>
              <w:left w:val="nil"/>
              <w:right w:val="nil"/>
            </w:tcBorders>
            <w:vAlign w:val="top"/>
          </w:tcPr>
          <w:p w14:paraId="5FF2D409">
            <w:pPr>
              <w:pStyle w:val="8"/>
              <w:spacing w:before="67" w:line="237" w:lineRule="exact"/>
              <w:ind w:left="1119"/>
            </w:pPr>
            <w:r>
              <w:rPr>
                <w:color w:val="5F6A72"/>
                <w:spacing w:val="-6"/>
                <w:position w:val="1"/>
              </w:rPr>
              <w:t>37.9</w:t>
            </w:r>
          </w:p>
        </w:tc>
        <w:tc>
          <w:tcPr>
            <w:tcW w:w="2551" w:type="dxa"/>
            <w:tcBorders>
              <w:left w:val="nil"/>
              <w:right w:val="nil"/>
            </w:tcBorders>
            <w:shd w:val="clear" w:color="auto" w:fill="E5819D"/>
            <w:vAlign w:val="top"/>
          </w:tcPr>
          <w:p w14:paraId="045475C1">
            <w:pPr>
              <w:pStyle w:val="8"/>
              <w:spacing w:before="67" w:line="237" w:lineRule="exact"/>
              <w:ind w:left="1124"/>
            </w:pPr>
            <w:r>
              <w:rPr>
                <w:color w:val="5F6A72"/>
                <w:spacing w:val="-7"/>
                <w:position w:val="1"/>
              </w:rPr>
              <w:t>56.9</w:t>
            </w:r>
          </w:p>
        </w:tc>
      </w:tr>
      <w:tr w14:paraId="22178BC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551" w:type="dxa"/>
            <w:tcBorders>
              <w:left w:val="nil"/>
            </w:tcBorders>
            <w:shd w:val="clear" w:color="auto" w:fill="EAF9FF"/>
            <w:vAlign w:val="top"/>
          </w:tcPr>
          <w:p w14:paraId="1D8C126E">
            <w:pPr>
              <w:pStyle w:val="8"/>
              <w:spacing w:before="67" w:line="234" w:lineRule="auto"/>
              <w:ind w:left="5"/>
            </w:pPr>
            <w:r>
              <w:rPr>
                <w:color w:val="2A8ABF"/>
                <w:spacing w:val="-9"/>
              </w:rPr>
              <w:t>Trinidad</w:t>
            </w:r>
            <w:r>
              <w:rPr>
                <w:color w:val="2A8ABF"/>
                <w:spacing w:val="-18"/>
              </w:rPr>
              <w:t xml:space="preserve"> </w:t>
            </w:r>
            <w:r>
              <w:rPr>
                <w:color w:val="2A8ABF"/>
                <w:spacing w:val="-9"/>
              </w:rPr>
              <w:t>And</w:t>
            </w:r>
            <w:r>
              <w:rPr>
                <w:color w:val="2A8ABF"/>
                <w:spacing w:val="-16"/>
              </w:rPr>
              <w:t xml:space="preserve"> </w:t>
            </w:r>
            <w:r>
              <w:rPr>
                <w:color w:val="2A8ABF"/>
                <w:spacing w:val="-9"/>
              </w:rPr>
              <w:t>Tobago</w:t>
            </w:r>
          </w:p>
        </w:tc>
        <w:tc>
          <w:tcPr>
            <w:tcW w:w="2551" w:type="dxa"/>
            <w:tcBorders>
              <w:right w:val="nil"/>
            </w:tcBorders>
            <w:shd w:val="clear" w:color="auto" w:fill="EAF9FF"/>
            <w:vAlign w:val="top"/>
          </w:tcPr>
          <w:p w14:paraId="4544A0EF">
            <w:pPr>
              <w:pStyle w:val="8"/>
              <w:spacing w:before="67" w:line="237" w:lineRule="exact"/>
              <w:ind w:left="1120"/>
            </w:pPr>
            <w:r>
              <w:rPr>
                <w:color w:val="5F6A72"/>
                <w:spacing w:val="-7"/>
                <w:position w:val="1"/>
              </w:rPr>
              <w:t>62.6</w:t>
            </w:r>
          </w:p>
        </w:tc>
        <w:tc>
          <w:tcPr>
            <w:tcW w:w="2551" w:type="dxa"/>
            <w:tcBorders>
              <w:left w:val="nil"/>
              <w:right w:val="nil"/>
            </w:tcBorders>
            <w:shd w:val="clear" w:color="auto" w:fill="EAF9FF"/>
            <w:vAlign w:val="top"/>
          </w:tcPr>
          <w:p w14:paraId="612B639C">
            <w:pPr>
              <w:pStyle w:val="8"/>
              <w:spacing w:before="67" w:line="237" w:lineRule="exact"/>
              <w:ind w:left="1119"/>
            </w:pPr>
            <w:r>
              <w:rPr>
                <w:color w:val="5F6A72"/>
                <w:spacing w:val="-6"/>
                <w:position w:val="1"/>
              </w:rPr>
              <w:t>37.9</w:t>
            </w:r>
          </w:p>
        </w:tc>
        <w:tc>
          <w:tcPr>
            <w:tcW w:w="2551" w:type="dxa"/>
            <w:tcBorders>
              <w:left w:val="nil"/>
              <w:right w:val="nil"/>
            </w:tcBorders>
            <w:shd w:val="clear" w:color="auto" w:fill="E5819D"/>
            <w:vAlign w:val="top"/>
          </w:tcPr>
          <w:p w14:paraId="2B4E9FBD">
            <w:pPr>
              <w:pStyle w:val="8"/>
              <w:spacing w:before="67" w:line="237" w:lineRule="exact"/>
              <w:ind w:left="1124"/>
            </w:pPr>
            <w:r>
              <w:rPr>
                <w:color w:val="5F6A72"/>
                <w:spacing w:val="-7"/>
                <w:position w:val="1"/>
              </w:rPr>
              <w:t>50.3</w:t>
            </w:r>
          </w:p>
        </w:tc>
      </w:tr>
      <w:tr w14:paraId="1FBE597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551" w:type="dxa"/>
            <w:tcBorders>
              <w:left w:val="nil"/>
            </w:tcBorders>
            <w:vAlign w:val="top"/>
          </w:tcPr>
          <w:p w14:paraId="7EFE5B4F">
            <w:pPr>
              <w:pStyle w:val="8"/>
              <w:spacing w:before="106" w:line="184" w:lineRule="auto"/>
              <w:ind w:left="12"/>
            </w:pPr>
            <w:r>
              <w:rPr>
                <w:color w:val="2A8ABF"/>
                <w:spacing w:val="-13"/>
              </w:rPr>
              <w:t>Guyana</w:t>
            </w:r>
          </w:p>
        </w:tc>
        <w:tc>
          <w:tcPr>
            <w:tcW w:w="2551" w:type="dxa"/>
            <w:tcBorders>
              <w:right w:val="nil"/>
            </w:tcBorders>
            <w:vAlign w:val="top"/>
          </w:tcPr>
          <w:p w14:paraId="19A71DBE">
            <w:pPr>
              <w:pStyle w:val="8"/>
              <w:spacing w:before="67" w:line="237" w:lineRule="exact"/>
              <w:ind w:left="1119"/>
            </w:pPr>
            <w:r>
              <w:rPr>
                <w:color w:val="5F6A72"/>
                <w:spacing w:val="-7"/>
                <w:position w:val="1"/>
              </w:rPr>
              <w:t>87.9</w:t>
            </w:r>
          </w:p>
        </w:tc>
        <w:tc>
          <w:tcPr>
            <w:tcW w:w="2551" w:type="dxa"/>
            <w:tcBorders>
              <w:left w:val="nil"/>
              <w:right w:val="nil"/>
            </w:tcBorders>
            <w:vAlign w:val="top"/>
          </w:tcPr>
          <w:p w14:paraId="08EDBD52">
            <w:pPr>
              <w:pStyle w:val="8"/>
              <w:spacing w:before="67" w:line="237" w:lineRule="exact"/>
              <w:ind w:left="1123"/>
            </w:pPr>
            <w:r>
              <w:rPr>
                <w:color w:val="5F6A72"/>
                <w:spacing w:val="-7"/>
                <w:position w:val="1"/>
              </w:rPr>
              <w:t>92.3</w:t>
            </w:r>
          </w:p>
        </w:tc>
        <w:tc>
          <w:tcPr>
            <w:tcW w:w="2551" w:type="dxa"/>
            <w:tcBorders>
              <w:left w:val="nil"/>
              <w:right w:val="nil"/>
            </w:tcBorders>
            <w:shd w:val="clear" w:color="auto" w:fill="E5819D"/>
            <w:vAlign w:val="top"/>
          </w:tcPr>
          <w:p w14:paraId="003528D1">
            <w:pPr>
              <w:pStyle w:val="8"/>
              <w:spacing w:before="67" w:line="237" w:lineRule="exact"/>
              <w:ind w:left="1123"/>
            </w:pPr>
            <w:r>
              <w:rPr>
                <w:color w:val="5F6A72"/>
                <w:spacing w:val="-7"/>
                <w:position w:val="1"/>
              </w:rPr>
              <w:t>90.1</w:t>
            </w:r>
          </w:p>
        </w:tc>
      </w:tr>
      <w:tr w14:paraId="60494C3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551" w:type="dxa"/>
            <w:tcBorders>
              <w:left w:val="nil"/>
            </w:tcBorders>
            <w:shd w:val="clear" w:color="auto" w:fill="EAF9FF"/>
            <w:vAlign w:val="top"/>
          </w:tcPr>
          <w:p w14:paraId="3E0F790A">
            <w:pPr>
              <w:pStyle w:val="8"/>
              <w:rPr>
                <w:sz w:val="21"/>
              </w:rPr>
            </w:pPr>
          </w:p>
        </w:tc>
        <w:tc>
          <w:tcPr>
            <w:tcW w:w="2551" w:type="dxa"/>
            <w:tcBorders>
              <w:right w:val="nil"/>
            </w:tcBorders>
            <w:shd w:val="clear" w:color="auto" w:fill="EAF9FF"/>
            <w:vAlign w:val="top"/>
          </w:tcPr>
          <w:p w14:paraId="33E9C74A">
            <w:pPr>
              <w:pStyle w:val="8"/>
              <w:rPr>
                <w:sz w:val="21"/>
              </w:rPr>
            </w:pPr>
          </w:p>
        </w:tc>
        <w:tc>
          <w:tcPr>
            <w:tcW w:w="2551" w:type="dxa"/>
            <w:tcBorders>
              <w:left w:val="nil"/>
              <w:right w:val="nil"/>
            </w:tcBorders>
            <w:shd w:val="clear" w:color="auto" w:fill="EAF9FF"/>
            <w:vAlign w:val="top"/>
          </w:tcPr>
          <w:p w14:paraId="5439023D">
            <w:pPr>
              <w:pStyle w:val="8"/>
              <w:rPr>
                <w:sz w:val="21"/>
              </w:rPr>
            </w:pPr>
          </w:p>
        </w:tc>
        <w:tc>
          <w:tcPr>
            <w:tcW w:w="2551" w:type="dxa"/>
            <w:tcBorders>
              <w:left w:val="nil"/>
              <w:right w:val="nil"/>
            </w:tcBorders>
            <w:shd w:val="clear" w:color="auto" w:fill="E5819D"/>
            <w:vAlign w:val="top"/>
          </w:tcPr>
          <w:p w14:paraId="593C51E5">
            <w:pPr>
              <w:pStyle w:val="8"/>
              <w:rPr>
                <w:sz w:val="21"/>
              </w:rPr>
            </w:pPr>
          </w:p>
        </w:tc>
      </w:tr>
      <w:tr w14:paraId="1CEEF16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551" w:type="dxa"/>
            <w:tcBorders>
              <w:left w:val="nil"/>
            </w:tcBorders>
            <w:vAlign w:val="top"/>
          </w:tcPr>
          <w:p w14:paraId="1CBCB5A2">
            <w:pPr>
              <w:pStyle w:val="8"/>
              <w:spacing w:before="65" w:line="234" w:lineRule="auto"/>
              <w:ind w:left="12"/>
            </w:pPr>
            <w:r>
              <w:rPr>
                <w:color w:val="2A8ABF"/>
                <w:spacing w:val="-11"/>
              </w:rPr>
              <w:t>Global</w:t>
            </w:r>
            <w:r>
              <w:rPr>
                <w:color w:val="2A8ABF"/>
                <w:spacing w:val="-2"/>
              </w:rPr>
              <w:t xml:space="preserve"> </w:t>
            </w:r>
            <w:r>
              <w:rPr>
                <w:color w:val="2A8ABF"/>
                <w:spacing w:val="-11"/>
              </w:rPr>
              <w:t>average</w:t>
            </w:r>
          </w:p>
        </w:tc>
        <w:tc>
          <w:tcPr>
            <w:tcW w:w="2551" w:type="dxa"/>
            <w:tcBorders>
              <w:right w:val="nil"/>
            </w:tcBorders>
            <w:vAlign w:val="top"/>
          </w:tcPr>
          <w:p w14:paraId="2F7C4558">
            <w:pPr>
              <w:pStyle w:val="8"/>
              <w:spacing w:before="65" w:line="238" w:lineRule="exact"/>
              <w:ind w:left="1119"/>
            </w:pPr>
            <w:r>
              <w:rPr>
                <w:color w:val="5F6A72"/>
                <w:spacing w:val="-7"/>
                <w:position w:val="1"/>
              </w:rPr>
              <w:t>50.0</w:t>
            </w:r>
          </w:p>
        </w:tc>
        <w:tc>
          <w:tcPr>
            <w:tcW w:w="2551" w:type="dxa"/>
            <w:tcBorders>
              <w:left w:val="nil"/>
              <w:right w:val="nil"/>
            </w:tcBorders>
            <w:vAlign w:val="top"/>
          </w:tcPr>
          <w:p w14:paraId="44659EA9">
            <w:pPr>
              <w:pStyle w:val="8"/>
              <w:spacing w:before="65" w:line="238" w:lineRule="exact"/>
              <w:ind w:left="1123"/>
            </w:pPr>
            <w:r>
              <w:rPr>
                <w:color w:val="5F6A72"/>
                <w:spacing w:val="-7"/>
                <w:position w:val="1"/>
              </w:rPr>
              <w:t>50.0</w:t>
            </w:r>
          </w:p>
        </w:tc>
        <w:tc>
          <w:tcPr>
            <w:tcW w:w="2551" w:type="dxa"/>
            <w:tcBorders>
              <w:left w:val="nil"/>
              <w:right w:val="nil"/>
            </w:tcBorders>
            <w:shd w:val="clear" w:color="auto" w:fill="E5819D"/>
            <w:vAlign w:val="top"/>
          </w:tcPr>
          <w:p w14:paraId="79CCA1EB">
            <w:pPr>
              <w:pStyle w:val="8"/>
              <w:spacing w:before="65" w:line="238" w:lineRule="exact"/>
              <w:ind w:left="1124"/>
            </w:pPr>
            <w:r>
              <w:rPr>
                <w:color w:val="5F6A72"/>
                <w:spacing w:val="-7"/>
                <w:position w:val="1"/>
              </w:rPr>
              <w:t>50.0</w:t>
            </w:r>
          </w:p>
        </w:tc>
      </w:tr>
      <w:tr w14:paraId="4F98BC8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2551" w:type="dxa"/>
            <w:tcBorders>
              <w:left w:val="nil"/>
              <w:bottom w:val="nil"/>
            </w:tcBorders>
            <w:shd w:val="clear" w:color="auto" w:fill="EAF9FF"/>
            <w:vAlign w:val="top"/>
          </w:tcPr>
          <w:p w14:paraId="70898579">
            <w:pPr>
              <w:pStyle w:val="8"/>
              <w:spacing w:before="65" w:line="234" w:lineRule="auto"/>
              <w:ind w:left="18"/>
            </w:pPr>
            <w:r>
              <w:rPr>
                <w:color w:val="2A8ABF"/>
                <w:spacing w:val="-11"/>
              </w:rPr>
              <w:t>Regional</w:t>
            </w:r>
            <w:r>
              <w:rPr>
                <w:color w:val="2A8ABF"/>
              </w:rPr>
              <w:t xml:space="preserve"> </w:t>
            </w:r>
            <w:r>
              <w:rPr>
                <w:color w:val="2A8ABF"/>
                <w:spacing w:val="-11"/>
              </w:rPr>
              <w:t>average</w:t>
            </w:r>
          </w:p>
        </w:tc>
        <w:tc>
          <w:tcPr>
            <w:tcW w:w="2551" w:type="dxa"/>
            <w:tcBorders>
              <w:bottom w:val="nil"/>
              <w:right w:val="nil"/>
            </w:tcBorders>
            <w:shd w:val="clear" w:color="auto" w:fill="EAF9FF"/>
            <w:vAlign w:val="top"/>
          </w:tcPr>
          <w:p w14:paraId="76317716">
            <w:pPr>
              <w:pStyle w:val="8"/>
              <w:spacing w:before="65" w:line="237" w:lineRule="exact"/>
              <w:ind w:left="1120"/>
            </w:pPr>
            <w:r>
              <w:rPr>
                <w:color w:val="5F6A72"/>
                <w:spacing w:val="-7"/>
                <w:position w:val="1"/>
              </w:rPr>
              <w:t>60.0</w:t>
            </w:r>
          </w:p>
        </w:tc>
        <w:tc>
          <w:tcPr>
            <w:tcW w:w="2551" w:type="dxa"/>
            <w:tcBorders>
              <w:left w:val="nil"/>
              <w:bottom w:val="nil"/>
              <w:right w:val="nil"/>
            </w:tcBorders>
            <w:shd w:val="clear" w:color="auto" w:fill="EAF9FF"/>
            <w:vAlign w:val="top"/>
          </w:tcPr>
          <w:p w14:paraId="623129BF">
            <w:pPr>
              <w:pStyle w:val="8"/>
              <w:spacing w:before="65" w:line="237" w:lineRule="exact"/>
              <w:ind w:left="1124"/>
            </w:pPr>
            <w:r>
              <w:rPr>
                <w:color w:val="5F6A72"/>
                <w:spacing w:val="-7"/>
                <w:position w:val="1"/>
              </w:rPr>
              <w:t>64.1</w:t>
            </w:r>
          </w:p>
        </w:tc>
        <w:tc>
          <w:tcPr>
            <w:tcW w:w="2551" w:type="dxa"/>
            <w:tcBorders>
              <w:left w:val="nil"/>
              <w:bottom w:val="nil"/>
              <w:right w:val="nil"/>
            </w:tcBorders>
            <w:shd w:val="clear" w:color="auto" w:fill="E5819D"/>
            <w:vAlign w:val="top"/>
          </w:tcPr>
          <w:p w14:paraId="24933C80">
            <w:pPr>
              <w:pStyle w:val="8"/>
              <w:spacing w:before="65" w:line="237" w:lineRule="exact"/>
              <w:ind w:left="1124"/>
            </w:pPr>
            <w:r>
              <w:rPr>
                <w:color w:val="5F6A72"/>
                <w:spacing w:val="-7"/>
                <w:position w:val="1"/>
              </w:rPr>
              <w:t>62.1</w:t>
            </w:r>
          </w:p>
        </w:tc>
      </w:tr>
    </w:tbl>
    <w:p w14:paraId="50B5A36F">
      <w:pPr>
        <w:pStyle w:val="4"/>
        <w:spacing w:before="149" w:line="177" w:lineRule="exact"/>
        <w:ind w:left="372"/>
        <w:rPr>
          <w:sz w:val="15"/>
          <w:szCs w:val="15"/>
        </w:rPr>
      </w:pPr>
      <w:r>
        <w:drawing>
          <wp:anchor distT="0" distB="0" distL="0" distR="0" simplePos="0" relativeHeight="251896832"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position w:val="1"/>
          <w:sz w:val="15"/>
          <w:szCs w:val="15"/>
        </w:rPr>
        <w:t>Note: Scores out</w:t>
      </w:r>
      <w:r>
        <w:rPr>
          <w:i/>
          <w:iCs/>
          <w:color w:val="333333"/>
          <w:spacing w:val="-10"/>
          <w:position w:val="1"/>
          <w:sz w:val="15"/>
          <w:szCs w:val="15"/>
        </w:rPr>
        <w:t xml:space="preserve"> </w:t>
      </w:r>
      <w:r>
        <w:rPr>
          <w:i/>
          <w:iCs/>
          <w:color w:val="333333"/>
          <w:spacing w:val="-5"/>
          <w:w w:val="94"/>
          <w:position w:val="1"/>
          <w:sz w:val="15"/>
          <w:szCs w:val="15"/>
        </w:rPr>
        <w:t>of</w:t>
      </w:r>
      <w:r>
        <w:rPr>
          <w:i/>
          <w:iCs/>
          <w:color w:val="333333"/>
          <w:spacing w:val="-11"/>
          <w:position w:val="1"/>
          <w:sz w:val="15"/>
          <w:szCs w:val="15"/>
        </w:rPr>
        <w:t xml:space="preserve"> </w:t>
      </w:r>
      <w:r>
        <w:rPr>
          <w:i/>
          <w:iCs/>
          <w:color w:val="333333"/>
          <w:spacing w:val="-5"/>
          <w:w w:val="94"/>
          <w:position w:val="1"/>
          <w:sz w:val="15"/>
          <w:szCs w:val="15"/>
        </w:rPr>
        <w:t>100;</w:t>
      </w:r>
      <w:r>
        <w:rPr>
          <w:i/>
          <w:iCs/>
          <w:color w:val="333333"/>
          <w:spacing w:val="-8"/>
          <w:position w:val="1"/>
          <w:sz w:val="15"/>
          <w:szCs w:val="15"/>
        </w:rPr>
        <w:t xml:space="preserve"> </w:t>
      </w:r>
      <w:r>
        <w:rPr>
          <w:i/>
          <w:iCs/>
          <w:color w:val="333333"/>
          <w:spacing w:val="-5"/>
          <w:w w:val="94"/>
          <w:position w:val="1"/>
          <w:sz w:val="15"/>
          <w:szCs w:val="15"/>
        </w:rPr>
        <w:t>lower</w:t>
      </w:r>
      <w:r>
        <w:rPr>
          <w:i/>
          <w:iCs/>
          <w:color w:val="333333"/>
          <w:spacing w:val="-19"/>
          <w:position w:val="1"/>
          <w:sz w:val="15"/>
          <w:szCs w:val="15"/>
        </w:rPr>
        <w:t xml:space="preserve"> </w:t>
      </w:r>
      <w:r>
        <w:rPr>
          <w:i/>
          <w:iCs/>
          <w:color w:val="333333"/>
          <w:spacing w:val="-5"/>
          <w:w w:val="94"/>
          <w:position w:val="1"/>
          <w:sz w:val="15"/>
          <w:szCs w:val="15"/>
        </w:rPr>
        <w:t>score = more attractive mark</w:t>
      </w:r>
      <w:r>
        <w:rPr>
          <w:i/>
          <w:iCs/>
          <w:color w:val="333333"/>
          <w:spacing w:val="-6"/>
          <w:w w:val="94"/>
          <w:position w:val="1"/>
          <w:sz w:val="15"/>
          <w:szCs w:val="15"/>
        </w:rPr>
        <w:t>et. Source: BMI Downstream</w:t>
      </w:r>
      <w:r>
        <w:rPr>
          <w:i/>
          <w:iCs/>
          <w:color w:val="333333"/>
          <w:spacing w:val="4"/>
          <w:position w:val="1"/>
          <w:sz w:val="15"/>
          <w:szCs w:val="15"/>
        </w:rPr>
        <w:t xml:space="preserve"> </w:t>
      </w:r>
      <w:r>
        <w:rPr>
          <w:i/>
          <w:iCs/>
          <w:color w:val="333333"/>
          <w:spacing w:val="-6"/>
          <w:w w:val="94"/>
          <w:position w:val="1"/>
          <w:sz w:val="15"/>
          <w:szCs w:val="15"/>
        </w:rPr>
        <w:t>Oil</w:t>
      </w:r>
      <w:r>
        <w:rPr>
          <w:i/>
          <w:iCs/>
          <w:color w:val="333333"/>
          <w:spacing w:val="-12"/>
          <w:position w:val="1"/>
          <w:sz w:val="15"/>
          <w:szCs w:val="15"/>
        </w:rPr>
        <w:t xml:space="preserve"> </w:t>
      </w:r>
      <w:r>
        <w:rPr>
          <w:i/>
          <w:iCs/>
          <w:color w:val="333333"/>
          <w:spacing w:val="-6"/>
          <w:w w:val="94"/>
          <w:position w:val="1"/>
          <w:sz w:val="15"/>
          <w:szCs w:val="15"/>
        </w:rPr>
        <w:t>&amp; Gas Risk/Reward</w:t>
      </w:r>
      <w:r>
        <w:rPr>
          <w:i/>
          <w:iCs/>
          <w:color w:val="333333"/>
          <w:spacing w:val="-11"/>
          <w:position w:val="1"/>
          <w:sz w:val="15"/>
          <w:szCs w:val="15"/>
        </w:rPr>
        <w:t xml:space="preserve"> </w:t>
      </w:r>
      <w:r>
        <w:rPr>
          <w:i/>
          <w:iCs/>
          <w:color w:val="333333"/>
          <w:spacing w:val="-6"/>
          <w:w w:val="94"/>
          <w:position w:val="1"/>
          <w:sz w:val="15"/>
          <w:szCs w:val="15"/>
        </w:rPr>
        <w:t>Index</w:t>
      </w:r>
    </w:p>
    <w:p w14:paraId="0C2CE9CE">
      <w:pPr>
        <w:pStyle w:val="4"/>
        <w:spacing w:line="242" w:lineRule="auto"/>
      </w:pPr>
    </w:p>
    <w:p w14:paraId="06A6C8BD">
      <w:pPr>
        <w:pStyle w:val="4"/>
        <w:spacing w:before="70" w:line="234" w:lineRule="auto"/>
        <w:ind w:left="427"/>
        <w:rPr>
          <w:sz w:val="24"/>
          <w:szCs w:val="24"/>
        </w:rPr>
      </w:pPr>
      <w:r>
        <w:rPr>
          <w:color w:val="174174"/>
          <w:spacing w:val="-10"/>
          <w:sz w:val="24"/>
          <w:szCs w:val="24"/>
        </w:rPr>
        <w:t>Latin</w:t>
      </w:r>
      <w:r>
        <w:rPr>
          <w:color w:val="174174"/>
          <w:spacing w:val="-24"/>
          <w:sz w:val="24"/>
          <w:szCs w:val="24"/>
        </w:rPr>
        <w:t xml:space="preserve"> </w:t>
      </w:r>
      <w:r>
        <w:rPr>
          <w:color w:val="174174"/>
          <w:spacing w:val="-10"/>
          <w:sz w:val="24"/>
          <w:szCs w:val="24"/>
        </w:rPr>
        <w:t xml:space="preserve">America Downstream Industry </w:t>
      </w:r>
      <w:r>
        <w:rPr>
          <w:color w:val="174174"/>
          <w:spacing w:val="-11"/>
          <w:sz w:val="24"/>
          <w:szCs w:val="24"/>
        </w:rPr>
        <w:t>Risks Index</w:t>
      </w:r>
    </w:p>
    <w:p w14:paraId="0BD1EF07">
      <w:pPr>
        <w:spacing w:line="42"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921"/>
        <w:gridCol w:w="1921"/>
        <w:gridCol w:w="1922"/>
        <w:gridCol w:w="1537"/>
        <w:gridCol w:w="1537"/>
        <w:gridCol w:w="790"/>
        <w:gridCol w:w="576"/>
      </w:tblGrid>
      <w:tr w14:paraId="66E6B69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94" w:hRule="atLeast"/>
        </w:trPr>
        <w:tc>
          <w:tcPr>
            <w:tcW w:w="1921" w:type="dxa"/>
            <w:tcBorders>
              <w:left w:val="nil"/>
            </w:tcBorders>
            <w:vAlign w:val="top"/>
          </w:tcPr>
          <w:p w14:paraId="4E93FF96">
            <w:pPr>
              <w:pStyle w:val="8"/>
              <w:rPr>
                <w:sz w:val="21"/>
              </w:rPr>
            </w:pPr>
          </w:p>
        </w:tc>
        <w:tc>
          <w:tcPr>
            <w:tcW w:w="1921" w:type="dxa"/>
            <w:tcBorders>
              <w:right w:val="nil"/>
            </w:tcBorders>
            <w:vAlign w:val="top"/>
          </w:tcPr>
          <w:p w14:paraId="0749F386">
            <w:pPr>
              <w:pStyle w:val="8"/>
              <w:spacing w:before="69" w:line="291" w:lineRule="auto"/>
              <w:ind w:left="562" w:right="114" w:hanging="432"/>
            </w:pPr>
            <w:r>
              <w:rPr>
                <w:b/>
                <w:bCs/>
                <w:color w:val="5F6A72"/>
                <w:spacing w:val="-11"/>
              </w:rPr>
              <w:t>Long-Term Economic</w:t>
            </w:r>
            <w:r>
              <w:rPr>
                <w:b/>
                <w:bCs/>
                <w:color w:val="5F6A72"/>
                <w:spacing w:val="15"/>
              </w:rPr>
              <w:t xml:space="preserve"> </w:t>
            </w:r>
            <w:r>
              <w:rPr>
                <w:b/>
                <w:bCs/>
                <w:color w:val="5F6A72"/>
                <w:spacing w:val="-9"/>
              </w:rPr>
              <w:t>Risk Index</w:t>
            </w:r>
          </w:p>
        </w:tc>
        <w:tc>
          <w:tcPr>
            <w:tcW w:w="1922" w:type="dxa"/>
            <w:tcBorders>
              <w:left w:val="nil"/>
              <w:right w:val="nil"/>
            </w:tcBorders>
            <w:vAlign w:val="top"/>
          </w:tcPr>
          <w:p w14:paraId="212D9840">
            <w:pPr>
              <w:pStyle w:val="8"/>
              <w:spacing w:before="69" w:line="291" w:lineRule="auto"/>
              <w:ind w:left="566" w:right="98" w:hanging="462"/>
            </w:pPr>
            <w:r>
              <w:rPr>
                <w:b/>
                <w:bCs/>
                <w:color w:val="5F6A72"/>
                <w:spacing w:val="-9"/>
              </w:rPr>
              <w:t>Short-Term Economic</w:t>
            </w:r>
            <w:r>
              <w:rPr>
                <w:b/>
                <w:bCs/>
                <w:color w:val="5F6A72"/>
                <w:spacing w:val="9"/>
              </w:rPr>
              <w:t xml:space="preserve"> </w:t>
            </w:r>
            <w:r>
              <w:rPr>
                <w:b/>
                <w:bCs/>
                <w:color w:val="5F6A72"/>
                <w:spacing w:val="-9"/>
              </w:rPr>
              <w:t>Risk Index</w:t>
            </w:r>
          </w:p>
        </w:tc>
        <w:tc>
          <w:tcPr>
            <w:tcW w:w="1537" w:type="dxa"/>
            <w:tcBorders>
              <w:left w:val="nil"/>
              <w:right w:val="nil"/>
            </w:tcBorders>
            <w:vAlign w:val="top"/>
          </w:tcPr>
          <w:p w14:paraId="5BA1AB36">
            <w:pPr>
              <w:pStyle w:val="8"/>
              <w:spacing w:before="70" w:line="243" w:lineRule="exact"/>
              <w:ind w:left="275"/>
            </w:pPr>
            <w:r>
              <w:rPr>
                <w:b/>
                <w:bCs/>
                <w:color w:val="5F6A72"/>
                <w:spacing w:val="-8"/>
                <w:position w:val="1"/>
              </w:rPr>
              <w:t>Political Risk</w:t>
            </w:r>
          </w:p>
          <w:p w14:paraId="7A65EBDB">
            <w:pPr>
              <w:pStyle w:val="8"/>
              <w:spacing w:before="6" w:line="243" w:lineRule="exact"/>
              <w:ind w:left="561"/>
            </w:pPr>
            <w:r>
              <w:rPr>
                <w:b/>
                <w:bCs/>
                <w:color w:val="5F6A72"/>
                <w:spacing w:val="-7"/>
                <w:position w:val="1"/>
              </w:rPr>
              <w:t>Index</w:t>
            </w:r>
          </w:p>
        </w:tc>
        <w:tc>
          <w:tcPr>
            <w:tcW w:w="1537" w:type="dxa"/>
            <w:tcBorders>
              <w:left w:val="nil"/>
              <w:right w:val="nil"/>
            </w:tcBorders>
            <w:vAlign w:val="top"/>
          </w:tcPr>
          <w:p w14:paraId="374871AD">
            <w:pPr>
              <w:pStyle w:val="8"/>
              <w:spacing w:before="69" w:line="291" w:lineRule="auto"/>
              <w:ind w:left="560" w:right="110" w:hanging="440"/>
            </w:pPr>
            <w:r>
              <w:rPr>
                <w:b/>
                <w:bCs/>
                <w:color w:val="5F6A72"/>
                <w:spacing w:val="-8"/>
              </w:rPr>
              <w:t>Operational Risk</w:t>
            </w:r>
            <w:r>
              <w:rPr>
                <w:b/>
                <w:bCs/>
                <w:color w:val="5F6A72"/>
                <w:spacing w:val="1"/>
              </w:rPr>
              <w:t xml:space="preserve"> </w:t>
            </w:r>
            <w:r>
              <w:rPr>
                <w:b/>
                <w:bCs/>
                <w:color w:val="5F6A72"/>
                <w:spacing w:val="-7"/>
              </w:rPr>
              <w:t>Index</w:t>
            </w:r>
          </w:p>
        </w:tc>
        <w:tc>
          <w:tcPr>
            <w:tcW w:w="790" w:type="dxa"/>
            <w:tcBorders>
              <w:left w:val="nil"/>
              <w:right w:val="nil"/>
            </w:tcBorders>
            <w:shd w:val="clear" w:color="auto" w:fill="E5819D"/>
            <w:vAlign w:val="top"/>
          </w:tcPr>
          <w:p w14:paraId="121DD45F">
            <w:pPr>
              <w:pStyle w:val="8"/>
              <w:spacing w:before="112" w:line="184" w:lineRule="auto"/>
              <w:ind w:left="80"/>
            </w:pPr>
            <w:r>
              <w:rPr>
                <w:b/>
                <w:bCs/>
                <w:color w:val="5F6A72"/>
                <w:spacing w:val="-7"/>
              </w:rPr>
              <w:t>Country</w:t>
            </w:r>
          </w:p>
          <w:p w14:paraId="6EE796CF">
            <w:pPr>
              <w:pStyle w:val="8"/>
              <w:spacing w:before="92" w:line="185" w:lineRule="auto"/>
              <w:ind w:left="195"/>
            </w:pPr>
            <w:r>
              <w:rPr>
                <w:b/>
                <w:bCs/>
                <w:color w:val="5F6A72"/>
                <w:spacing w:val="-11"/>
              </w:rPr>
              <w:t>Risks</w:t>
            </w:r>
          </w:p>
        </w:tc>
        <w:tc>
          <w:tcPr>
            <w:tcW w:w="576" w:type="dxa"/>
            <w:tcBorders>
              <w:left w:val="nil"/>
              <w:right w:val="nil"/>
            </w:tcBorders>
            <w:shd w:val="clear" w:color="auto" w:fill="E5819D"/>
            <w:vAlign w:val="top"/>
          </w:tcPr>
          <w:p w14:paraId="12CEE6F3">
            <w:pPr>
              <w:pStyle w:val="8"/>
              <w:spacing w:before="112" w:line="185" w:lineRule="auto"/>
              <w:ind w:left="88"/>
            </w:pPr>
            <w:r>
              <w:rPr>
                <w:b/>
                <w:bCs/>
                <w:color w:val="5F6A72"/>
                <w:spacing w:val="-11"/>
              </w:rPr>
              <w:t>Risks</w:t>
            </w:r>
          </w:p>
        </w:tc>
      </w:tr>
      <w:tr w14:paraId="27BEF4D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vAlign w:val="top"/>
          </w:tcPr>
          <w:p w14:paraId="26236561">
            <w:pPr>
              <w:pStyle w:val="8"/>
              <w:spacing w:before="65" w:line="237" w:lineRule="exact"/>
              <w:ind w:left="18"/>
            </w:pPr>
            <w:r>
              <w:rPr>
                <w:color w:val="2A8ABF"/>
                <w:spacing w:val="-12"/>
                <w:position w:val="1"/>
              </w:rPr>
              <w:t>Brazil</w:t>
            </w:r>
          </w:p>
        </w:tc>
        <w:tc>
          <w:tcPr>
            <w:tcW w:w="1921" w:type="dxa"/>
            <w:tcBorders>
              <w:right w:val="nil"/>
            </w:tcBorders>
            <w:vAlign w:val="top"/>
          </w:tcPr>
          <w:p w14:paraId="39FF0674">
            <w:pPr>
              <w:pStyle w:val="8"/>
              <w:spacing w:before="65" w:line="237" w:lineRule="exact"/>
              <w:ind w:left="800"/>
            </w:pPr>
            <w:r>
              <w:rPr>
                <w:color w:val="5F6A72"/>
                <w:spacing w:val="-6"/>
                <w:position w:val="1"/>
              </w:rPr>
              <w:t>37.4</w:t>
            </w:r>
          </w:p>
        </w:tc>
        <w:tc>
          <w:tcPr>
            <w:tcW w:w="1922" w:type="dxa"/>
            <w:tcBorders>
              <w:left w:val="nil"/>
              <w:right w:val="nil"/>
            </w:tcBorders>
            <w:vAlign w:val="top"/>
          </w:tcPr>
          <w:p w14:paraId="1201FD55">
            <w:pPr>
              <w:pStyle w:val="8"/>
              <w:spacing w:before="65" w:line="237" w:lineRule="exact"/>
              <w:ind w:left="809"/>
            </w:pPr>
            <w:r>
              <w:rPr>
                <w:color w:val="5F6A72"/>
                <w:spacing w:val="-7"/>
                <w:position w:val="1"/>
              </w:rPr>
              <w:t>54.9</w:t>
            </w:r>
          </w:p>
        </w:tc>
        <w:tc>
          <w:tcPr>
            <w:tcW w:w="1537" w:type="dxa"/>
            <w:tcBorders>
              <w:left w:val="nil"/>
              <w:right w:val="nil"/>
            </w:tcBorders>
            <w:vAlign w:val="top"/>
          </w:tcPr>
          <w:p w14:paraId="0EAE979A">
            <w:pPr>
              <w:pStyle w:val="8"/>
              <w:spacing w:before="65" w:line="237" w:lineRule="exact"/>
              <w:ind w:left="616"/>
            </w:pPr>
            <w:r>
              <w:rPr>
                <w:color w:val="5F6A72"/>
                <w:spacing w:val="-7"/>
                <w:position w:val="1"/>
              </w:rPr>
              <w:t>56.0</w:t>
            </w:r>
          </w:p>
        </w:tc>
        <w:tc>
          <w:tcPr>
            <w:tcW w:w="1537" w:type="dxa"/>
            <w:tcBorders>
              <w:left w:val="nil"/>
              <w:right w:val="nil"/>
            </w:tcBorders>
            <w:vAlign w:val="top"/>
          </w:tcPr>
          <w:p w14:paraId="624C15A0">
            <w:pPr>
              <w:pStyle w:val="8"/>
              <w:spacing w:before="65" w:line="237" w:lineRule="exact"/>
              <w:ind w:left="616"/>
            </w:pPr>
            <w:r>
              <w:rPr>
                <w:color w:val="5F6A72"/>
                <w:spacing w:val="-7"/>
                <w:position w:val="1"/>
              </w:rPr>
              <w:t>51.6</w:t>
            </w:r>
          </w:p>
        </w:tc>
        <w:tc>
          <w:tcPr>
            <w:tcW w:w="790" w:type="dxa"/>
            <w:tcBorders>
              <w:left w:val="nil"/>
              <w:right w:val="nil"/>
            </w:tcBorders>
            <w:shd w:val="clear" w:color="auto" w:fill="E5819D"/>
            <w:vAlign w:val="top"/>
          </w:tcPr>
          <w:p w14:paraId="7268501A">
            <w:pPr>
              <w:pStyle w:val="8"/>
              <w:spacing w:before="65" w:line="237" w:lineRule="exact"/>
              <w:ind w:left="243"/>
            </w:pPr>
            <w:r>
              <w:rPr>
                <w:color w:val="5F6A72"/>
                <w:spacing w:val="-7"/>
                <w:position w:val="1"/>
              </w:rPr>
              <w:t>51.3</w:t>
            </w:r>
          </w:p>
        </w:tc>
        <w:tc>
          <w:tcPr>
            <w:tcW w:w="576" w:type="dxa"/>
            <w:tcBorders>
              <w:left w:val="nil"/>
              <w:right w:val="nil"/>
            </w:tcBorders>
            <w:shd w:val="clear" w:color="auto" w:fill="E5819D"/>
            <w:vAlign w:val="top"/>
          </w:tcPr>
          <w:p w14:paraId="68EDA4F9">
            <w:pPr>
              <w:pStyle w:val="8"/>
              <w:spacing w:before="65" w:line="237" w:lineRule="exact"/>
              <w:ind w:left="136"/>
            </w:pPr>
            <w:r>
              <w:rPr>
                <w:color w:val="5F6A72"/>
                <w:spacing w:val="-7"/>
                <w:position w:val="1"/>
              </w:rPr>
              <w:t>57.6</w:t>
            </w:r>
          </w:p>
        </w:tc>
      </w:tr>
      <w:tr w14:paraId="7B533CD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shd w:val="clear" w:color="auto" w:fill="EAF9FF"/>
            <w:vAlign w:val="top"/>
          </w:tcPr>
          <w:p w14:paraId="70F1DB00">
            <w:pPr>
              <w:pStyle w:val="8"/>
              <w:spacing w:before="65" w:line="237" w:lineRule="exact"/>
              <w:ind w:left="18"/>
            </w:pPr>
            <w:r>
              <w:rPr>
                <w:color w:val="2A8ABF"/>
                <w:spacing w:val="-11"/>
                <w:position w:val="1"/>
              </w:rPr>
              <w:t>Mexico</w:t>
            </w:r>
          </w:p>
        </w:tc>
        <w:tc>
          <w:tcPr>
            <w:tcW w:w="1921" w:type="dxa"/>
            <w:tcBorders>
              <w:right w:val="nil"/>
            </w:tcBorders>
            <w:shd w:val="clear" w:color="auto" w:fill="EAF9FF"/>
            <w:vAlign w:val="top"/>
          </w:tcPr>
          <w:p w14:paraId="78B22B9A">
            <w:pPr>
              <w:pStyle w:val="8"/>
              <w:spacing w:before="65" w:line="237" w:lineRule="exact"/>
              <w:ind w:left="800"/>
            </w:pPr>
            <w:r>
              <w:rPr>
                <w:color w:val="5F6A72"/>
                <w:spacing w:val="-6"/>
                <w:position w:val="1"/>
              </w:rPr>
              <w:t>38.5</w:t>
            </w:r>
          </w:p>
        </w:tc>
        <w:tc>
          <w:tcPr>
            <w:tcW w:w="1922" w:type="dxa"/>
            <w:tcBorders>
              <w:left w:val="nil"/>
              <w:right w:val="nil"/>
            </w:tcBorders>
            <w:shd w:val="clear" w:color="auto" w:fill="EAF9FF"/>
            <w:vAlign w:val="top"/>
          </w:tcPr>
          <w:p w14:paraId="73B555F5">
            <w:pPr>
              <w:pStyle w:val="8"/>
              <w:spacing w:before="65" w:line="237" w:lineRule="exact"/>
              <w:ind w:left="804"/>
            </w:pPr>
            <w:r>
              <w:rPr>
                <w:color w:val="5F6A72"/>
                <w:spacing w:val="-6"/>
                <w:position w:val="1"/>
              </w:rPr>
              <w:t>35.7</w:t>
            </w:r>
          </w:p>
        </w:tc>
        <w:tc>
          <w:tcPr>
            <w:tcW w:w="1537" w:type="dxa"/>
            <w:tcBorders>
              <w:left w:val="nil"/>
              <w:right w:val="nil"/>
            </w:tcBorders>
            <w:shd w:val="clear" w:color="auto" w:fill="EAF9FF"/>
            <w:vAlign w:val="top"/>
          </w:tcPr>
          <w:p w14:paraId="6A4B7249">
            <w:pPr>
              <w:pStyle w:val="8"/>
              <w:spacing w:before="65" w:line="237" w:lineRule="exact"/>
              <w:ind w:left="617"/>
            </w:pPr>
            <w:r>
              <w:rPr>
                <w:color w:val="5F6A72"/>
                <w:spacing w:val="-7"/>
                <w:position w:val="1"/>
              </w:rPr>
              <w:t>67.0</w:t>
            </w:r>
          </w:p>
        </w:tc>
        <w:tc>
          <w:tcPr>
            <w:tcW w:w="1537" w:type="dxa"/>
            <w:tcBorders>
              <w:left w:val="nil"/>
              <w:right w:val="nil"/>
            </w:tcBorders>
            <w:shd w:val="clear" w:color="auto" w:fill="EAF9FF"/>
            <w:vAlign w:val="top"/>
          </w:tcPr>
          <w:p w14:paraId="3BBE8414">
            <w:pPr>
              <w:pStyle w:val="8"/>
              <w:spacing w:before="65" w:line="237" w:lineRule="exact"/>
              <w:ind w:left="616"/>
            </w:pPr>
            <w:r>
              <w:rPr>
                <w:color w:val="5F6A72"/>
                <w:spacing w:val="-7"/>
                <w:position w:val="1"/>
              </w:rPr>
              <w:t>52.7</w:t>
            </w:r>
          </w:p>
        </w:tc>
        <w:tc>
          <w:tcPr>
            <w:tcW w:w="790" w:type="dxa"/>
            <w:tcBorders>
              <w:left w:val="nil"/>
              <w:right w:val="nil"/>
            </w:tcBorders>
            <w:shd w:val="clear" w:color="auto" w:fill="E5819D"/>
            <w:vAlign w:val="top"/>
          </w:tcPr>
          <w:p w14:paraId="6FE15C95">
            <w:pPr>
              <w:pStyle w:val="8"/>
              <w:spacing w:before="65" w:line="237" w:lineRule="exact"/>
              <w:ind w:left="243"/>
            </w:pPr>
            <w:r>
              <w:rPr>
                <w:color w:val="5F6A72"/>
                <w:spacing w:val="-7"/>
                <w:position w:val="1"/>
              </w:rPr>
              <w:t>52.3</w:t>
            </w:r>
          </w:p>
        </w:tc>
        <w:tc>
          <w:tcPr>
            <w:tcW w:w="576" w:type="dxa"/>
            <w:tcBorders>
              <w:left w:val="nil"/>
              <w:right w:val="nil"/>
            </w:tcBorders>
            <w:shd w:val="clear" w:color="auto" w:fill="E5819D"/>
            <w:vAlign w:val="top"/>
          </w:tcPr>
          <w:p w14:paraId="3F018285">
            <w:pPr>
              <w:pStyle w:val="8"/>
              <w:spacing w:before="65" w:line="237" w:lineRule="exact"/>
              <w:ind w:left="136"/>
            </w:pPr>
            <w:r>
              <w:rPr>
                <w:color w:val="5F6A72"/>
                <w:spacing w:val="-7"/>
                <w:position w:val="1"/>
              </w:rPr>
              <w:t>58.4</w:t>
            </w:r>
          </w:p>
        </w:tc>
      </w:tr>
      <w:tr w14:paraId="64B9C35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vAlign w:val="top"/>
          </w:tcPr>
          <w:p w14:paraId="1F197BEF">
            <w:pPr>
              <w:pStyle w:val="8"/>
              <w:spacing w:before="65" w:line="234" w:lineRule="auto"/>
              <w:ind w:left="3"/>
            </w:pPr>
            <w:r>
              <w:rPr>
                <w:color w:val="2A8ABF"/>
                <w:spacing w:val="-4"/>
              </w:rPr>
              <w:t>Argentina</w:t>
            </w:r>
          </w:p>
        </w:tc>
        <w:tc>
          <w:tcPr>
            <w:tcW w:w="1921" w:type="dxa"/>
            <w:tcBorders>
              <w:right w:val="nil"/>
            </w:tcBorders>
            <w:vAlign w:val="top"/>
          </w:tcPr>
          <w:p w14:paraId="750E7D7D">
            <w:pPr>
              <w:pStyle w:val="8"/>
              <w:spacing w:before="65" w:line="238" w:lineRule="exact"/>
              <w:ind w:left="800"/>
            </w:pPr>
            <w:r>
              <w:rPr>
                <w:color w:val="5F6A72"/>
                <w:spacing w:val="-6"/>
                <w:position w:val="1"/>
              </w:rPr>
              <w:t>73.6</w:t>
            </w:r>
          </w:p>
        </w:tc>
        <w:tc>
          <w:tcPr>
            <w:tcW w:w="1922" w:type="dxa"/>
            <w:tcBorders>
              <w:left w:val="nil"/>
              <w:right w:val="nil"/>
            </w:tcBorders>
            <w:vAlign w:val="top"/>
          </w:tcPr>
          <w:p w14:paraId="1B6C73AE">
            <w:pPr>
              <w:pStyle w:val="8"/>
              <w:spacing w:before="65" w:line="238" w:lineRule="exact"/>
              <w:ind w:left="804"/>
            </w:pPr>
            <w:r>
              <w:rPr>
                <w:color w:val="5F6A72"/>
                <w:spacing w:val="-6"/>
                <w:position w:val="1"/>
              </w:rPr>
              <w:t>76.9</w:t>
            </w:r>
          </w:p>
        </w:tc>
        <w:tc>
          <w:tcPr>
            <w:tcW w:w="1537" w:type="dxa"/>
            <w:tcBorders>
              <w:left w:val="nil"/>
              <w:right w:val="nil"/>
            </w:tcBorders>
            <w:vAlign w:val="top"/>
          </w:tcPr>
          <w:p w14:paraId="02D49D1E">
            <w:pPr>
              <w:pStyle w:val="8"/>
              <w:spacing w:before="65" w:line="238" w:lineRule="exact"/>
              <w:ind w:left="612"/>
            </w:pPr>
            <w:r>
              <w:rPr>
                <w:color w:val="5F6A72"/>
                <w:spacing w:val="-6"/>
                <w:position w:val="1"/>
              </w:rPr>
              <w:t>37.4</w:t>
            </w:r>
          </w:p>
        </w:tc>
        <w:tc>
          <w:tcPr>
            <w:tcW w:w="1537" w:type="dxa"/>
            <w:tcBorders>
              <w:left w:val="nil"/>
              <w:right w:val="nil"/>
            </w:tcBorders>
            <w:vAlign w:val="top"/>
          </w:tcPr>
          <w:p w14:paraId="1AF05E1B">
            <w:pPr>
              <w:pStyle w:val="8"/>
              <w:spacing w:before="65" w:line="238" w:lineRule="exact"/>
              <w:ind w:left="616"/>
            </w:pPr>
            <w:r>
              <w:rPr>
                <w:color w:val="5F6A72"/>
                <w:spacing w:val="-7"/>
                <w:position w:val="1"/>
              </w:rPr>
              <w:t>54.9</w:t>
            </w:r>
          </w:p>
        </w:tc>
        <w:tc>
          <w:tcPr>
            <w:tcW w:w="790" w:type="dxa"/>
            <w:tcBorders>
              <w:left w:val="nil"/>
              <w:right w:val="nil"/>
            </w:tcBorders>
            <w:shd w:val="clear" w:color="auto" w:fill="E5819D"/>
            <w:vAlign w:val="top"/>
          </w:tcPr>
          <w:p w14:paraId="56895F3D">
            <w:pPr>
              <w:pStyle w:val="8"/>
              <w:spacing w:before="65" w:line="238" w:lineRule="exact"/>
              <w:ind w:left="243"/>
            </w:pPr>
            <w:r>
              <w:rPr>
                <w:color w:val="5F6A72"/>
                <w:spacing w:val="-7"/>
                <w:position w:val="1"/>
              </w:rPr>
              <w:t>55.9</w:t>
            </w:r>
          </w:p>
        </w:tc>
        <w:tc>
          <w:tcPr>
            <w:tcW w:w="576" w:type="dxa"/>
            <w:tcBorders>
              <w:left w:val="nil"/>
              <w:right w:val="nil"/>
            </w:tcBorders>
            <w:shd w:val="clear" w:color="auto" w:fill="E5819D"/>
            <w:vAlign w:val="top"/>
          </w:tcPr>
          <w:p w14:paraId="47068A9B">
            <w:pPr>
              <w:pStyle w:val="8"/>
              <w:spacing w:before="65" w:line="238" w:lineRule="exact"/>
              <w:ind w:left="136"/>
            </w:pPr>
            <w:r>
              <w:rPr>
                <w:color w:val="5F6A72"/>
                <w:spacing w:val="-7"/>
                <w:position w:val="1"/>
              </w:rPr>
              <w:t>57.9</w:t>
            </w:r>
          </w:p>
        </w:tc>
      </w:tr>
      <w:tr w14:paraId="59D1257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shd w:val="clear" w:color="auto" w:fill="EAF9FF"/>
            <w:vAlign w:val="top"/>
          </w:tcPr>
          <w:p w14:paraId="7ECDE03C">
            <w:pPr>
              <w:pStyle w:val="8"/>
              <w:spacing w:before="66" w:line="237" w:lineRule="exact"/>
              <w:ind w:left="12"/>
            </w:pPr>
            <w:r>
              <w:rPr>
                <w:color w:val="2A8ABF"/>
                <w:spacing w:val="-7"/>
                <w:position w:val="1"/>
              </w:rPr>
              <w:t>Colombia</w:t>
            </w:r>
          </w:p>
        </w:tc>
        <w:tc>
          <w:tcPr>
            <w:tcW w:w="1921" w:type="dxa"/>
            <w:tcBorders>
              <w:right w:val="nil"/>
            </w:tcBorders>
            <w:shd w:val="clear" w:color="auto" w:fill="EAF9FF"/>
            <w:vAlign w:val="top"/>
          </w:tcPr>
          <w:p w14:paraId="45548852">
            <w:pPr>
              <w:pStyle w:val="8"/>
              <w:spacing w:before="66" w:line="237" w:lineRule="exact"/>
              <w:ind w:left="805"/>
            </w:pPr>
            <w:r>
              <w:rPr>
                <w:color w:val="5F6A72"/>
                <w:spacing w:val="-7"/>
                <w:position w:val="1"/>
              </w:rPr>
              <w:t>53.3</w:t>
            </w:r>
          </w:p>
        </w:tc>
        <w:tc>
          <w:tcPr>
            <w:tcW w:w="1922" w:type="dxa"/>
            <w:tcBorders>
              <w:left w:val="nil"/>
              <w:right w:val="nil"/>
            </w:tcBorders>
            <w:shd w:val="clear" w:color="auto" w:fill="EAF9FF"/>
            <w:vAlign w:val="top"/>
          </w:tcPr>
          <w:p w14:paraId="2380E4EE">
            <w:pPr>
              <w:pStyle w:val="8"/>
              <w:spacing w:before="66" w:line="237" w:lineRule="exact"/>
              <w:ind w:left="809"/>
            </w:pPr>
            <w:r>
              <w:rPr>
                <w:color w:val="5F6A72"/>
                <w:spacing w:val="-7"/>
                <w:position w:val="1"/>
              </w:rPr>
              <w:t>58.2</w:t>
            </w:r>
          </w:p>
        </w:tc>
        <w:tc>
          <w:tcPr>
            <w:tcW w:w="1537" w:type="dxa"/>
            <w:tcBorders>
              <w:left w:val="nil"/>
              <w:right w:val="nil"/>
            </w:tcBorders>
            <w:shd w:val="clear" w:color="auto" w:fill="EAF9FF"/>
            <w:vAlign w:val="top"/>
          </w:tcPr>
          <w:p w14:paraId="14493D49">
            <w:pPr>
              <w:pStyle w:val="8"/>
              <w:spacing w:before="66" w:line="237" w:lineRule="exact"/>
              <w:ind w:left="617"/>
            </w:pPr>
            <w:r>
              <w:rPr>
                <w:color w:val="5F6A72"/>
                <w:spacing w:val="-7"/>
                <w:position w:val="1"/>
              </w:rPr>
              <w:t>64.8</w:t>
            </w:r>
          </w:p>
        </w:tc>
        <w:tc>
          <w:tcPr>
            <w:tcW w:w="1537" w:type="dxa"/>
            <w:tcBorders>
              <w:left w:val="nil"/>
              <w:right w:val="nil"/>
            </w:tcBorders>
            <w:shd w:val="clear" w:color="auto" w:fill="EAF9FF"/>
            <w:vAlign w:val="top"/>
          </w:tcPr>
          <w:p w14:paraId="267313DB">
            <w:pPr>
              <w:pStyle w:val="8"/>
              <w:spacing w:before="66" w:line="237" w:lineRule="exact"/>
              <w:ind w:left="616"/>
            </w:pPr>
            <w:r>
              <w:rPr>
                <w:color w:val="5F6A72"/>
                <w:spacing w:val="-7"/>
                <w:position w:val="1"/>
              </w:rPr>
              <w:t>53.8</w:t>
            </w:r>
          </w:p>
        </w:tc>
        <w:tc>
          <w:tcPr>
            <w:tcW w:w="790" w:type="dxa"/>
            <w:tcBorders>
              <w:left w:val="nil"/>
              <w:right w:val="nil"/>
            </w:tcBorders>
            <w:shd w:val="clear" w:color="auto" w:fill="E5819D"/>
            <w:vAlign w:val="top"/>
          </w:tcPr>
          <w:p w14:paraId="171D7D55">
            <w:pPr>
              <w:pStyle w:val="8"/>
              <w:spacing w:before="66" w:line="237" w:lineRule="exact"/>
              <w:ind w:left="243"/>
            </w:pPr>
            <w:r>
              <w:rPr>
                <w:color w:val="5F6A72"/>
                <w:spacing w:val="-7"/>
                <w:position w:val="1"/>
              </w:rPr>
              <w:t>58.2</w:t>
            </w:r>
          </w:p>
        </w:tc>
        <w:tc>
          <w:tcPr>
            <w:tcW w:w="576" w:type="dxa"/>
            <w:tcBorders>
              <w:left w:val="nil"/>
              <w:right w:val="nil"/>
            </w:tcBorders>
            <w:shd w:val="clear" w:color="auto" w:fill="E5819D"/>
            <w:vAlign w:val="top"/>
          </w:tcPr>
          <w:p w14:paraId="237AB45C">
            <w:pPr>
              <w:pStyle w:val="8"/>
              <w:spacing w:before="66" w:line="237" w:lineRule="exact"/>
              <w:ind w:left="136"/>
            </w:pPr>
            <w:r>
              <w:rPr>
                <w:color w:val="5F6A72"/>
                <w:spacing w:val="-7"/>
                <w:position w:val="1"/>
              </w:rPr>
              <w:t>53.9</w:t>
            </w:r>
          </w:p>
        </w:tc>
      </w:tr>
      <w:tr w14:paraId="066A09F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vAlign w:val="top"/>
          </w:tcPr>
          <w:p w14:paraId="1B03BF16">
            <w:pPr>
              <w:pStyle w:val="8"/>
              <w:spacing w:before="108" w:line="183" w:lineRule="auto"/>
              <w:ind w:left="18"/>
            </w:pPr>
            <w:r>
              <w:rPr>
                <w:color w:val="2A8ABF"/>
                <w:spacing w:val="-13"/>
              </w:rPr>
              <w:t>Peru</w:t>
            </w:r>
          </w:p>
        </w:tc>
        <w:tc>
          <w:tcPr>
            <w:tcW w:w="1921" w:type="dxa"/>
            <w:tcBorders>
              <w:right w:val="nil"/>
            </w:tcBorders>
            <w:vAlign w:val="top"/>
          </w:tcPr>
          <w:p w14:paraId="18CC8EAE">
            <w:pPr>
              <w:pStyle w:val="8"/>
              <w:spacing w:before="66" w:line="237" w:lineRule="exact"/>
              <w:ind w:left="800"/>
            </w:pPr>
            <w:r>
              <w:rPr>
                <w:color w:val="5F6A72"/>
                <w:spacing w:val="-6"/>
                <w:position w:val="1"/>
              </w:rPr>
              <w:t>42.9</w:t>
            </w:r>
          </w:p>
        </w:tc>
        <w:tc>
          <w:tcPr>
            <w:tcW w:w="1922" w:type="dxa"/>
            <w:tcBorders>
              <w:left w:val="nil"/>
              <w:right w:val="nil"/>
            </w:tcBorders>
            <w:vAlign w:val="top"/>
          </w:tcPr>
          <w:p w14:paraId="099B9196">
            <w:pPr>
              <w:pStyle w:val="8"/>
              <w:spacing w:before="66" w:line="240" w:lineRule="exact"/>
              <w:ind w:left="807"/>
            </w:pPr>
            <w:r>
              <w:rPr>
                <w:color w:val="5F6A72"/>
                <w:spacing w:val="-6"/>
                <w:position w:val="1"/>
              </w:rPr>
              <w:t>24.2</w:t>
            </w:r>
          </w:p>
        </w:tc>
        <w:tc>
          <w:tcPr>
            <w:tcW w:w="1537" w:type="dxa"/>
            <w:tcBorders>
              <w:left w:val="nil"/>
              <w:right w:val="nil"/>
            </w:tcBorders>
            <w:vAlign w:val="top"/>
          </w:tcPr>
          <w:p w14:paraId="16F81F1F">
            <w:pPr>
              <w:pStyle w:val="8"/>
              <w:spacing w:before="66" w:line="237" w:lineRule="exact"/>
              <w:ind w:left="617"/>
            </w:pPr>
            <w:r>
              <w:rPr>
                <w:color w:val="5F6A72"/>
                <w:spacing w:val="-7"/>
                <w:position w:val="1"/>
              </w:rPr>
              <w:t>60.4</w:t>
            </w:r>
          </w:p>
        </w:tc>
        <w:tc>
          <w:tcPr>
            <w:tcW w:w="1537" w:type="dxa"/>
            <w:tcBorders>
              <w:left w:val="nil"/>
              <w:right w:val="nil"/>
            </w:tcBorders>
            <w:vAlign w:val="top"/>
          </w:tcPr>
          <w:p w14:paraId="690F453A">
            <w:pPr>
              <w:pStyle w:val="8"/>
              <w:spacing w:before="66" w:line="237" w:lineRule="exact"/>
              <w:ind w:left="616"/>
            </w:pPr>
            <w:r>
              <w:rPr>
                <w:color w:val="5F6A72"/>
                <w:spacing w:val="-7"/>
                <w:position w:val="1"/>
              </w:rPr>
              <w:t>57.1</w:t>
            </w:r>
          </w:p>
        </w:tc>
        <w:tc>
          <w:tcPr>
            <w:tcW w:w="790" w:type="dxa"/>
            <w:tcBorders>
              <w:left w:val="nil"/>
              <w:right w:val="nil"/>
            </w:tcBorders>
            <w:shd w:val="clear" w:color="auto" w:fill="E5819D"/>
            <w:vAlign w:val="top"/>
          </w:tcPr>
          <w:p w14:paraId="575733F2">
            <w:pPr>
              <w:pStyle w:val="8"/>
              <w:spacing w:before="66" w:line="237" w:lineRule="exact"/>
              <w:ind w:left="243"/>
            </w:pPr>
            <w:r>
              <w:rPr>
                <w:color w:val="5F6A72"/>
                <w:spacing w:val="-7"/>
                <w:position w:val="1"/>
              </w:rPr>
              <w:t>50.4</w:t>
            </w:r>
          </w:p>
        </w:tc>
        <w:tc>
          <w:tcPr>
            <w:tcW w:w="576" w:type="dxa"/>
            <w:tcBorders>
              <w:left w:val="nil"/>
              <w:right w:val="nil"/>
            </w:tcBorders>
            <w:shd w:val="clear" w:color="auto" w:fill="E5819D"/>
            <w:vAlign w:val="top"/>
          </w:tcPr>
          <w:p w14:paraId="778E5957">
            <w:pPr>
              <w:pStyle w:val="8"/>
              <w:spacing w:before="66" w:line="237" w:lineRule="exact"/>
              <w:ind w:left="136"/>
            </w:pPr>
            <w:r>
              <w:rPr>
                <w:color w:val="5F6A72"/>
                <w:spacing w:val="-7"/>
                <w:position w:val="1"/>
              </w:rPr>
              <w:t>50.9</w:t>
            </w:r>
          </w:p>
        </w:tc>
      </w:tr>
      <w:tr w14:paraId="4421BCD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shd w:val="clear" w:color="auto" w:fill="EAF9FF"/>
            <w:vAlign w:val="top"/>
          </w:tcPr>
          <w:p w14:paraId="6AAF964A">
            <w:pPr>
              <w:pStyle w:val="8"/>
              <w:spacing w:before="67" w:line="237" w:lineRule="exact"/>
              <w:ind w:left="12"/>
            </w:pPr>
            <w:r>
              <w:rPr>
                <w:color w:val="2A8ABF"/>
                <w:spacing w:val="-9"/>
                <w:position w:val="1"/>
              </w:rPr>
              <w:t>Chile</w:t>
            </w:r>
          </w:p>
        </w:tc>
        <w:tc>
          <w:tcPr>
            <w:tcW w:w="1921" w:type="dxa"/>
            <w:tcBorders>
              <w:right w:val="nil"/>
            </w:tcBorders>
            <w:shd w:val="clear" w:color="auto" w:fill="EAF9FF"/>
            <w:vAlign w:val="top"/>
          </w:tcPr>
          <w:p w14:paraId="3FA85257">
            <w:pPr>
              <w:pStyle w:val="8"/>
              <w:spacing w:before="67" w:line="237" w:lineRule="exact"/>
              <w:ind w:left="800"/>
            </w:pPr>
            <w:r>
              <w:rPr>
                <w:color w:val="5F6A72"/>
                <w:spacing w:val="-6"/>
                <w:position w:val="1"/>
              </w:rPr>
              <w:t>44.0</w:t>
            </w:r>
          </w:p>
        </w:tc>
        <w:tc>
          <w:tcPr>
            <w:tcW w:w="1922" w:type="dxa"/>
            <w:tcBorders>
              <w:left w:val="nil"/>
              <w:right w:val="nil"/>
            </w:tcBorders>
            <w:shd w:val="clear" w:color="auto" w:fill="EAF9FF"/>
            <w:vAlign w:val="top"/>
          </w:tcPr>
          <w:p w14:paraId="6FAAE9F9">
            <w:pPr>
              <w:pStyle w:val="8"/>
              <w:spacing w:before="67" w:line="237" w:lineRule="exact"/>
              <w:ind w:left="805"/>
            </w:pPr>
            <w:r>
              <w:rPr>
                <w:color w:val="5F6A72"/>
                <w:spacing w:val="-6"/>
                <w:position w:val="1"/>
              </w:rPr>
              <w:t>45.1</w:t>
            </w:r>
          </w:p>
        </w:tc>
        <w:tc>
          <w:tcPr>
            <w:tcW w:w="1537" w:type="dxa"/>
            <w:tcBorders>
              <w:left w:val="nil"/>
              <w:right w:val="nil"/>
            </w:tcBorders>
            <w:shd w:val="clear" w:color="auto" w:fill="EAF9FF"/>
            <w:vAlign w:val="top"/>
          </w:tcPr>
          <w:p w14:paraId="538A63C9">
            <w:pPr>
              <w:pStyle w:val="8"/>
              <w:spacing w:before="67" w:line="237" w:lineRule="exact"/>
              <w:ind w:left="615"/>
            </w:pPr>
            <w:r>
              <w:rPr>
                <w:color w:val="5F6A72"/>
                <w:spacing w:val="-6"/>
                <w:position w:val="1"/>
              </w:rPr>
              <w:t>23.1</w:t>
            </w:r>
          </w:p>
        </w:tc>
        <w:tc>
          <w:tcPr>
            <w:tcW w:w="1537" w:type="dxa"/>
            <w:tcBorders>
              <w:left w:val="nil"/>
              <w:right w:val="nil"/>
            </w:tcBorders>
            <w:shd w:val="clear" w:color="auto" w:fill="EAF9FF"/>
            <w:vAlign w:val="top"/>
          </w:tcPr>
          <w:p w14:paraId="0FB72EC4">
            <w:pPr>
              <w:pStyle w:val="8"/>
              <w:spacing w:before="67" w:line="237" w:lineRule="exact"/>
              <w:ind w:left="612"/>
            </w:pPr>
            <w:r>
              <w:rPr>
                <w:color w:val="5F6A72"/>
                <w:spacing w:val="-6"/>
                <w:position w:val="1"/>
              </w:rPr>
              <w:t>30.8</w:t>
            </w:r>
          </w:p>
        </w:tc>
        <w:tc>
          <w:tcPr>
            <w:tcW w:w="790" w:type="dxa"/>
            <w:tcBorders>
              <w:left w:val="nil"/>
              <w:right w:val="nil"/>
            </w:tcBorders>
            <w:shd w:val="clear" w:color="auto" w:fill="E5819D"/>
            <w:vAlign w:val="top"/>
          </w:tcPr>
          <w:p w14:paraId="1CEAA49E">
            <w:pPr>
              <w:pStyle w:val="8"/>
              <w:spacing w:before="67" w:line="237" w:lineRule="exact"/>
              <w:ind w:left="238"/>
            </w:pPr>
            <w:r>
              <w:rPr>
                <w:color w:val="5F6A72"/>
                <w:spacing w:val="-6"/>
                <w:position w:val="1"/>
              </w:rPr>
              <w:t>32.8</w:t>
            </w:r>
          </w:p>
        </w:tc>
        <w:tc>
          <w:tcPr>
            <w:tcW w:w="576" w:type="dxa"/>
            <w:tcBorders>
              <w:left w:val="nil"/>
              <w:right w:val="nil"/>
            </w:tcBorders>
            <w:shd w:val="clear" w:color="auto" w:fill="E5819D"/>
            <w:vAlign w:val="top"/>
          </w:tcPr>
          <w:p w14:paraId="291BDC58">
            <w:pPr>
              <w:pStyle w:val="8"/>
              <w:spacing w:before="67" w:line="237" w:lineRule="exact"/>
              <w:ind w:left="131"/>
            </w:pPr>
            <w:r>
              <w:rPr>
                <w:color w:val="5F6A72"/>
                <w:spacing w:val="-6"/>
                <w:position w:val="1"/>
              </w:rPr>
              <w:t>33.6</w:t>
            </w:r>
          </w:p>
        </w:tc>
      </w:tr>
      <w:tr w14:paraId="7C2FD3B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921" w:type="dxa"/>
            <w:tcBorders>
              <w:left w:val="nil"/>
            </w:tcBorders>
            <w:vAlign w:val="top"/>
          </w:tcPr>
          <w:p w14:paraId="3F8D4956">
            <w:pPr>
              <w:pStyle w:val="8"/>
              <w:spacing w:before="67" w:line="237" w:lineRule="exact"/>
              <w:ind w:left="18"/>
            </w:pPr>
            <w:r>
              <w:rPr>
                <w:color w:val="2A8ABF"/>
                <w:spacing w:val="-12"/>
                <w:position w:val="1"/>
              </w:rPr>
              <w:t>Ecuador</w:t>
            </w:r>
          </w:p>
        </w:tc>
        <w:tc>
          <w:tcPr>
            <w:tcW w:w="1921" w:type="dxa"/>
            <w:tcBorders>
              <w:right w:val="nil"/>
            </w:tcBorders>
            <w:vAlign w:val="top"/>
          </w:tcPr>
          <w:p w14:paraId="74B4C59B">
            <w:pPr>
              <w:pStyle w:val="8"/>
              <w:spacing w:before="67" w:line="237" w:lineRule="exact"/>
              <w:ind w:left="805"/>
            </w:pPr>
            <w:r>
              <w:rPr>
                <w:color w:val="5F6A72"/>
                <w:spacing w:val="-7"/>
                <w:position w:val="1"/>
              </w:rPr>
              <w:t>50.5</w:t>
            </w:r>
          </w:p>
        </w:tc>
        <w:tc>
          <w:tcPr>
            <w:tcW w:w="1922" w:type="dxa"/>
            <w:tcBorders>
              <w:left w:val="nil"/>
              <w:right w:val="nil"/>
            </w:tcBorders>
            <w:vAlign w:val="top"/>
          </w:tcPr>
          <w:p w14:paraId="1A979795">
            <w:pPr>
              <w:pStyle w:val="8"/>
              <w:spacing w:before="67" w:line="237" w:lineRule="exact"/>
              <w:ind w:left="805"/>
            </w:pPr>
            <w:r>
              <w:rPr>
                <w:color w:val="5F6A72"/>
                <w:spacing w:val="-6"/>
                <w:position w:val="1"/>
              </w:rPr>
              <w:t>47.3</w:t>
            </w:r>
          </w:p>
        </w:tc>
        <w:tc>
          <w:tcPr>
            <w:tcW w:w="1537" w:type="dxa"/>
            <w:tcBorders>
              <w:left w:val="nil"/>
              <w:right w:val="nil"/>
            </w:tcBorders>
            <w:vAlign w:val="top"/>
          </w:tcPr>
          <w:p w14:paraId="34A9DD5E">
            <w:pPr>
              <w:pStyle w:val="8"/>
              <w:spacing w:before="67" w:line="237" w:lineRule="exact"/>
              <w:ind w:left="612"/>
            </w:pPr>
            <w:r>
              <w:rPr>
                <w:color w:val="5F6A72"/>
                <w:spacing w:val="-6"/>
                <w:position w:val="1"/>
              </w:rPr>
              <w:t>70.3</w:t>
            </w:r>
          </w:p>
        </w:tc>
        <w:tc>
          <w:tcPr>
            <w:tcW w:w="1537" w:type="dxa"/>
            <w:tcBorders>
              <w:left w:val="nil"/>
              <w:right w:val="nil"/>
            </w:tcBorders>
            <w:vAlign w:val="top"/>
          </w:tcPr>
          <w:p w14:paraId="48865597">
            <w:pPr>
              <w:pStyle w:val="8"/>
              <w:spacing w:before="67" w:line="237" w:lineRule="exact"/>
              <w:ind w:left="617"/>
            </w:pPr>
            <w:r>
              <w:rPr>
                <w:color w:val="5F6A72"/>
                <w:spacing w:val="-7"/>
                <w:position w:val="1"/>
              </w:rPr>
              <w:t>61.5</w:t>
            </w:r>
          </w:p>
        </w:tc>
        <w:tc>
          <w:tcPr>
            <w:tcW w:w="790" w:type="dxa"/>
            <w:tcBorders>
              <w:left w:val="nil"/>
              <w:right w:val="nil"/>
            </w:tcBorders>
            <w:shd w:val="clear" w:color="auto" w:fill="E5819D"/>
            <w:vAlign w:val="top"/>
          </w:tcPr>
          <w:p w14:paraId="750BC9CE">
            <w:pPr>
              <w:pStyle w:val="8"/>
              <w:spacing w:before="67" w:line="237" w:lineRule="exact"/>
              <w:ind w:left="244"/>
            </w:pPr>
            <w:r>
              <w:rPr>
                <w:color w:val="5F6A72"/>
                <w:spacing w:val="-7"/>
                <w:position w:val="1"/>
              </w:rPr>
              <w:t>60.3</w:t>
            </w:r>
          </w:p>
        </w:tc>
        <w:tc>
          <w:tcPr>
            <w:tcW w:w="576" w:type="dxa"/>
            <w:tcBorders>
              <w:left w:val="nil"/>
              <w:right w:val="nil"/>
            </w:tcBorders>
            <w:shd w:val="clear" w:color="auto" w:fill="E5819D"/>
            <w:vAlign w:val="top"/>
          </w:tcPr>
          <w:p w14:paraId="576336E6">
            <w:pPr>
              <w:pStyle w:val="8"/>
              <w:spacing w:before="67" w:line="237" w:lineRule="exact"/>
              <w:ind w:left="137"/>
            </w:pPr>
            <w:r>
              <w:rPr>
                <w:color w:val="5F6A72"/>
                <w:spacing w:val="-7"/>
                <w:position w:val="1"/>
              </w:rPr>
              <w:t>64.6</w:t>
            </w:r>
          </w:p>
        </w:tc>
      </w:tr>
      <w:tr w14:paraId="35A4B20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shd w:val="clear" w:color="auto" w:fill="EAF9FF"/>
            <w:vAlign w:val="top"/>
          </w:tcPr>
          <w:p w14:paraId="43FAA84A">
            <w:pPr>
              <w:pStyle w:val="8"/>
              <w:spacing w:before="66" w:line="238" w:lineRule="exact"/>
              <w:ind w:left="3"/>
            </w:pPr>
            <w:r>
              <w:rPr>
                <w:color w:val="2A8ABF"/>
                <w:spacing w:val="-8"/>
                <w:position w:val="1"/>
              </w:rPr>
              <w:t>Venezuela</w:t>
            </w:r>
          </w:p>
        </w:tc>
        <w:tc>
          <w:tcPr>
            <w:tcW w:w="1921" w:type="dxa"/>
            <w:tcBorders>
              <w:right w:val="nil"/>
            </w:tcBorders>
            <w:shd w:val="clear" w:color="auto" w:fill="EAF9FF"/>
            <w:vAlign w:val="top"/>
          </w:tcPr>
          <w:p w14:paraId="216C06B7">
            <w:pPr>
              <w:pStyle w:val="8"/>
              <w:spacing w:before="66" w:line="238" w:lineRule="exact"/>
              <w:ind w:left="805"/>
            </w:pPr>
            <w:r>
              <w:rPr>
                <w:color w:val="5F6A72"/>
                <w:spacing w:val="-7"/>
                <w:position w:val="1"/>
              </w:rPr>
              <w:t>96.7</w:t>
            </w:r>
          </w:p>
        </w:tc>
        <w:tc>
          <w:tcPr>
            <w:tcW w:w="1922" w:type="dxa"/>
            <w:tcBorders>
              <w:left w:val="nil"/>
              <w:right w:val="nil"/>
            </w:tcBorders>
            <w:shd w:val="clear" w:color="auto" w:fill="EAF9FF"/>
            <w:vAlign w:val="top"/>
          </w:tcPr>
          <w:p w14:paraId="342B7B3C">
            <w:pPr>
              <w:pStyle w:val="8"/>
              <w:spacing w:before="66" w:line="238" w:lineRule="exact"/>
              <w:ind w:left="809"/>
            </w:pPr>
            <w:r>
              <w:rPr>
                <w:color w:val="5F6A72"/>
                <w:spacing w:val="-7"/>
                <w:position w:val="1"/>
              </w:rPr>
              <w:t>95.6</w:t>
            </w:r>
          </w:p>
        </w:tc>
        <w:tc>
          <w:tcPr>
            <w:tcW w:w="1537" w:type="dxa"/>
            <w:tcBorders>
              <w:left w:val="nil"/>
              <w:right w:val="nil"/>
            </w:tcBorders>
            <w:shd w:val="clear" w:color="auto" w:fill="EAF9FF"/>
            <w:vAlign w:val="top"/>
          </w:tcPr>
          <w:p w14:paraId="76E5AFD3">
            <w:pPr>
              <w:pStyle w:val="8"/>
              <w:spacing w:before="66" w:line="238" w:lineRule="exact"/>
              <w:ind w:left="570"/>
            </w:pPr>
            <w:r>
              <w:rPr>
                <w:color w:val="5F6A72"/>
                <w:spacing w:val="-7"/>
                <w:position w:val="1"/>
              </w:rPr>
              <w:t>100.0</w:t>
            </w:r>
          </w:p>
        </w:tc>
        <w:tc>
          <w:tcPr>
            <w:tcW w:w="1537" w:type="dxa"/>
            <w:tcBorders>
              <w:left w:val="nil"/>
              <w:right w:val="nil"/>
            </w:tcBorders>
            <w:shd w:val="clear" w:color="auto" w:fill="EAF9FF"/>
            <w:vAlign w:val="top"/>
          </w:tcPr>
          <w:p w14:paraId="4E714649">
            <w:pPr>
              <w:pStyle w:val="8"/>
              <w:spacing w:before="66" w:line="238" w:lineRule="exact"/>
              <w:ind w:left="616"/>
            </w:pPr>
            <w:r>
              <w:rPr>
                <w:color w:val="5F6A72"/>
                <w:spacing w:val="-7"/>
                <w:position w:val="1"/>
              </w:rPr>
              <w:t>93.4</w:t>
            </w:r>
          </w:p>
        </w:tc>
        <w:tc>
          <w:tcPr>
            <w:tcW w:w="790" w:type="dxa"/>
            <w:tcBorders>
              <w:left w:val="nil"/>
              <w:right w:val="nil"/>
            </w:tcBorders>
            <w:shd w:val="clear" w:color="auto" w:fill="E5819D"/>
            <w:vAlign w:val="top"/>
          </w:tcPr>
          <w:p w14:paraId="3875FAC8">
            <w:pPr>
              <w:pStyle w:val="8"/>
              <w:spacing w:before="66" w:line="238" w:lineRule="exact"/>
              <w:ind w:left="243"/>
            </w:pPr>
            <w:r>
              <w:rPr>
                <w:color w:val="5F6A72"/>
                <w:spacing w:val="-7"/>
                <w:position w:val="1"/>
              </w:rPr>
              <w:t>96.5</w:t>
            </w:r>
          </w:p>
        </w:tc>
        <w:tc>
          <w:tcPr>
            <w:tcW w:w="576" w:type="dxa"/>
            <w:tcBorders>
              <w:left w:val="nil"/>
              <w:right w:val="nil"/>
            </w:tcBorders>
            <w:shd w:val="clear" w:color="auto" w:fill="E5819D"/>
            <w:vAlign w:val="top"/>
          </w:tcPr>
          <w:p w14:paraId="414C1074">
            <w:pPr>
              <w:pStyle w:val="8"/>
              <w:spacing w:before="66" w:line="238" w:lineRule="exact"/>
              <w:ind w:left="136"/>
            </w:pPr>
            <w:r>
              <w:rPr>
                <w:color w:val="5F6A72"/>
                <w:spacing w:val="-7"/>
                <w:position w:val="1"/>
              </w:rPr>
              <w:t>94.7</w:t>
            </w:r>
          </w:p>
        </w:tc>
      </w:tr>
      <w:tr w14:paraId="06EC59A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921" w:type="dxa"/>
            <w:tcBorders>
              <w:left w:val="nil"/>
            </w:tcBorders>
            <w:vAlign w:val="top"/>
          </w:tcPr>
          <w:p w14:paraId="4CE68405">
            <w:pPr>
              <w:pStyle w:val="8"/>
              <w:spacing w:before="67" w:line="237" w:lineRule="exact"/>
              <w:ind w:left="18"/>
            </w:pPr>
            <w:r>
              <w:rPr>
                <w:color w:val="2A8ABF"/>
                <w:spacing w:val="-8"/>
                <w:position w:val="1"/>
              </w:rPr>
              <w:t>Bolivia</w:t>
            </w:r>
          </w:p>
        </w:tc>
        <w:tc>
          <w:tcPr>
            <w:tcW w:w="1921" w:type="dxa"/>
            <w:tcBorders>
              <w:right w:val="nil"/>
            </w:tcBorders>
            <w:vAlign w:val="top"/>
          </w:tcPr>
          <w:p w14:paraId="0C9984A2">
            <w:pPr>
              <w:pStyle w:val="8"/>
              <w:spacing w:before="67" w:line="237" w:lineRule="exact"/>
              <w:ind w:left="804"/>
            </w:pPr>
            <w:r>
              <w:rPr>
                <w:color w:val="5F6A72"/>
                <w:spacing w:val="-7"/>
                <w:position w:val="1"/>
              </w:rPr>
              <w:t>81.3</w:t>
            </w:r>
          </w:p>
        </w:tc>
        <w:tc>
          <w:tcPr>
            <w:tcW w:w="1922" w:type="dxa"/>
            <w:tcBorders>
              <w:left w:val="nil"/>
              <w:right w:val="nil"/>
            </w:tcBorders>
            <w:vAlign w:val="top"/>
          </w:tcPr>
          <w:p w14:paraId="69970149">
            <w:pPr>
              <w:pStyle w:val="8"/>
              <w:spacing w:before="67" w:line="237" w:lineRule="exact"/>
              <w:ind w:left="809"/>
            </w:pPr>
            <w:r>
              <w:rPr>
                <w:color w:val="5F6A72"/>
                <w:spacing w:val="-7"/>
                <w:position w:val="1"/>
              </w:rPr>
              <w:t>96.7</w:t>
            </w:r>
          </w:p>
        </w:tc>
        <w:tc>
          <w:tcPr>
            <w:tcW w:w="1537" w:type="dxa"/>
            <w:tcBorders>
              <w:left w:val="nil"/>
              <w:right w:val="nil"/>
            </w:tcBorders>
            <w:vAlign w:val="top"/>
          </w:tcPr>
          <w:p w14:paraId="3675A101">
            <w:pPr>
              <w:pStyle w:val="8"/>
              <w:spacing w:before="67" w:line="237" w:lineRule="exact"/>
              <w:ind w:left="616"/>
            </w:pPr>
            <w:r>
              <w:rPr>
                <w:color w:val="5F6A72"/>
                <w:spacing w:val="-7"/>
                <w:position w:val="1"/>
              </w:rPr>
              <w:t>90.1</w:t>
            </w:r>
          </w:p>
        </w:tc>
        <w:tc>
          <w:tcPr>
            <w:tcW w:w="1537" w:type="dxa"/>
            <w:tcBorders>
              <w:left w:val="nil"/>
              <w:right w:val="nil"/>
            </w:tcBorders>
            <w:vAlign w:val="top"/>
          </w:tcPr>
          <w:p w14:paraId="0E627419">
            <w:pPr>
              <w:pStyle w:val="8"/>
              <w:spacing w:before="67" w:line="237" w:lineRule="exact"/>
              <w:ind w:left="612"/>
            </w:pPr>
            <w:r>
              <w:rPr>
                <w:color w:val="5F6A72"/>
                <w:spacing w:val="-6"/>
                <w:position w:val="1"/>
              </w:rPr>
              <w:t>75.8</w:t>
            </w:r>
          </w:p>
        </w:tc>
        <w:tc>
          <w:tcPr>
            <w:tcW w:w="790" w:type="dxa"/>
            <w:tcBorders>
              <w:left w:val="nil"/>
              <w:right w:val="nil"/>
            </w:tcBorders>
            <w:shd w:val="clear" w:color="auto" w:fill="E5819D"/>
            <w:vAlign w:val="top"/>
          </w:tcPr>
          <w:p w14:paraId="20BAD8B0">
            <w:pPr>
              <w:pStyle w:val="8"/>
              <w:spacing w:before="67" w:line="237" w:lineRule="exact"/>
              <w:ind w:left="242"/>
            </w:pPr>
            <w:r>
              <w:rPr>
                <w:color w:val="5F6A72"/>
                <w:spacing w:val="-7"/>
                <w:position w:val="1"/>
              </w:rPr>
              <w:t>85.0</w:t>
            </w:r>
          </w:p>
        </w:tc>
        <w:tc>
          <w:tcPr>
            <w:tcW w:w="576" w:type="dxa"/>
            <w:tcBorders>
              <w:left w:val="nil"/>
              <w:right w:val="nil"/>
            </w:tcBorders>
            <w:shd w:val="clear" w:color="auto" w:fill="E5819D"/>
            <w:vAlign w:val="top"/>
          </w:tcPr>
          <w:p w14:paraId="20C6DEA8">
            <w:pPr>
              <w:pStyle w:val="8"/>
              <w:spacing w:before="67" w:line="237" w:lineRule="exact"/>
              <w:ind w:left="131"/>
            </w:pPr>
            <w:r>
              <w:rPr>
                <w:color w:val="5F6A72"/>
                <w:spacing w:val="-6"/>
                <w:position w:val="1"/>
              </w:rPr>
              <w:t>70.9</w:t>
            </w:r>
          </w:p>
        </w:tc>
      </w:tr>
      <w:tr w14:paraId="5CEB8A7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shd w:val="clear" w:color="auto" w:fill="EAF9FF"/>
            <w:vAlign w:val="top"/>
          </w:tcPr>
          <w:p w14:paraId="2263986D">
            <w:pPr>
              <w:pStyle w:val="8"/>
              <w:spacing w:before="66" w:line="234" w:lineRule="auto"/>
              <w:ind w:left="5"/>
            </w:pPr>
            <w:r>
              <w:rPr>
                <w:color w:val="2A8ABF"/>
                <w:spacing w:val="-9"/>
              </w:rPr>
              <w:t>Trinidad</w:t>
            </w:r>
            <w:r>
              <w:rPr>
                <w:color w:val="2A8ABF"/>
                <w:spacing w:val="-18"/>
              </w:rPr>
              <w:t xml:space="preserve"> </w:t>
            </w:r>
            <w:r>
              <w:rPr>
                <w:color w:val="2A8ABF"/>
                <w:spacing w:val="-9"/>
              </w:rPr>
              <w:t>And</w:t>
            </w:r>
            <w:r>
              <w:rPr>
                <w:color w:val="2A8ABF"/>
                <w:spacing w:val="-16"/>
              </w:rPr>
              <w:t xml:space="preserve"> </w:t>
            </w:r>
            <w:r>
              <w:rPr>
                <w:color w:val="2A8ABF"/>
                <w:spacing w:val="-9"/>
              </w:rPr>
              <w:t>Tobago</w:t>
            </w:r>
          </w:p>
        </w:tc>
        <w:tc>
          <w:tcPr>
            <w:tcW w:w="1921" w:type="dxa"/>
            <w:tcBorders>
              <w:right w:val="nil"/>
            </w:tcBorders>
            <w:shd w:val="clear" w:color="auto" w:fill="EAF9FF"/>
            <w:vAlign w:val="top"/>
          </w:tcPr>
          <w:p w14:paraId="35369426">
            <w:pPr>
              <w:pStyle w:val="8"/>
              <w:spacing w:before="66" w:line="237" w:lineRule="exact"/>
              <w:ind w:left="800"/>
            </w:pPr>
            <w:r>
              <w:rPr>
                <w:color w:val="5F6A72"/>
                <w:spacing w:val="-6"/>
                <w:position w:val="1"/>
              </w:rPr>
              <w:t>49.5</w:t>
            </w:r>
          </w:p>
        </w:tc>
        <w:tc>
          <w:tcPr>
            <w:tcW w:w="1922" w:type="dxa"/>
            <w:tcBorders>
              <w:left w:val="nil"/>
              <w:right w:val="nil"/>
            </w:tcBorders>
            <w:shd w:val="clear" w:color="auto" w:fill="EAF9FF"/>
            <w:vAlign w:val="top"/>
          </w:tcPr>
          <w:p w14:paraId="23D107C3">
            <w:pPr>
              <w:pStyle w:val="8"/>
              <w:spacing w:before="66" w:line="237" w:lineRule="exact"/>
              <w:ind w:left="805"/>
            </w:pPr>
            <w:r>
              <w:rPr>
                <w:color w:val="5F6A72"/>
                <w:spacing w:val="-6"/>
                <w:position w:val="1"/>
              </w:rPr>
              <w:t>42.9</w:t>
            </w:r>
          </w:p>
        </w:tc>
        <w:tc>
          <w:tcPr>
            <w:tcW w:w="1537" w:type="dxa"/>
            <w:tcBorders>
              <w:left w:val="nil"/>
              <w:right w:val="nil"/>
            </w:tcBorders>
            <w:shd w:val="clear" w:color="auto" w:fill="EAF9FF"/>
            <w:vAlign w:val="top"/>
          </w:tcPr>
          <w:p w14:paraId="0ED4B331">
            <w:pPr>
              <w:pStyle w:val="8"/>
              <w:spacing w:before="66" w:line="237" w:lineRule="exact"/>
              <w:ind w:left="612"/>
            </w:pPr>
            <w:r>
              <w:rPr>
                <w:color w:val="5F6A72"/>
                <w:spacing w:val="-6"/>
                <w:position w:val="1"/>
              </w:rPr>
              <w:t>36.3</w:t>
            </w:r>
          </w:p>
        </w:tc>
        <w:tc>
          <w:tcPr>
            <w:tcW w:w="1537" w:type="dxa"/>
            <w:tcBorders>
              <w:left w:val="nil"/>
              <w:right w:val="nil"/>
            </w:tcBorders>
            <w:shd w:val="clear" w:color="auto" w:fill="EAF9FF"/>
            <w:vAlign w:val="top"/>
          </w:tcPr>
          <w:p w14:paraId="2A6DEBFB">
            <w:pPr>
              <w:pStyle w:val="8"/>
              <w:spacing w:before="66" w:line="237" w:lineRule="exact"/>
              <w:ind w:left="616"/>
            </w:pPr>
            <w:r>
              <w:rPr>
                <w:color w:val="5F6A72"/>
                <w:spacing w:val="-7"/>
                <w:position w:val="1"/>
              </w:rPr>
              <w:t>56.0</w:t>
            </w:r>
          </w:p>
        </w:tc>
        <w:tc>
          <w:tcPr>
            <w:tcW w:w="790" w:type="dxa"/>
            <w:tcBorders>
              <w:left w:val="nil"/>
              <w:right w:val="nil"/>
            </w:tcBorders>
            <w:shd w:val="clear" w:color="auto" w:fill="E5819D"/>
            <w:vAlign w:val="top"/>
          </w:tcPr>
          <w:p w14:paraId="17ADF433">
            <w:pPr>
              <w:pStyle w:val="8"/>
              <w:spacing w:before="66" w:line="237" w:lineRule="exact"/>
              <w:ind w:left="238"/>
            </w:pPr>
            <w:r>
              <w:rPr>
                <w:color w:val="5F6A72"/>
                <w:spacing w:val="-6"/>
                <w:position w:val="1"/>
              </w:rPr>
              <w:t>46.2</w:t>
            </w:r>
          </w:p>
        </w:tc>
        <w:tc>
          <w:tcPr>
            <w:tcW w:w="576" w:type="dxa"/>
            <w:tcBorders>
              <w:left w:val="nil"/>
              <w:right w:val="nil"/>
            </w:tcBorders>
            <w:shd w:val="clear" w:color="auto" w:fill="E5819D"/>
            <w:vAlign w:val="top"/>
          </w:tcPr>
          <w:p w14:paraId="539B2D45">
            <w:pPr>
              <w:pStyle w:val="8"/>
              <w:spacing w:before="66" w:line="237" w:lineRule="exact"/>
              <w:ind w:left="131"/>
            </w:pPr>
            <w:r>
              <w:rPr>
                <w:color w:val="5F6A72"/>
                <w:spacing w:val="-6"/>
                <w:position w:val="1"/>
              </w:rPr>
              <w:t>48.2</w:t>
            </w:r>
          </w:p>
        </w:tc>
      </w:tr>
      <w:tr w14:paraId="0A3B742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21" w:type="dxa"/>
            <w:tcBorders>
              <w:left w:val="nil"/>
            </w:tcBorders>
            <w:vAlign w:val="top"/>
          </w:tcPr>
          <w:p w14:paraId="25EE190E">
            <w:pPr>
              <w:pStyle w:val="8"/>
              <w:spacing w:before="106" w:line="184" w:lineRule="auto"/>
              <w:ind w:left="12"/>
            </w:pPr>
            <w:r>
              <w:rPr>
                <w:color w:val="2A8ABF"/>
                <w:spacing w:val="-13"/>
              </w:rPr>
              <w:t>Guyana</w:t>
            </w:r>
          </w:p>
        </w:tc>
        <w:tc>
          <w:tcPr>
            <w:tcW w:w="1921" w:type="dxa"/>
            <w:tcBorders>
              <w:right w:val="nil"/>
            </w:tcBorders>
            <w:vAlign w:val="top"/>
          </w:tcPr>
          <w:p w14:paraId="06DE90A4">
            <w:pPr>
              <w:pStyle w:val="8"/>
              <w:spacing w:before="67" w:line="237" w:lineRule="exact"/>
              <w:ind w:left="806"/>
            </w:pPr>
            <w:r>
              <w:rPr>
                <w:color w:val="5F6A72"/>
                <w:spacing w:val="-7"/>
                <w:position w:val="1"/>
              </w:rPr>
              <w:t>62.6</w:t>
            </w:r>
          </w:p>
        </w:tc>
        <w:tc>
          <w:tcPr>
            <w:tcW w:w="1922" w:type="dxa"/>
            <w:tcBorders>
              <w:left w:val="nil"/>
              <w:right w:val="nil"/>
            </w:tcBorders>
            <w:vAlign w:val="top"/>
          </w:tcPr>
          <w:p w14:paraId="4EAE4709">
            <w:pPr>
              <w:pStyle w:val="8"/>
              <w:spacing w:before="67" w:line="237" w:lineRule="exact"/>
              <w:ind w:left="809"/>
            </w:pPr>
            <w:r>
              <w:rPr>
                <w:color w:val="5F6A72"/>
                <w:spacing w:val="-7"/>
                <w:position w:val="1"/>
              </w:rPr>
              <w:t>56.0</w:t>
            </w:r>
          </w:p>
        </w:tc>
        <w:tc>
          <w:tcPr>
            <w:tcW w:w="1537" w:type="dxa"/>
            <w:tcBorders>
              <w:left w:val="nil"/>
              <w:right w:val="nil"/>
            </w:tcBorders>
            <w:vAlign w:val="top"/>
          </w:tcPr>
          <w:p w14:paraId="173E7722">
            <w:pPr>
              <w:pStyle w:val="8"/>
              <w:spacing w:before="67" w:line="237" w:lineRule="exact"/>
              <w:ind w:left="617"/>
            </w:pPr>
            <w:r>
              <w:rPr>
                <w:color w:val="5F6A72"/>
                <w:spacing w:val="-7"/>
                <w:position w:val="1"/>
              </w:rPr>
              <w:t>63.7</w:t>
            </w:r>
          </w:p>
        </w:tc>
        <w:tc>
          <w:tcPr>
            <w:tcW w:w="1537" w:type="dxa"/>
            <w:tcBorders>
              <w:left w:val="nil"/>
              <w:right w:val="nil"/>
            </w:tcBorders>
            <w:vAlign w:val="top"/>
          </w:tcPr>
          <w:p w14:paraId="4DBA5272">
            <w:pPr>
              <w:pStyle w:val="8"/>
              <w:spacing w:before="67" w:line="237" w:lineRule="exact"/>
              <w:ind w:left="616"/>
            </w:pPr>
            <w:r>
              <w:rPr>
                <w:color w:val="5F6A72"/>
                <w:spacing w:val="-7"/>
                <w:position w:val="1"/>
              </w:rPr>
              <w:t>80.2</w:t>
            </w:r>
          </w:p>
        </w:tc>
        <w:tc>
          <w:tcPr>
            <w:tcW w:w="790" w:type="dxa"/>
            <w:tcBorders>
              <w:left w:val="nil"/>
              <w:right w:val="nil"/>
            </w:tcBorders>
            <w:shd w:val="clear" w:color="auto" w:fill="E5819D"/>
            <w:vAlign w:val="top"/>
          </w:tcPr>
          <w:p w14:paraId="66E85414">
            <w:pPr>
              <w:pStyle w:val="8"/>
              <w:spacing w:before="67" w:line="237" w:lineRule="exact"/>
              <w:ind w:left="244"/>
            </w:pPr>
            <w:r>
              <w:rPr>
                <w:color w:val="5F6A72"/>
                <w:spacing w:val="-7"/>
                <w:position w:val="1"/>
              </w:rPr>
              <w:t>67.8</w:t>
            </w:r>
          </w:p>
        </w:tc>
        <w:tc>
          <w:tcPr>
            <w:tcW w:w="576" w:type="dxa"/>
            <w:tcBorders>
              <w:left w:val="nil"/>
              <w:right w:val="nil"/>
            </w:tcBorders>
            <w:shd w:val="clear" w:color="auto" w:fill="E5819D"/>
            <w:vAlign w:val="top"/>
          </w:tcPr>
          <w:p w14:paraId="70B5E434">
            <w:pPr>
              <w:pStyle w:val="8"/>
              <w:spacing w:before="67" w:line="237" w:lineRule="exact"/>
              <w:ind w:left="131"/>
            </w:pPr>
            <w:r>
              <w:rPr>
                <w:color w:val="5F6A72"/>
                <w:spacing w:val="-6"/>
                <w:position w:val="1"/>
              </w:rPr>
              <w:t>78.9</w:t>
            </w:r>
          </w:p>
        </w:tc>
      </w:tr>
      <w:tr w14:paraId="254FE92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921" w:type="dxa"/>
            <w:tcBorders>
              <w:left w:val="nil"/>
            </w:tcBorders>
            <w:shd w:val="clear" w:color="auto" w:fill="EAF9FF"/>
            <w:vAlign w:val="top"/>
          </w:tcPr>
          <w:p w14:paraId="50634E66">
            <w:pPr>
              <w:pStyle w:val="8"/>
              <w:rPr>
                <w:sz w:val="21"/>
              </w:rPr>
            </w:pPr>
          </w:p>
        </w:tc>
        <w:tc>
          <w:tcPr>
            <w:tcW w:w="1921" w:type="dxa"/>
            <w:tcBorders>
              <w:right w:val="nil"/>
            </w:tcBorders>
            <w:shd w:val="clear" w:color="auto" w:fill="EAF9FF"/>
            <w:vAlign w:val="top"/>
          </w:tcPr>
          <w:p w14:paraId="0C91A5D6">
            <w:pPr>
              <w:pStyle w:val="8"/>
              <w:rPr>
                <w:sz w:val="21"/>
              </w:rPr>
            </w:pPr>
          </w:p>
        </w:tc>
        <w:tc>
          <w:tcPr>
            <w:tcW w:w="1922" w:type="dxa"/>
            <w:tcBorders>
              <w:left w:val="nil"/>
              <w:right w:val="nil"/>
            </w:tcBorders>
            <w:shd w:val="clear" w:color="auto" w:fill="EAF9FF"/>
            <w:vAlign w:val="top"/>
          </w:tcPr>
          <w:p w14:paraId="51A649BF">
            <w:pPr>
              <w:pStyle w:val="8"/>
              <w:rPr>
                <w:sz w:val="21"/>
              </w:rPr>
            </w:pPr>
          </w:p>
        </w:tc>
        <w:tc>
          <w:tcPr>
            <w:tcW w:w="1537" w:type="dxa"/>
            <w:tcBorders>
              <w:left w:val="nil"/>
              <w:right w:val="nil"/>
            </w:tcBorders>
            <w:shd w:val="clear" w:color="auto" w:fill="EAF9FF"/>
            <w:vAlign w:val="top"/>
          </w:tcPr>
          <w:p w14:paraId="4706FC8E">
            <w:pPr>
              <w:pStyle w:val="8"/>
              <w:rPr>
                <w:sz w:val="21"/>
              </w:rPr>
            </w:pPr>
          </w:p>
        </w:tc>
        <w:tc>
          <w:tcPr>
            <w:tcW w:w="1537" w:type="dxa"/>
            <w:tcBorders>
              <w:left w:val="nil"/>
              <w:right w:val="nil"/>
            </w:tcBorders>
            <w:shd w:val="clear" w:color="auto" w:fill="EAF9FF"/>
            <w:vAlign w:val="top"/>
          </w:tcPr>
          <w:p w14:paraId="0E10A88A">
            <w:pPr>
              <w:pStyle w:val="8"/>
              <w:rPr>
                <w:sz w:val="21"/>
              </w:rPr>
            </w:pPr>
          </w:p>
        </w:tc>
        <w:tc>
          <w:tcPr>
            <w:tcW w:w="790" w:type="dxa"/>
            <w:tcBorders>
              <w:left w:val="nil"/>
              <w:right w:val="nil"/>
            </w:tcBorders>
            <w:shd w:val="clear" w:color="auto" w:fill="E5819D"/>
            <w:vAlign w:val="top"/>
          </w:tcPr>
          <w:p w14:paraId="140055CB">
            <w:pPr>
              <w:pStyle w:val="8"/>
              <w:rPr>
                <w:sz w:val="21"/>
              </w:rPr>
            </w:pPr>
          </w:p>
        </w:tc>
        <w:tc>
          <w:tcPr>
            <w:tcW w:w="576" w:type="dxa"/>
            <w:tcBorders>
              <w:left w:val="nil"/>
              <w:right w:val="nil"/>
            </w:tcBorders>
            <w:shd w:val="clear" w:color="auto" w:fill="E5819D"/>
            <w:vAlign w:val="top"/>
          </w:tcPr>
          <w:p w14:paraId="769D1346">
            <w:pPr>
              <w:pStyle w:val="8"/>
              <w:rPr>
                <w:sz w:val="21"/>
              </w:rPr>
            </w:pPr>
          </w:p>
        </w:tc>
      </w:tr>
      <w:tr w14:paraId="10238AD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1921" w:type="dxa"/>
            <w:tcBorders>
              <w:left w:val="nil"/>
            </w:tcBorders>
            <w:vAlign w:val="top"/>
          </w:tcPr>
          <w:p w14:paraId="170F17EB">
            <w:pPr>
              <w:pStyle w:val="8"/>
              <w:spacing w:before="66" w:line="234" w:lineRule="auto"/>
              <w:ind w:left="12"/>
            </w:pPr>
            <w:r>
              <w:rPr>
                <w:color w:val="2A8ABF"/>
                <w:spacing w:val="-11"/>
              </w:rPr>
              <w:t>Global</w:t>
            </w:r>
            <w:r>
              <w:rPr>
                <w:color w:val="2A8ABF"/>
                <w:spacing w:val="-2"/>
              </w:rPr>
              <w:t xml:space="preserve"> </w:t>
            </w:r>
            <w:r>
              <w:rPr>
                <w:color w:val="2A8ABF"/>
                <w:spacing w:val="-11"/>
              </w:rPr>
              <w:t>average</w:t>
            </w:r>
          </w:p>
        </w:tc>
        <w:tc>
          <w:tcPr>
            <w:tcW w:w="1921" w:type="dxa"/>
            <w:tcBorders>
              <w:right w:val="nil"/>
            </w:tcBorders>
            <w:vAlign w:val="top"/>
          </w:tcPr>
          <w:p w14:paraId="1E141BC3">
            <w:pPr>
              <w:pStyle w:val="8"/>
              <w:spacing w:before="66" w:line="238" w:lineRule="exact"/>
              <w:ind w:left="805"/>
            </w:pPr>
            <w:r>
              <w:rPr>
                <w:color w:val="5F6A72"/>
                <w:spacing w:val="-7"/>
                <w:position w:val="1"/>
              </w:rPr>
              <w:t>50.0</w:t>
            </w:r>
          </w:p>
        </w:tc>
        <w:tc>
          <w:tcPr>
            <w:tcW w:w="1922" w:type="dxa"/>
            <w:tcBorders>
              <w:left w:val="nil"/>
              <w:right w:val="nil"/>
            </w:tcBorders>
            <w:vAlign w:val="top"/>
          </w:tcPr>
          <w:p w14:paraId="6C2D5CB5">
            <w:pPr>
              <w:pStyle w:val="8"/>
              <w:spacing w:before="66" w:line="238" w:lineRule="exact"/>
              <w:ind w:left="809"/>
            </w:pPr>
            <w:r>
              <w:rPr>
                <w:color w:val="5F6A72"/>
                <w:spacing w:val="-7"/>
                <w:position w:val="1"/>
              </w:rPr>
              <w:t>50.0</w:t>
            </w:r>
          </w:p>
        </w:tc>
        <w:tc>
          <w:tcPr>
            <w:tcW w:w="1537" w:type="dxa"/>
            <w:tcBorders>
              <w:left w:val="nil"/>
              <w:right w:val="nil"/>
            </w:tcBorders>
            <w:vAlign w:val="top"/>
          </w:tcPr>
          <w:p w14:paraId="6A028B05">
            <w:pPr>
              <w:pStyle w:val="8"/>
              <w:spacing w:before="66" w:line="238" w:lineRule="exact"/>
              <w:ind w:left="616"/>
            </w:pPr>
            <w:r>
              <w:rPr>
                <w:color w:val="5F6A72"/>
                <w:spacing w:val="-7"/>
                <w:position w:val="1"/>
              </w:rPr>
              <w:t>50.0</w:t>
            </w:r>
          </w:p>
        </w:tc>
        <w:tc>
          <w:tcPr>
            <w:tcW w:w="1537" w:type="dxa"/>
            <w:tcBorders>
              <w:left w:val="nil"/>
              <w:right w:val="nil"/>
            </w:tcBorders>
            <w:vAlign w:val="top"/>
          </w:tcPr>
          <w:p w14:paraId="018EF394">
            <w:pPr>
              <w:pStyle w:val="8"/>
              <w:spacing w:before="66" w:line="238" w:lineRule="exact"/>
              <w:ind w:left="616"/>
            </w:pPr>
            <w:r>
              <w:rPr>
                <w:color w:val="5F6A72"/>
                <w:spacing w:val="-7"/>
                <w:position w:val="1"/>
              </w:rPr>
              <w:t>50.0</w:t>
            </w:r>
          </w:p>
        </w:tc>
        <w:tc>
          <w:tcPr>
            <w:tcW w:w="790" w:type="dxa"/>
            <w:tcBorders>
              <w:left w:val="nil"/>
              <w:right w:val="nil"/>
            </w:tcBorders>
            <w:shd w:val="clear" w:color="auto" w:fill="E5819D"/>
            <w:vAlign w:val="top"/>
          </w:tcPr>
          <w:p w14:paraId="5FA57237">
            <w:pPr>
              <w:pStyle w:val="8"/>
              <w:spacing w:before="66" w:line="238" w:lineRule="exact"/>
              <w:ind w:left="243"/>
            </w:pPr>
            <w:r>
              <w:rPr>
                <w:color w:val="5F6A72"/>
                <w:spacing w:val="-7"/>
                <w:position w:val="1"/>
              </w:rPr>
              <w:t>50.0</w:t>
            </w:r>
          </w:p>
        </w:tc>
        <w:tc>
          <w:tcPr>
            <w:tcW w:w="576" w:type="dxa"/>
            <w:tcBorders>
              <w:left w:val="nil"/>
              <w:right w:val="nil"/>
            </w:tcBorders>
            <w:shd w:val="clear" w:color="auto" w:fill="E5819D"/>
            <w:vAlign w:val="top"/>
          </w:tcPr>
          <w:p w14:paraId="6E038316">
            <w:pPr>
              <w:pStyle w:val="8"/>
              <w:spacing w:before="66" w:line="238" w:lineRule="exact"/>
              <w:ind w:left="136"/>
            </w:pPr>
            <w:r>
              <w:rPr>
                <w:color w:val="5F6A72"/>
                <w:spacing w:val="-7"/>
                <w:position w:val="1"/>
              </w:rPr>
              <w:t>50.0</w:t>
            </w:r>
          </w:p>
        </w:tc>
      </w:tr>
      <w:tr w14:paraId="5FAB618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1921" w:type="dxa"/>
            <w:tcBorders>
              <w:left w:val="nil"/>
              <w:bottom w:val="nil"/>
            </w:tcBorders>
            <w:shd w:val="clear" w:color="auto" w:fill="EAF9FF"/>
            <w:vAlign w:val="top"/>
          </w:tcPr>
          <w:p w14:paraId="1231F169">
            <w:pPr>
              <w:pStyle w:val="8"/>
              <w:spacing w:before="66" w:line="234" w:lineRule="auto"/>
              <w:ind w:left="18"/>
            </w:pPr>
            <w:r>
              <w:rPr>
                <w:color w:val="2A8ABF"/>
                <w:spacing w:val="-11"/>
              </w:rPr>
              <w:t>Regional</w:t>
            </w:r>
            <w:r>
              <w:rPr>
                <w:color w:val="2A8ABF"/>
              </w:rPr>
              <w:t xml:space="preserve"> </w:t>
            </w:r>
            <w:r>
              <w:rPr>
                <w:color w:val="2A8ABF"/>
                <w:spacing w:val="-11"/>
              </w:rPr>
              <w:t>average</w:t>
            </w:r>
          </w:p>
        </w:tc>
        <w:tc>
          <w:tcPr>
            <w:tcW w:w="1921" w:type="dxa"/>
            <w:tcBorders>
              <w:bottom w:val="nil"/>
              <w:right w:val="nil"/>
            </w:tcBorders>
            <w:shd w:val="clear" w:color="auto" w:fill="EAF9FF"/>
            <w:vAlign w:val="top"/>
          </w:tcPr>
          <w:p w14:paraId="2CA8C334">
            <w:pPr>
              <w:pStyle w:val="8"/>
              <w:spacing w:before="66" w:line="237" w:lineRule="exact"/>
              <w:ind w:left="805"/>
            </w:pPr>
            <w:r>
              <w:rPr>
                <w:color w:val="5F6A72"/>
                <w:spacing w:val="-7"/>
                <w:position w:val="1"/>
              </w:rPr>
              <w:t>57.3</w:t>
            </w:r>
          </w:p>
        </w:tc>
        <w:tc>
          <w:tcPr>
            <w:tcW w:w="1922" w:type="dxa"/>
            <w:tcBorders>
              <w:left w:val="nil"/>
              <w:bottom w:val="nil"/>
              <w:right w:val="nil"/>
            </w:tcBorders>
            <w:shd w:val="clear" w:color="auto" w:fill="EAF9FF"/>
            <w:vAlign w:val="top"/>
          </w:tcPr>
          <w:p w14:paraId="6742A63F">
            <w:pPr>
              <w:pStyle w:val="8"/>
              <w:spacing w:before="66" w:line="237" w:lineRule="exact"/>
              <w:ind w:left="809"/>
            </w:pPr>
            <w:r>
              <w:rPr>
                <w:color w:val="5F6A72"/>
                <w:spacing w:val="-7"/>
                <w:position w:val="1"/>
              </w:rPr>
              <w:t>57.6</w:t>
            </w:r>
          </w:p>
        </w:tc>
        <w:tc>
          <w:tcPr>
            <w:tcW w:w="1537" w:type="dxa"/>
            <w:tcBorders>
              <w:left w:val="nil"/>
              <w:bottom w:val="nil"/>
              <w:right w:val="nil"/>
            </w:tcBorders>
            <w:shd w:val="clear" w:color="auto" w:fill="EAF9FF"/>
            <w:vAlign w:val="top"/>
          </w:tcPr>
          <w:p w14:paraId="685DBAFF">
            <w:pPr>
              <w:pStyle w:val="8"/>
              <w:spacing w:before="66" w:line="237" w:lineRule="exact"/>
              <w:ind w:left="617"/>
            </w:pPr>
            <w:r>
              <w:rPr>
                <w:color w:val="5F6A72"/>
                <w:spacing w:val="-7"/>
                <w:position w:val="1"/>
              </w:rPr>
              <w:t>60.8</w:t>
            </w:r>
          </w:p>
        </w:tc>
        <w:tc>
          <w:tcPr>
            <w:tcW w:w="1537" w:type="dxa"/>
            <w:tcBorders>
              <w:left w:val="nil"/>
              <w:bottom w:val="nil"/>
              <w:right w:val="nil"/>
            </w:tcBorders>
            <w:shd w:val="clear" w:color="auto" w:fill="EAF9FF"/>
            <w:vAlign w:val="top"/>
          </w:tcPr>
          <w:p w14:paraId="1E9A31DD">
            <w:pPr>
              <w:pStyle w:val="8"/>
              <w:spacing w:before="66" w:line="237" w:lineRule="exact"/>
              <w:ind w:left="617"/>
            </w:pPr>
            <w:r>
              <w:rPr>
                <w:color w:val="5F6A72"/>
                <w:spacing w:val="-7"/>
                <w:position w:val="1"/>
              </w:rPr>
              <w:t>60.7</w:t>
            </w:r>
          </w:p>
        </w:tc>
        <w:tc>
          <w:tcPr>
            <w:tcW w:w="790" w:type="dxa"/>
            <w:tcBorders>
              <w:left w:val="nil"/>
              <w:bottom w:val="nil"/>
              <w:right w:val="nil"/>
            </w:tcBorders>
            <w:shd w:val="clear" w:color="auto" w:fill="E5819D"/>
            <w:vAlign w:val="top"/>
          </w:tcPr>
          <w:p w14:paraId="00C57F45">
            <w:pPr>
              <w:pStyle w:val="8"/>
              <w:spacing w:before="66" w:line="237" w:lineRule="exact"/>
              <w:ind w:left="243"/>
            </w:pPr>
            <w:r>
              <w:rPr>
                <w:color w:val="5F6A72"/>
                <w:spacing w:val="-7"/>
                <w:position w:val="1"/>
              </w:rPr>
              <w:t>59.7</w:t>
            </w:r>
          </w:p>
        </w:tc>
        <w:tc>
          <w:tcPr>
            <w:tcW w:w="576" w:type="dxa"/>
            <w:tcBorders>
              <w:left w:val="nil"/>
              <w:bottom w:val="nil"/>
              <w:right w:val="nil"/>
            </w:tcBorders>
            <w:shd w:val="clear" w:color="auto" w:fill="E5819D"/>
            <w:vAlign w:val="top"/>
          </w:tcPr>
          <w:p w14:paraId="763D8A00">
            <w:pPr>
              <w:pStyle w:val="8"/>
              <w:spacing w:before="66" w:line="237" w:lineRule="exact"/>
              <w:ind w:left="137"/>
            </w:pPr>
            <w:r>
              <w:rPr>
                <w:color w:val="5F6A72"/>
                <w:spacing w:val="-7"/>
                <w:position w:val="1"/>
              </w:rPr>
              <w:t>60.9</w:t>
            </w:r>
          </w:p>
        </w:tc>
      </w:tr>
    </w:tbl>
    <w:p w14:paraId="0DC74947">
      <w:pPr>
        <w:pStyle w:val="4"/>
        <w:spacing w:before="149" w:line="177" w:lineRule="exact"/>
        <w:ind w:left="372"/>
        <w:rPr>
          <w:sz w:val="15"/>
          <w:szCs w:val="15"/>
        </w:rPr>
      </w:pPr>
      <w:r>
        <w:drawing>
          <wp:anchor distT="0" distB="0" distL="0" distR="0" simplePos="0" relativeHeight="251897856"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5"/>
          <w:w w:val="94"/>
          <w:position w:val="1"/>
          <w:sz w:val="15"/>
          <w:szCs w:val="15"/>
        </w:rPr>
        <w:t>Note: Scores out</w:t>
      </w:r>
      <w:r>
        <w:rPr>
          <w:i/>
          <w:iCs/>
          <w:color w:val="333333"/>
          <w:spacing w:val="-10"/>
          <w:position w:val="1"/>
          <w:sz w:val="15"/>
          <w:szCs w:val="15"/>
        </w:rPr>
        <w:t xml:space="preserve"> </w:t>
      </w:r>
      <w:r>
        <w:rPr>
          <w:i/>
          <w:iCs/>
          <w:color w:val="333333"/>
          <w:spacing w:val="-5"/>
          <w:w w:val="94"/>
          <w:position w:val="1"/>
          <w:sz w:val="15"/>
          <w:szCs w:val="15"/>
        </w:rPr>
        <w:t>of</w:t>
      </w:r>
      <w:r>
        <w:rPr>
          <w:i/>
          <w:iCs/>
          <w:color w:val="333333"/>
          <w:spacing w:val="-11"/>
          <w:position w:val="1"/>
          <w:sz w:val="15"/>
          <w:szCs w:val="15"/>
        </w:rPr>
        <w:t xml:space="preserve"> </w:t>
      </w:r>
      <w:r>
        <w:rPr>
          <w:i/>
          <w:iCs/>
          <w:color w:val="333333"/>
          <w:spacing w:val="-5"/>
          <w:w w:val="94"/>
          <w:position w:val="1"/>
          <w:sz w:val="15"/>
          <w:szCs w:val="15"/>
        </w:rPr>
        <w:t>100;</w:t>
      </w:r>
      <w:r>
        <w:rPr>
          <w:i/>
          <w:iCs/>
          <w:color w:val="333333"/>
          <w:spacing w:val="-8"/>
          <w:position w:val="1"/>
          <w:sz w:val="15"/>
          <w:szCs w:val="15"/>
        </w:rPr>
        <w:t xml:space="preserve"> </w:t>
      </w:r>
      <w:r>
        <w:rPr>
          <w:i/>
          <w:iCs/>
          <w:color w:val="333333"/>
          <w:spacing w:val="-5"/>
          <w:w w:val="94"/>
          <w:position w:val="1"/>
          <w:sz w:val="15"/>
          <w:szCs w:val="15"/>
        </w:rPr>
        <w:t>lower</w:t>
      </w:r>
      <w:r>
        <w:rPr>
          <w:i/>
          <w:iCs/>
          <w:color w:val="333333"/>
          <w:spacing w:val="-19"/>
          <w:position w:val="1"/>
          <w:sz w:val="15"/>
          <w:szCs w:val="15"/>
        </w:rPr>
        <w:t xml:space="preserve"> </w:t>
      </w:r>
      <w:r>
        <w:rPr>
          <w:i/>
          <w:iCs/>
          <w:color w:val="333333"/>
          <w:spacing w:val="-5"/>
          <w:w w:val="94"/>
          <w:position w:val="1"/>
          <w:sz w:val="15"/>
          <w:szCs w:val="15"/>
        </w:rPr>
        <w:t>score = more attractive mark</w:t>
      </w:r>
      <w:r>
        <w:rPr>
          <w:i/>
          <w:iCs/>
          <w:color w:val="333333"/>
          <w:spacing w:val="-6"/>
          <w:w w:val="94"/>
          <w:position w:val="1"/>
          <w:sz w:val="15"/>
          <w:szCs w:val="15"/>
        </w:rPr>
        <w:t>et. Source: BMI Downstream</w:t>
      </w:r>
      <w:r>
        <w:rPr>
          <w:i/>
          <w:iCs/>
          <w:color w:val="333333"/>
          <w:spacing w:val="4"/>
          <w:position w:val="1"/>
          <w:sz w:val="15"/>
          <w:szCs w:val="15"/>
        </w:rPr>
        <w:t xml:space="preserve"> </w:t>
      </w:r>
      <w:r>
        <w:rPr>
          <w:i/>
          <w:iCs/>
          <w:color w:val="333333"/>
          <w:spacing w:val="-6"/>
          <w:w w:val="94"/>
          <w:position w:val="1"/>
          <w:sz w:val="15"/>
          <w:szCs w:val="15"/>
        </w:rPr>
        <w:t>Oil</w:t>
      </w:r>
      <w:r>
        <w:rPr>
          <w:i/>
          <w:iCs/>
          <w:color w:val="333333"/>
          <w:spacing w:val="-12"/>
          <w:position w:val="1"/>
          <w:sz w:val="15"/>
          <w:szCs w:val="15"/>
        </w:rPr>
        <w:t xml:space="preserve"> </w:t>
      </w:r>
      <w:r>
        <w:rPr>
          <w:i/>
          <w:iCs/>
          <w:color w:val="333333"/>
          <w:spacing w:val="-6"/>
          <w:w w:val="94"/>
          <w:position w:val="1"/>
          <w:sz w:val="15"/>
          <w:szCs w:val="15"/>
        </w:rPr>
        <w:t>&amp; Gas Risk/Reward</w:t>
      </w:r>
      <w:r>
        <w:rPr>
          <w:i/>
          <w:iCs/>
          <w:color w:val="333333"/>
          <w:spacing w:val="-11"/>
          <w:position w:val="1"/>
          <w:sz w:val="15"/>
          <w:szCs w:val="15"/>
        </w:rPr>
        <w:t xml:space="preserve"> </w:t>
      </w:r>
      <w:r>
        <w:rPr>
          <w:i/>
          <w:iCs/>
          <w:color w:val="333333"/>
          <w:spacing w:val="-6"/>
          <w:w w:val="94"/>
          <w:position w:val="1"/>
          <w:sz w:val="15"/>
          <w:szCs w:val="15"/>
        </w:rPr>
        <w:t>Index</w:t>
      </w:r>
    </w:p>
    <w:p w14:paraId="5DCBA2C7">
      <w:pPr>
        <w:pStyle w:val="4"/>
        <w:spacing w:line="376" w:lineRule="auto"/>
      </w:pPr>
    </w:p>
    <w:p w14:paraId="65D44490">
      <w:pPr>
        <w:pStyle w:val="4"/>
        <w:spacing w:before="58" w:line="274" w:lineRule="auto"/>
        <w:ind w:left="381" w:right="364" w:firstLine="12"/>
        <w:rPr>
          <w:sz w:val="20"/>
          <w:szCs w:val="20"/>
        </w:rPr>
      </w:pPr>
      <w:r>
        <w:rPr>
          <w:b/>
          <w:bCs/>
          <w:i/>
          <w:iCs/>
          <w:color w:val="57585A"/>
          <w:spacing w:val="-8"/>
          <w:w w:val="97"/>
          <w:sz w:val="20"/>
          <w:szCs w:val="20"/>
        </w:rPr>
        <w:t>Please</w:t>
      </w:r>
      <w:r>
        <w:rPr>
          <w:b/>
          <w:bCs/>
          <w:i/>
          <w:iCs/>
          <w:color w:val="57585A"/>
          <w:spacing w:val="8"/>
          <w:sz w:val="20"/>
          <w:szCs w:val="20"/>
        </w:rPr>
        <w:t xml:space="preserve"> </w:t>
      </w:r>
      <w:r>
        <w:rPr>
          <w:b/>
          <w:bCs/>
          <w:i/>
          <w:iCs/>
          <w:color w:val="57585A"/>
          <w:spacing w:val="-8"/>
          <w:w w:val="97"/>
          <w:sz w:val="20"/>
          <w:szCs w:val="20"/>
        </w:rPr>
        <w:t xml:space="preserve">Note: </w:t>
      </w:r>
      <w:r>
        <w:rPr>
          <w:i/>
          <w:iCs/>
          <w:color w:val="57585A"/>
          <w:spacing w:val="-8"/>
          <w:w w:val="97"/>
          <w:sz w:val="20"/>
          <w:szCs w:val="20"/>
        </w:rPr>
        <w:t>Our</w:t>
      </w:r>
      <w:r>
        <w:rPr>
          <w:i/>
          <w:iCs/>
          <w:color w:val="57585A"/>
          <w:spacing w:val="-21"/>
          <w:sz w:val="20"/>
          <w:szCs w:val="20"/>
        </w:rPr>
        <w:t xml:space="preserve"> </w:t>
      </w:r>
      <w:r>
        <w:rPr>
          <w:i/>
          <w:iCs/>
          <w:color w:val="57585A"/>
          <w:spacing w:val="-8"/>
          <w:w w:val="97"/>
          <w:sz w:val="20"/>
          <w:szCs w:val="20"/>
        </w:rPr>
        <w:t>Risk/Rewa</w:t>
      </w:r>
      <w:r>
        <w:rPr>
          <w:i/>
          <w:iCs/>
          <w:color w:val="57585A"/>
          <w:spacing w:val="-9"/>
          <w:w w:val="97"/>
          <w:sz w:val="20"/>
          <w:szCs w:val="20"/>
        </w:rPr>
        <w:t>rd Indices are updated frequently; as</w:t>
      </w:r>
      <w:r>
        <w:rPr>
          <w:i/>
          <w:iCs/>
          <w:color w:val="57585A"/>
          <w:spacing w:val="-13"/>
          <w:sz w:val="20"/>
          <w:szCs w:val="20"/>
        </w:rPr>
        <w:t xml:space="preserve"> </w:t>
      </w:r>
      <w:r>
        <w:rPr>
          <w:i/>
          <w:iCs/>
          <w:color w:val="57585A"/>
          <w:spacing w:val="-9"/>
          <w:w w:val="97"/>
          <w:sz w:val="20"/>
          <w:szCs w:val="20"/>
        </w:rPr>
        <w:t>a result, scores in this section may</w:t>
      </w:r>
      <w:r>
        <w:rPr>
          <w:i/>
          <w:iCs/>
          <w:color w:val="57585A"/>
          <w:spacing w:val="-23"/>
          <w:sz w:val="20"/>
          <w:szCs w:val="20"/>
        </w:rPr>
        <w:t xml:space="preserve"> </w:t>
      </w:r>
      <w:r>
        <w:rPr>
          <w:i/>
          <w:iCs/>
          <w:color w:val="57585A"/>
          <w:spacing w:val="-9"/>
          <w:w w:val="97"/>
          <w:sz w:val="20"/>
          <w:szCs w:val="20"/>
        </w:rPr>
        <w:t>not</w:t>
      </w:r>
      <w:r>
        <w:rPr>
          <w:i/>
          <w:iCs/>
          <w:color w:val="57585A"/>
          <w:spacing w:val="-19"/>
          <w:sz w:val="20"/>
          <w:szCs w:val="20"/>
        </w:rPr>
        <w:t xml:space="preserve"> </w:t>
      </w:r>
      <w:r>
        <w:rPr>
          <w:i/>
          <w:iCs/>
          <w:color w:val="57585A"/>
          <w:spacing w:val="-9"/>
          <w:w w:val="97"/>
          <w:sz w:val="20"/>
          <w:szCs w:val="20"/>
        </w:rPr>
        <w:t>match scores in the rest of</w:t>
      </w:r>
      <w:r>
        <w:rPr>
          <w:i/>
          <w:iCs/>
          <w:color w:val="57585A"/>
          <w:sz w:val="20"/>
          <w:szCs w:val="20"/>
        </w:rPr>
        <w:t xml:space="preserve"> </w:t>
      </w:r>
      <w:r>
        <w:rPr>
          <w:i/>
          <w:iCs/>
          <w:color w:val="57585A"/>
          <w:spacing w:val="-8"/>
          <w:sz w:val="20"/>
          <w:szCs w:val="20"/>
        </w:rPr>
        <w:t>the report.</w:t>
      </w:r>
    </w:p>
    <w:p w14:paraId="76FA6EB6">
      <w:pPr>
        <w:spacing w:line="274" w:lineRule="auto"/>
        <w:rPr>
          <w:sz w:val="20"/>
          <w:szCs w:val="20"/>
        </w:rPr>
        <w:sectPr>
          <w:footerReference r:id="rId62" w:type="default"/>
          <w:pgSz w:w="11906" w:h="16838"/>
          <w:pgMar w:top="400" w:right="490" w:bottom="883" w:left="490" w:header="0" w:footer="0" w:gutter="0"/>
          <w:cols w:space="720" w:num="1"/>
        </w:sectPr>
      </w:pPr>
    </w:p>
    <w:p w14:paraId="69149114">
      <w:pPr>
        <w:pStyle w:val="4"/>
        <w:spacing w:before="73" w:line="241" w:lineRule="auto"/>
        <w:ind w:left="7372"/>
        <w:rPr>
          <w:sz w:val="20"/>
          <w:szCs w:val="20"/>
        </w:rPr>
      </w:pPr>
      <w:r>
        <w:drawing>
          <wp:anchor distT="0" distB="0" distL="0" distR="0" simplePos="0" relativeHeight="25190195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02976" behindDoc="0" locked="0" layoutInCell="0" allowOverlap="1">
            <wp:simplePos x="0" y="0"/>
            <wp:positionH relativeFrom="page">
              <wp:posOffset>311150</wp:posOffset>
            </wp:positionH>
            <wp:positionV relativeFrom="page">
              <wp:posOffset>0</wp:posOffset>
            </wp:positionV>
            <wp:extent cx="19050" cy="814070"/>
            <wp:effectExtent l="0" t="0" r="0" b="0"/>
            <wp:wrapNone/>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65A3665">
      <w:pPr>
        <w:pStyle w:val="4"/>
        <w:spacing w:line="278" w:lineRule="auto"/>
      </w:pPr>
    </w:p>
    <w:p w14:paraId="09A9F71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3F819FD">
      <w:pPr>
        <w:pStyle w:val="4"/>
        <w:spacing w:line="428" w:lineRule="auto"/>
      </w:pPr>
    </w:p>
    <w:p w14:paraId="1F7A5DD3">
      <w:pPr>
        <w:pStyle w:val="4"/>
        <w:spacing w:before="86" w:line="234" w:lineRule="auto"/>
        <w:ind w:left="359"/>
        <w:outlineLvl w:val="0"/>
        <w:rPr>
          <w:sz w:val="30"/>
          <w:szCs w:val="30"/>
        </w:rPr>
      </w:pPr>
      <w:bookmarkStart w:id="24" w:name="bookmark17"/>
      <w:bookmarkEnd w:id="24"/>
      <w:r>
        <w:rPr>
          <w:color w:val="2A8ABF"/>
          <w:spacing w:val="-15"/>
          <w:sz w:val="30"/>
          <w:szCs w:val="30"/>
        </w:rPr>
        <w:t>Argentina Upstream Oil &amp; Gas Risk/Reward Index</w:t>
      </w:r>
    </w:p>
    <w:p w14:paraId="4CB8CA29">
      <w:pPr>
        <w:pStyle w:val="4"/>
        <w:spacing w:line="265" w:lineRule="auto"/>
      </w:pPr>
    </w:p>
    <w:p w14:paraId="39A54EDD">
      <w:pPr>
        <w:pStyle w:val="4"/>
        <w:spacing w:before="58" w:line="233" w:lineRule="auto"/>
        <w:ind w:left="386"/>
        <w:rPr>
          <w:sz w:val="20"/>
          <w:szCs w:val="20"/>
        </w:rPr>
      </w:pPr>
      <w:r>
        <w:rPr>
          <w:b/>
          <w:bCs/>
          <w:i/>
          <w:iCs/>
          <w:color w:val="57585A"/>
          <w:spacing w:val="-5"/>
          <w:w w:val="94"/>
          <w:sz w:val="20"/>
          <w:szCs w:val="20"/>
        </w:rPr>
        <w:t>Key View:</w:t>
      </w:r>
      <w:r>
        <w:rPr>
          <w:b/>
          <w:bCs/>
          <w:i/>
          <w:iCs/>
          <w:color w:val="57585A"/>
          <w:spacing w:val="-25"/>
          <w:sz w:val="20"/>
          <w:szCs w:val="20"/>
        </w:rPr>
        <w:t xml:space="preserve"> </w:t>
      </w:r>
      <w:r>
        <w:rPr>
          <w:i/>
          <w:iCs/>
          <w:color w:val="57585A"/>
          <w:spacing w:val="-5"/>
          <w:w w:val="94"/>
          <w:sz w:val="20"/>
          <w:szCs w:val="20"/>
        </w:rPr>
        <w:t>Argentina is a strong</w:t>
      </w:r>
      <w:r>
        <w:rPr>
          <w:i/>
          <w:iCs/>
          <w:color w:val="57585A"/>
          <w:spacing w:val="-24"/>
          <w:sz w:val="20"/>
          <w:szCs w:val="20"/>
        </w:rPr>
        <w:t xml:space="preserve"> </w:t>
      </w:r>
      <w:r>
        <w:rPr>
          <w:i/>
          <w:iCs/>
          <w:color w:val="57585A"/>
          <w:spacing w:val="-5"/>
          <w:w w:val="94"/>
          <w:sz w:val="20"/>
          <w:szCs w:val="20"/>
        </w:rPr>
        <w:t>performer</w:t>
      </w:r>
      <w:r>
        <w:rPr>
          <w:i/>
          <w:iCs/>
          <w:color w:val="57585A"/>
          <w:spacing w:val="-23"/>
          <w:sz w:val="20"/>
          <w:szCs w:val="20"/>
        </w:rPr>
        <w:t xml:space="preserve"> </w:t>
      </w:r>
      <w:r>
        <w:rPr>
          <w:i/>
          <w:iCs/>
          <w:color w:val="57585A"/>
          <w:spacing w:val="-5"/>
          <w:w w:val="94"/>
          <w:sz w:val="20"/>
          <w:szCs w:val="20"/>
        </w:rPr>
        <w:t>in our Upst</w:t>
      </w:r>
      <w:r>
        <w:rPr>
          <w:i/>
          <w:iCs/>
          <w:color w:val="57585A"/>
          <w:spacing w:val="-6"/>
          <w:w w:val="94"/>
          <w:sz w:val="20"/>
          <w:szCs w:val="20"/>
        </w:rPr>
        <w:t>ream Risk/Reward</w:t>
      </w:r>
      <w:r>
        <w:rPr>
          <w:i/>
          <w:iCs/>
          <w:color w:val="57585A"/>
          <w:spacing w:val="-15"/>
          <w:sz w:val="20"/>
          <w:szCs w:val="20"/>
        </w:rPr>
        <w:t xml:space="preserve"> </w:t>
      </w:r>
      <w:r>
        <w:rPr>
          <w:i/>
          <w:iCs/>
          <w:color w:val="57585A"/>
          <w:spacing w:val="-6"/>
          <w:w w:val="94"/>
          <w:sz w:val="20"/>
          <w:szCs w:val="20"/>
        </w:rPr>
        <w:t>Index, ranking</w:t>
      </w:r>
      <w:r>
        <w:rPr>
          <w:i/>
          <w:iCs/>
          <w:color w:val="57585A"/>
          <w:spacing w:val="-19"/>
          <w:sz w:val="20"/>
          <w:szCs w:val="20"/>
        </w:rPr>
        <w:t xml:space="preserve"> </w:t>
      </w:r>
      <w:r>
        <w:rPr>
          <w:i/>
          <w:iCs/>
          <w:color w:val="57585A"/>
          <w:spacing w:val="-6"/>
          <w:w w:val="94"/>
          <w:sz w:val="20"/>
          <w:szCs w:val="20"/>
        </w:rPr>
        <w:t>second</w:t>
      </w:r>
      <w:r>
        <w:rPr>
          <w:i/>
          <w:iCs/>
          <w:color w:val="57585A"/>
          <w:spacing w:val="-17"/>
          <w:sz w:val="20"/>
          <w:szCs w:val="20"/>
        </w:rPr>
        <w:t xml:space="preserve"> </w:t>
      </w:r>
      <w:r>
        <w:rPr>
          <w:i/>
          <w:iCs/>
          <w:color w:val="57585A"/>
          <w:spacing w:val="-6"/>
          <w:w w:val="94"/>
          <w:sz w:val="20"/>
          <w:szCs w:val="20"/>
        </w:rPr>
        <w:t>regionally</w:t>
      </w:r>
      <w:r>
        <w:rPr>
          <w:i/>
          <w:iCs/>
          <w:color w:val="57585A"/>
          <w:spacing w:val="-23"/>
          <w:sz w:val="20"/>
          <w:szCs w:val="20"/>
        </w:rPr>
        <w:t xml:space="preserve"> </w:t>
      </w:r>
      <w:r>
        <w:rPr>
          <w:i/>
          <w:iCs/>
          <w:color w:val="57585A"/>
          <w:spacing w:val="-6"/>
          <w:w w:val="94"/>
          <w:sz w:val="20"/>
          <w:szCs w:val="20"/>
        </w:rPr>
        <w:t>in the Latin</w:t>
      </w:r>
      <w:r>
        <w:rPr>
          <w:i/>
          <w:iCs/>
          <w:color w:val="57585A"/>
          <w:spacing w:val="-16"/>
          <w:sz w:val="20"/>
          <w:szCs w:val="20"/>
        </w:rPr>
        <w:t xml:space="preserve"> </w:t>
      </w:r>
      <w:r>
        <w:rPr>
          <w:i/>
          <w:iCs/>
          <w:color w:val="57585A"/>
          <w:spacing w:val="-6"/>
          <w:w w:val="94"/>
          <w:sz w:val="20"/>
          <w:szCs w:val="20"/>
        </w:rPr>
        <w:t>America</w:t>
      </w:r>
    </w:p>
    <w:p w14:paraId="6991D18C">
      <w:pPr>
        <w:pStyle w:val="4"/>
        <w:spacing w:before="56" w:line="233" w:lineRule="auto"/>
        <w:ind w:left="373"/>
        <w:rPr>
          <w:sz w:val="20"/>
          <w:szCs w:val="20"/>
        </w:rPr>
      </w:pPr>
      <w:r>
        <w:rPr>
          <w:i/>
          <w:iCs/>
          <w:color w:val="57585A"/>
          <w:spacing w:val="-7"/>
          <w:w w:val="95"/>
          <w:sz w:val="20"/>
          <w:szCs w:val="20"/>
        </w:rPr>
        <w:t>region, and</w:t>
      </w:r>
      <w:r>
        <w:rPr>
          <w:i/>
          <w:iCs/>
          <w:color w:val="57585A"/>
          <w:spacing w:val="-18"/>
          <w:sz w:val="20"/>
          <w:szCs w:val="20"/>
        </w:rPr>
        <w:t xml:space="preserve"> </w:t>
      </w:r>
      <w:r>
        <w:rPr>
          <w:i/>
          <w:iCs/>
          <w:color w:val="57585A"/>
          <w:spacing w:val="-7"/>
          <w:w w:val="95"/>
          <w:sz w:val="20"/>
          <w:szCs w:val="20"/>
        </w:rPr>
        <w:t>ninth globally. Its scores are notably</w:t>
      </w:r>
      <w:r>
        <w:rPr>
          <w:i/>
          <w:iCs/>
          <w:color w:val="57585A"/>
          <w:spacing w:val="-22"/>
          <w:sz w:val="20"/>
          <w:szCs w:val="20"/>
        </w:rPr>
        <w:t xml:space="preserve"> </w:t>
      </w:r>
      <w:r>
        <w:rPr>
          <w:i/>
          <w:iCs/>
          <w:color w:val="57585A"/>
          <w:spacing w:val="-7"/>
          <w:w w:val="95"/>
          <w:sz w:val="20"/>
          <w:szCs w:val="20"/>
        </w:rPr>
        <w:t>boosted</w:t>
      </w:r>
      <w:r>
        <w:rPr>
          <w:i/>
          <w:iCs/>
          <w:color w:val="57585A"/>
          <w:spacing w:val="-17"/>
          <w:sz w:val="20"/>
          <w:szCs w:val="20"/>
        </w:rPr>
        <w:t xml:space="preserve"> </w:t>
      </w:r>
      <w:r>
        <w:rPr>
          <w:i/>
          <w:iCs/>
          <w:color w:val="57585A"/>
          <w:spacing w:val="-7"/>
          <w:w w:val="95"/>
          <w:sz w:val="20"/>
          <w:szCs w:val="20"/>
        </w:rPr>
        <w:t>by</w:t>
      </w:r>
      <w:r>
        <w:rPr>
          <w:i/>
          <w:iCs/>
          <w:color w:val="57585A"/>
          <w:spacing w:val="-26"/>
          <w:sz w:val="20"/>
          <w:szCs w:val="20"/>
        </w:rPr>
        <w:t xml:space="preserve"> </w:t>
      </w:r>
      <w:r>
        <w:rPr>
          <w:i/>
          <w:iCs/>
          <w:color w:val="57585A"/>
          <w:spacing w:val="-7"/>
          <w:w w:val="95"/>
          <w:sz w:val="20"/>
          <w:szCs w:val="20"/>
        </w:rPr>
        <w:t>stron</w:t>
      </w:r>
      <w:r>
        <w:rPr>
          <w:i/>
          <w:iCs/>
          <w:color w:val="57585A"/>
          <w:spacing w:val="-8"/>
          <w:w w:val="95"/>
          <w:sz w:val="20"/>
          <w:szCs w:val="20"/>
        </w:rPr>
        <w:t>g</w:t>
      </w:r>
      <w:r>
        <w:rPr>
          <w:i/>
          <w:iCs/>
          <w:color w:val="57585A"/>
          <w:spacing w:val="-14"/>
          <w:sz w:val="20"/>
          <w:szCs w:val="20"/>
        </w:rPr>
        <w:t xml:space="preserve"> </w:t>
      </w:r>
      <w:r>
        <w:rPr>
          <w:i/>
          <w:iCs/>
          <w:color w:val="57585A"/>
          <w:spacing w:val="-8"/>
          <w:w w:val="95"/>
          <w:sz w:val="20"/>
          <w:szCs w:val="20"/>
        </w:rPr>
        <w:t>Rewards</w:t>
      </w:r>
      <w:r>
        <w:rPr>
          <w:i/>
          <w:iCs/>
          <w:color w:val="57585A"/>
          <w:spacing w:val="-15"/>
          <w:sz w:val="20"/>
          <w:szCs w:val="20"/>
        </w:rPr>
        <w:t xml:space="preserve"> </w:t>
      </w:r>
      <w:r>
        <w:rPr>
          <w:i/>
          <w:iCs/>
          <w:color w:val="57585A"/>
          <w:spacing w:val="-8"/>
          <w:w w:val="95"/>
          <w:sz w:val="20"/>
          <w:szCs w:val="20"/>
        </w:rPr>
        <w:t>scores, with a large hydrocarbon supply</w:t>
      </w:r>
      <w:r>
        <w:rPr>
          <w:i/>
          <w:iCs/>
          <w:color w:val="57585A"/>
          <w:spacing w:val="-23"/>
          <w:sz w:val="20"/>
          <w:szCs w:val="20"/>
        </w:rPr>
        <w:t xml:space="preserve"> </w:t>
      </w:r>
      <w:r>
        <w:rPr>
          <w:i/>
          <w:iCs/>
          <w:color w:val="57585A"/>
          <w:spacing w:val="-8"/>
          <w:w w:val="95"/>
          <w:sz w:val="20"/>
          <w:szCs w:val="20"/>
        </w:rPr>
        <w:t>base,</w:t>
      </w:r>
    </w:p>
    <w:p w14:paraId="6937B5A1">
      <w:pPr>
        <w:pStyle w:val="4"/>
        <w:spacing w:before="57" w:line="233" w:lineRule="auto"/>
        <w:ind w:left="365"/>
        <w:rPr>
          <w:sz w:val="20"/>
          <w:szCs w:val="20"/>
        </w:rPr>
      </w:pPr>
      <w:r>
        <w:rPr>
          <w:i/>
          <w:iCs/>
          <w:color w:val="57585A"/>
          <w:spacing w:val="-7"/>
          <w:w w:val="97"/>
          <w:sz w:val="20"/>
          <w:szCs w:val="20"/>
        </w:rPr>
        <w:t>particularly</w:t>
      </w:r>
      <w:r>
        <w:rPr>
          <w:i/>
          <w:iCs/>
          <w:color w:val="57585A"/>
          <w:spacing w:val="-23"/>
          <w:sz w:val="20"/>
          <w:szCs w:val="20"/>
        </w:rPr>
        <w:t xml:space="preserve"> </w:t>
      </w:r>
      <w:r>
        <w:rPr>
          <w:i/>
          <w:iCs/>
          <w:color w:val="57585A"/>
          <w:spacing w:val="-7"/>
          <w:w w:val="97"/>
          <w:sz w:val="20"/>
          <w:szCs w:val="20"/>
        </w:rPr>
        <w:t>in terms of</w:t>
      </w:r>
      <w:r>
        <w:rPr>
          <w:i/>
          <w:iCs/>
          <w:color w:val="57585A"/>
          <w:spacing w:val="-34"/>
          <w:sz w:val="20"/>
          <w:szCs w:val="20"/>
        </w:rPr>
        <w:t xml:space="preserve"> </w:t>
      </w:r>
      <w:r>
        <w:rPr>
          <w:i/>
          <w:iCs/>
          <w:color w:val="57585A"/>
          <w:spacing w:val="-7"/>
          <w:w w:val="97"/>
          <w:sz w:val="20"/>
          <w:szCs w:val="20"/>
        </w:rPr>
        <w:t>unconventional</w:t>
      </w:r>
      <w:r>
        <w:rPr>
          <w:i/>
          <w:iCs/>
          <w:color w:val="57585A"/>
          <w:spacing w:val="-17"/>
          <w:sz w:val="20"/>
          <w:szCs w:val="20"/>
        </w:rPr>
        <w:t xml:space="preserve"> </w:t>
      </w:r>
      <w:r>
        <w:rPr>
          <w:i/>
          <w:iCs/>
          <w:color w:val="57585A"/>
          <w:spacing w:val="-7"/>
          <w:w w:val="97"/>
          <w:sz w:val="20"/>
          <w:szCs w:val="20"/>
        </w:rPr>
        <w:t>resources and</w:t>
      </w:r>
      <w:r>
        <w:rPr>
          <w:i/>
          <w:iCs/>
          <w:color w:val="57585A"/>
          <w:spacing w:val="-18"/>
          <w:sz w:val="20"/>
          <w:szCs w:val="20"/>
        </w:rPr>
        <w:t xml:space="preserve"> </w:t>
      </w:r>
      <w:r>
        <w:rPr>
          <w:i/>
          <w:iCs/>
          <w:color w:val="57585A"/>
          <w:spacing w:val="-7"/>
          <w:w w:val="97"/>
          <w:sz w:val="20"/>
          <w:szCs w:val="20"/>
        </w:rPr>
        <w:t>a favo</w:t>
      </w:r>
      <w:r>
        <w:rPr>
          <w:i/>
          <w:iCs/>
          <w:color w:val="57585A"/>
          <w:spacing w:val="-8"/>
          <w:w w:val="97"/>
          <w:sz w:val="20"/>
          <w:szCs w:val="20"/>
        </w:rPr>
        <w:t>urable</w:t>
      </w:r>
      <w:r>
        <w:rPr>
          <w:i/>
          <w:iCs/>
          <w:color w:val="57585A"/>
          <w:spacing w:val="-15"/>
          <w:sz w:val="20"/>
          <w:szCs w:val="20"/>
        </w:rPr>
        <w:t xml:space="preserve"> </w:t>
      </w:r>
      <w:r>
        <w:rPr>
          <w:i/>
          <w:iCs/>
          <w:color w:val="57585A"/>
          <w:spacing w:val="-8"/>
          <w:w w:val="97"/>
          <w:sz w:val="20"/>
          <w:szCs w:val="20"/>
        </w:rPr>
        <w:t>production outlook over</w:t>
      </w:r>
      <w:r>
        <w:rPr>
          <w:i/>
          <w:iCs/>
          <w:color w:val="57585A"/>
          <w:spacing w:val="-16"/>
          <w:sz w:val="20"/>
          <w:szCs w:val="20"/>
        </w:rPr>
        <w:t xml:space="preserve"> </w:t>
      </w:r>
      <w:r>
        <w:rPr>
          <w:i/>
          <w:iCs/>
          <w:color w:val="57585A"/>
          <w:spacing w:val="-8"/>
          <w:w w:val="97"/>
          <w:sz w:val="20"/>
          <w:szCs w:val="20"/>
        </w:rPr>
        <w:t>the medium term. Risks</w:t>
      </w:r>
      <w:r>
        <w:rPr>
          <w:i/>
          <w:iCs/>
          <w:color w:val="57585A"/>
          <w:spacing w:val="-15"/>
          <w:sz w:val="20"/>
          <w:szCs w:val="20"/>
        </w:rPr>
        <w:t xml:space="preserve"> </w:t>
      </w:r>
      <w:r>
        <w:rPr>
          <w:i/>
          <w:iCs/>
          <w:color w:val="57585A"/>
          <w:spacing w:val="-8"/>
          <w:w w:val="97"/>
          <w:sz w:val="20"/>
          <w:szCs w:val="20"/>
        </w:rPr>
        <w:t>scores are</w:t>
      </w:r>
    </w:p>
    <w:p w14:paraId="2C219108">
      <w:pPr>
        <w:pStyle w:val="4"/>
        <w:spacing w:before="57" w:line="233" w:lineRule="auto"/>
        <w:ind w:left="380"/>
        <w:rPr>
          <w:sz w:val="20"/>
          <w:szCs w:val="20"/>
        </w:rPr>
      </w:pPr>
      <w:r>
        <w:rPr>
          <w:i/>
          <w:iCs/>
          <w:color w:val="57585A"/>
          <w:spacing w:val="-7"/>
          <w:w w:val="96"/>
          <w:sz w:val="20"/>
          <w:szCs w:val="20"/>
        </w:rPr>
        <w:t>weaker</w:t>
      </w:r>
      <w:r>
        <w:rPr>
          <w:i/>
          <w:iCs/>
          <w:color w:val="57585A"/>
          <w:spacing w:val="-15"/>
          <w:sz w:val="20"/>
          <w:szCs w:val="20"/>
        </w:rPr>
        <w:t xml:space="preserve"> </w:t>
      </w:r>
      <w:r>
        <w:rPr>
          <w:i/>
          <w:iCs/>
          <w:color w:val="57585A"/>
          <w:spacing w:val="-7"/>
          <w:w w:val="96"/>
          <w:sz w:val="20"/>
          <w:szCs w:val="20"/>
        </w:rPr>
        <w:t>than Rewards, but</w:t>
      </w:r>
      <w:r>
        <w:rPr>
          <w:i/>
          <w:iCs/>
          <w:color w:val="57585A"/>
          <w:spacing w:val="-19"/>
          <w:sz w:val="20"/>
          <w:szCs w:val="20"/>
        </w:rPr>
        <w:t xml:space="preserve"> </w:t>
      </w:r>
      <w:r>
        <w:rPr>
          <w:i/>
          <w:iCs/>
          <w:color w:val="57585A"/>
          <w:spacing w:val="-7"/>
          <w:w w:val="96"/>
          <w:sz w:val="20"/>
          <w:szCs w:val="20"/>
        </w:rPr>
        <w:t>remain stronger</w:t>
      </w:r>
      <w:r>
        <w:rPr>
          <w:i/>
          <w:iCs/>
          <w:color w:val="57585A"/>
          <w:spacing w:val="-15"/>
          <w:sz w:val="20"/>
          <w:szCs w:val="20"/>
        </w:rPr>
        <w:t xml:space="preserve"> </w:t>
      </w:r>
      <w:r>
        <w:rPr>
          <w:i/>
          <w:iCs/>
          <w:color w:val="57585A"/>
          <w:spacing w:val="-7"/>
          <w:w w:val="96"/>
          <w:sz w:val="20"/>
          <w:szCs w:val="20"/>
        </w:rPr>
        <w:t>than the regional</w:t>
      </w:r>
      <w:r>
        <w:rPr>
          <w:i/>
          <w:iCs/>
          <w:color w:val="57585A"/>
          <w:spacing w:val="-17"/>
          <w:sz w:val="20"/>
          <w:szCs w:val="20"/>
        </w:rPr>
        <w:t xml:space="preserve"> </w:t>
      </w:r>
      <w:r>
        <w:rPr>
          <w:i/>
          <w:iCs/>
          <w:color w:val="57585A"/>
          <w:spacing w:val="-7"/>
          <w:w w:val="96"/>
          <w:sz w:val="20"/>
          <w:szCs w:val="20"/>
        </w:rPr>
        <w:t>averages. A history</w:t>
      </w:r>
      <w:r>
        <w:rPr>
          <w:i/>
          <w:iCs/>
          <w:color w:val="57585A"/>
          <w:spacing w:val="-19"/>
          <w:sz w:val="20"/>
          <w:szCs w:val="20"/>
        </w:rPr>
        <w:t xml:space="preserve"> </w:t>
      </w:r>
      <w:r>
        <w:rPr>
          <w:i/>
          <w:iCs/>
          <w:color w:val="57585A"/>
          <w:spacing w:val="-7"/>
          <w:w w:val="96"/>
          <w:sz w:val="20"/>
          <w:szCs w:val="20"/>
        </w:rPr>
        <w:t>of</w:t>
      </w:r>
      <w:r>
        <w:rPr>
          <w:i/>
          <w:iCs/>
          <w:color w:val="57585A"/>
          <w:spacing w:val="-42"/>
          <w:sz w:val="20"/>
          <w:szCs w:val="20"/>
        </w:rPr>
        <w:t xml:space="preserve"> </w:t>
      </w:r>
      <w:r>
        <w:rPr>
          <w:i/>
          <w:iCs/>
          <w:color w:val="57585A"/>
          <w:spacing w:val="-7"/>
          <w:w w:val="96"/>
          <w:sz w:val="20"/>
          <w:szCs w:val="20"/>
        </w:rPr>
        <w:t>state inter</w:t>
      </w:r>
      <w:r>
        <w:rPr>
          <w:i/>
          <w:iCs/>
          <w:color w:val="57585A"/>
          <w:spacing w:val="-8"/>
          <w:w w:val="96"/>
          <w:sz w:val="20"/>
          <w:szCs w:val="20"/>
        </w:rPr>
        <w:t>vention, elevated</w:t>
      </w:r>
      <w:r>
        <w:rPr>
          <w:i/>
          <w:iCs/>
          <w:color w:val="57585A"/>
          <w:spacing w:val="-17"/>
          <w:sz w:val="20"/>
          <w:szCs w:val="20"/>
        </w:rPr>
        <w:t xml:space="preserve"> </w:t>
      </w:r>
      <w:r>
        <w:rPr>
          <w:i/>
          <w:iCs/>
          <w:color w:val="57585A"/>
          <w:spacing w:val="-8"/>
          <w:w w:val="96"/>
          <w:sz w:val="20"/>
          <w:szCs w:val="20"/>
        </w:rPr>
        <w:t>regulatory</w:t>
      </w:r>
    </w:p>
    <w:p w14:paraId="0F81ED89">
      <w:pPr>
        <w:pStyle w:val="4"/>
        <w:spacing w:before="57" w:line="273" w:lineRule="auto"/>
        <w:ind w:left="373" w:right="396" w:firstLine="5"/>
        <w:rPr>
          <w:sz w:val="20"/>
          <w:szCs w:val="20"/>
        </w:rPr>
      </w:pPr>
      <w:r>
        <w:rPr>
          <w:i/>
          <w:iCs/>
          <w:color w:val="57585A"/>
          <w:spacing w:val="-9"/>
          <w:w w:val="99"/>
          <w:sz w:val="20"/>
          <w:szCs w:val="20"/>
        </w:rPr>
        <w:t>uncertainty</w:t>
      </w:r>
      <w:r>
        <w:rPr>
          <w:i/>
          <w:iCs/>
          <w:color w:val="57585A"/>
          <w:spacing w:val="-24"/>
          <w:sz w:val="20"/>
          <w:szCs w:val="20"/>
        </w:rPr>
        <w:t xml:space="preserve"> </w:t>
      </w:r>
      <w:r>
        <w:rPr>
          <w:i/>
          <w:iCs/>
          <w:color w:val="57585A"/>
          <w:spacing w:val="-9"/>
          <w:w w:val="99"/>
          <w:sz w:val="20"/>
          <w:szCs w:val="20"/>
        </w:rPr>
        <w:t>and</w:t>
      </w:r>
      <w:r>
        <w:rPr>
          <w:i/>
          <w:iCs/>
          <w:color w:val="57585A"/>
          <w:spacing w:val="-18"/>
          <w:sz w:val="20"/>
          <w:szCs w:val="20"/>
        </w:rPr>
        <w:t xml:space="preserve"> </w:t>
      </w:r>
      <w:r>
        <w:rPr>
          <w:i/>
          <w:iCs/>
          <w:color w:val="57585A"/>
          <w:spacing w:val="-9"/>
          <w:w w:val="99"/>
          <w:sz w:val="20"/>
          <w:szCs w:val="20"/>
        </w:rPr>
        <w:t>a struggling</w:t>
      </w:r>
      <w:r>
        <w:rPr>
          <w:i/>
          <w:iCs/>
          <w:color w:val="57585A"/>
          <w:spacing w:val="-16"/>
          <w:sz w:val="20"/>
          <w:szCs w:val="20"/>
        </w:rPr>
        <w:t xml:space="preserve"> </w:t>
      </w:r>
      <w:r>
        <w:rPr>
          <w:i/>
          <w:iCs/>
          <w:color w:val="57585A"/>
          <w:spacing w:val="-9"/>
          <w:w w:val="99"/>
          <w:sz w:val="20"/>
          <w:szCs w:val="20"/>
        </w:rPr>
        <w:t>national economy</w:t>
      </w:r>
      <w:r>
        <w:rPr>
          <w:i/>
          <w:iCs/>
          <w:color w:val="57585A"/>
          <w:spacing w:val="-18"/>
          <w:sz w:val="20"/>
          <w:szCs w:val="20"/>
        </w:rPr>
        <w:t xml:space="preserve"> </w:t>
      </w:r>
      <w:r>
        <w:rPr>
          <w:i/>
          <w:iCs/>
          <w:color w:val="57585A"/>
          <w:spacing w:val="-9"/>
          <w:w w:val="99"/>
          <w:sz w:val="20"/>
          <w:szCs w:val="20"/>
        </w:rPr>
        <w:t>continue</w:t>
      </w:r>
      <w:r>
        <w:rPr>
          <w:i/>
          <w:iCs/>
          <w:color w:val="57585A"/>
          <w:spacing w:val="-10"/>
          <w:w w:val="99"/>
          <w:sz w:val="20"/>
          <w:szCs w:val="20"/>
        </w:rPr>
        <w:t xml:space="preserve"> to dampen its Risks</w:t>
      </w:r>
      <w:r>
        <w:rPr>
          <w:i/>
          <w:iCs/>
          <w:color w:val="57585A"/>
          <w:spacing w:val="-15"/>
          <w:sz w:val="20"/>
          <w:szCs w:val="20"/>
        </w:rPr>
        <w:t xml:space="preserve"> </w:t>
      </w:r>
      <w:r>
        <w:rPr>
          <w:i/>
          <w:iCs/>
          <w:color w:val="57585A"/>
          <w:spacing w:val="-10"/>
          <w:w w:val="99"/>
          <w:sz w:val="20"/>
          <w:szCs w:val="20"/>
        </w:rPr>
        <w:t>scores, but the situation is beginning to improve, given</w:t>
      </w:r>
      <w:r>
        <w:rPr>
          <w:i/>
          <w:iCs/>
          <w:color w:val="57585A"/>
          <w:sz w:val="20"/>
          <w:szCs w:val="20"/>
        </w:rPr>
        <w:t xml:space="preserve"> </w:t>
      </w:r>
      <w:r>
        <w:rPr>
          <w:i/>
          <w:iCs/>
          <w:color w:val="57585A"/>
          <w:spacing w:val="-7"/>
          <w:w w:val="97"/>
          <w:sz w:val="20"/>
          <w:szCs w:val="20"/>
        </w:rPr>
        <w:t>an expected</w:t>
      </w:r>
      <w:r>
        <w:rPr>
          <w:i/>
          <w:iCs/>
          <w:color w:val="57585A"/>
          <w:spacing w:val="-18"/>
          <w:sz w:val="20"/>
          <w:szCs w:val="20"/>
        </w:rPr>
        <w:t xml:space="preserve"> </w:t>
      </w:r>
      <w:r>
        <w:rPr>
          <w:i/>
          <w:iCs/>
          <w:color w:val="57585A"/>
          <w:spacing w:val="-7"/>
          <w:w w:val="97"/>
          <w:sz w:val="20"/>
          <w:szCs w:val="20"/>
        </w:rPr>
        <w:t>return to economic</w:t>
      </w:r>
      <w:r>
        <w:rPr>
          <w:i/>
          <w:iCs/>
          <w:color w:val="57585A"/>
          <w:spacing w:val="-21"/>
          <w:sz w:val="20"/>
          <w:szCs w:val="20"/>
        </w:rPr>
        <w:t xml:space="preserve"> </w:t>
      </w:r>
      <w:r>
        <w:rPr>
          <w:i/>
          <w:iCs/>
          <w:color w:val="57585A"/>
          <w:spacing w:val="-7"/>
          <w:w w:val="97"/>
          <w:sz w:val="20"/>
          <w:szCs w:val="20"/>
        </w:rPr>
        <w:t>growth, and the</w:t>
      </w:r>
      <w:r>
        <w:rPr>
          <w:i/>
          <w:iCs/>
          <w:color w:val="57585A"/>
          <w:spacing w:val="-15"/>
          <w:sz w:val="20"/>
          <w:szCs w:val="20"/>
        </w:rPr>
        <w:t xml:space="preserve"> </w:t>
      </w:r>
      <w:r>
        <w:rPr>
          <w:i/>
          <w:iCs/>
          <w:color w:val="57585A"/>
          <w:spacing w:val="-7"/>
          <w:w w:val="97"/>
          <w:sz w:val="20"/>
          <w:szCs w:val="20"/>
        </w:rPr>
        <w:t>generally</w:t>
      </w:r>
      <w:r>
        <w:rPr>
          <w:i/>
          <w:iCs/>
          <w:color w:val="57585A"/>
          <w:spacing w:val="-20"/>
          <w:sz w:val="20"/>
          <w:szCs w:val="20"/>
        </w:rPr>
        <w:t xml:space="preserve"> </w:t>
      </w:r>
      <w:r>
        <w:rPr>
          <w:i/>
          <w:iCs/>
          <w:color w:val="57585A"/>
          <w:spacing w:val="-7"/>
          <w:w w:val="97"/>
          <w:sz w:val="20"/>
          <w:szCs w:val="20"/>
        </w:rPr>
        <w:t>favourable</w:t>
      </w:r>
      <w:r>
        <w:rPr>
          <w:i/>
          <w:iCs/>
          <w:color w:val="57585A"/>
          <w:spacing w:val="-16"/>
          <w:sz w:val="20"/>
          <w:szCs w:val="20"/>
        </w:rPr>
        <w:t xml:space="preserve"> </w:t>
      </w:r>
      <w:r>
        <w:rPr>
          <w:i/>
          <w:iCs/>
          <w:color w:val="57585A"/>
          <w:spacing w:val="-7"/>
          <w:w w:val="97"/>
          <w:sz w:val="20"/>
          <w:szCs w:val="20"/>
        </w:rPr>
        <w:t>policies bei</w:t>
      </w:r>
      <w:r>
        <w:rPr>
          <w:i/>
          <w:iCs/>
          <w:color w:val="57585A"/>
          <w:spacing w:val="-8"/>
          <w:w w:val="97"/>
          <w:sz w:val="20"/>
          <w:szCs w:val="20"/>
        </w:rPr>
        <w:t>ng</w:t>
      </w:r>
      <w:r>
        <w:rPr>
          <w:i/>
          <w:iCs/>
          <w:color w:val="57585A"/>
          <w:spacing w:val="-24"/>
          <w:sz w:val="20"/>
          <w:szCs w:val="20"/>
        </w:rPr>
        <w:t xml:space="preserve"> </w:t>
      </w:r>
      <w:r>
        <w:rPr>
          <w:i/>
          <w:iCs/>
          <w:color w:val="57585A"/>
          <w:spacing w:val="-8"/>
          <w:w w:val="97"/>
          <w:sz w:val="20"/>
          <w:szCs w:val="20"/>
        </w:rPr>
        <w:t>putin place for</w:t>
      </w:r>
      <w:r>
        <w:rPr>
          <w:i/>
          <w:iCs/>
          <w:color w:val="57585A"/>
          <w:spacing w:val="-15"/>
          <w:sz w:val="20"/>
          <w:szCs w:val="20"/>
        </w:rPr>
        <w:t xml:space="preserve"> </w:t>
      </w:r>
      <w:r>
        <w:rPr>
          <w:i/>
          <w:iCs/>
          <w:color w:val="57585A"/>
          <w:spacing w:val="-8"/>
          <w:w w:val="97"/>
          <w:sz w:val="20"/>
          <w:szCs w:val="20"/>
        </w:rPr>
        <w:t>the Oil</w:t>
      </w:r>
      <w:r>
        <w:rPr>
          <w:i/>
          <w:iCs/>
          <w:color w:val="57585A"/>
          <w:spacing w:val="-16"/>
          <w:sz w:val="20"/>
          <w:szCs w:val="20"/>
        </w:rPr>
        <w:t xml:space="preserve"> </w:t>
      </w:r>
      <w:r>
        <w:rPr>
          <w:i/>
          <w:iCs/>
          <w:color w:val="57585A"/>
          <w:spacing w:val="-8"/>
          <w:w w:val="97"/>
          <w:sz w:val="20"/>
          <w:szCs w:val="20"/>
        </w:rPr>
        <w:t>&amp; Gas</w:t>
      </w:r>
      <w:r>
        <w:rPr>
          <w:i/>
          <w:iCs/>
          <w:color w:val="57585A"/>
          <w:spacing w:val="-15"/>
          <w:sz w:val="20"/>
          <w:szCs w:val="20"/>
        </w:rPr>
        <w:t xml:space="preserve"> </w:t>
      </w:r>
      <w:r>
        <w:rPr>
          <w:i/>
          <w:iCs/>
          <w:color w:val="57585A"/>
          <w:spacing w:val="-8"/>
          <w:w w:val="97"/>
          <w:sz w:val="20"/>
          <w:szCs w:val="20"/>
        </w:rPr>
        <w:t>sector</w:t>
      </w:r>
      <w:r>
        <w:rPr>
          <w:i/>
          <w:iCs/>
          <w:color w:val="57585A"/>
          <w:spacing w:val="-23"/>
          <w:sz w:val="20"/>
          <w:szCs w:val="20"/>
        </w:rPr>
        <w:t xml:space="preserve"> </w:t>
      </w:r>
      <w:r>
        <w:rPr>
          <w:i/>
          <w:iCs/>
          <w:color w:val="57585A"/>
          <w:spacing w:val="-8"/>
          <w:w w:val="97"/>
          <w:sz w:val="20"/>
          <w:szCs w:val="20"/>
        </w:rPr>
        <w:t>by</w:t>
      </w:r>
      <w:r>
        <w:rPr>
          <w:i/>
          <w:iCs/>
          <w:color w:val="57585A"/>
          <w:spacing w:val="-23"/>
          <w:sz w:val="20"/>
          <w:szCs w:val="20"/>
        </w:rPr>
        <w:t xml:space="preserve"> </w:t>
      </w:r>
      <w:r>
        <w:rPr>
          <w:i/>
          <w:iCs/>
          <w:color w:val="57585A"/>
          <w:spacing w:val="-8"/>
          <w:w w:val="97"/>
          <w:sz w:val="20"/>
          <w:szCs w:val="20"/>
        </w:rPr>
        <w:t>new</w:t>
      </w:r>
    </w:p>
    <w:p w14:paraId="1901152A">
      <w:pPr>
        <w:pStyle w:val="4"/>
        <w:spacing w:before="36" w:line="263" w:lineRule="exact"/>
        <w:ind w:left="375"/>
        <w:rPr>
          <w:sz w:val="20"/>
          <w:szCs w:val="20"/>
        </w:rPr>
      </w:pPr>
      <w:r>
        <w:rPr>
          <w:i/>
          <w:iCs/>
          <w:color w:val="57585A"/>
          <w:spacing w:val="-3"/>
          <w:w w:val="89"/>
          <w:position w:val="1"/>
          <w:sz w:val="20"/>
          <w:szCs w:val="20"/>
        </w:rPr>
        <w:t>President</w:t>
      </w:r>
      <w:r>
        <w:rPr>
          <w:i/>
          <w:iCs/>
          <w:color w:val="57585A"/>
          <w:spacing w:val="-30"/>
          <w:position w:val="1"/>
          <w:sz w:val="20"/>
          <w:szCs w:val="20"/>
        </w:rPr>
        <w:t xml:space="preserve"> </w:t>
      </w:r>
      <w:r>
        <w:rPr>
          <w:i/>
          <w:iCs/>
          <w:color w:val="57585A"/>
          <w:spacing w:val="-3"/>
          <w:w w:val="89"/>
          <w:position w:val="1"/>
          <w:sz w:val="20"/>
          <w:szCs w:val="20"/>
        </w:rPr>
        <w:t>Javier</w:t>
      </w:r>
      <w:r>
        <w:rPr>
          <w:i/>
          <w:iCs/>
          <w:color w:val="57585A"/>
          <w:spacing w:val="-20"/>
          <w:position w:val="1"/>
          <w:sz w:val="20"/>
          <w:szCs w:val="20"/>
        </w:rPr>
        <w:t xml:space="preserve"> </w:t>
      </w:r>
      <w:r>
        <w:rPr>
          <w:i/>
          <w:iCs/>
          <w:color w:val="57585A"/>
          <w:spacing w:val="-3"/>
          <w:w w:val="89"/>
          <w:position w:val="1"/>
          <w:sz w:val="20"/>
          <w:szCs w:val="20"/>
        </w:rPr>
        <w:t>Milei.</w:t>
      </w:r>
    </w:p>
    <w:p w14:paraId="50F22CB6">
      <w:pPr>
        <w:pStyle w:val="4"/>
        <w:spacing w:line="285" w:lineRule="auto"/>
      </w:pPr>
    </w:p>
    <w:p w14:paraId="5830CC87">
      <w:pPr>
        <w:pStyle w:val="4"/>
        <w:spacing w:line="286" w:lineRule="auto"/>
      </w:pPr>
    </w:p>
    <w:p w14:paraId="336C42D6">
      <w:pPr>
        <w:pStyle w:val="4"/>
        <w:spacing w:before="69" w:line="234" w:lineRule="auto"/>
        <w:ind w:left="3381"/>
        <w:outlineLvl w:val="1"/>
        <w:rPr>
          <w:sz w:val="24"/>
          <w:szCs w:val="24"/>
        </w:rPr>
      </w:pPr>
      <w:r>
        <w:rPr>
          <w:color w:val="174174"/>
          <w:spacing w:val="-8"/>
          <w:sz w:val="24"/>
          <w:szCs w:val="24"/>
        </w:rPr>
        <w:t>Argentina Outperforms On Most Indica</w:t>
      </w:r>
      <w:r>
        <w:rPr>
          <w:color w:val="174174"/>
          <w:spacing w:val="-9"/>
          <w:sz w:val="24"/>
          <w:szCs w:val="24"/>
        </w:rPr>
        <w:t>tors</w:t>
      </w:r>
    </w:p>
    <w:p w14:paraId="56DEA762">
      <w:pPr>
        <w:pStyle w:val="4"/>
        <w:spacing w:before="33" w:line="231" w:lineRule="auto"/>
        <w:ind w:left="2919"/>
        <w:outlineLvl w:val="1"/>
        <w:rPr>
          <w:sz w:val="20"/>
          <w:szCs w:val="20"/>
        </w:rPr>
      </w:pPr>
      <w:r>
        <w:rPr>
          <w:color w:val="333333"/>
          <w:spacing w:val="-12"/>
          <w:sz w:val="20"/>
          <w:szCs w:val="20"/>
        </w:rPr>
        <w:t xml:space="preserve">Argentina &amp; LatAm - </w:t>
      </w:r>
      <w:r>
        <w:rPr>
          <w:color w:val="333333"/>
          <w:spacing w:val="-13"/>
          <w:sz w:val="20"/>
          <w:szCs w:val="20"/>
        </w:rPr>
        <w:t>Upstream Risk/Reward Index By Component</w:t>
      </w:r>
    </w:p>
    <w:p w14:paraId="163A9FAD">
      <w:pPr>
        <w:spacing w:before="96" w:line="4500" w:lineRule="exact"/>
        <w:ind w:firstLine="1862"/>
      </w:pPr>
      <w:r>
        <w:rPr>
          <w:position w:val="-90"/>
        </w:rPr>
        <w:drawing>
          <wp:inline distT="0" distB="0" distL="0" distR="0">
            <wp:extent cx="4572000" cy="285750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143"/>
                    <a:stretch>
                      <a:fillRect/>
                    </a:stretch>
                  </pic:blipFill>
                  <pic:spPr>
                    <a:xfrm>
                      <a:off x="0" y="0"/>
                      <a:ext cx="4572000" cy="2857500"/>
                    </a:xfrm>
                    <a:prstGeom prst="rect">
                      <a:avLst/>
                    </a:prstGeom>
                  </pic:spPr>
                </pic:pic>
              </a:graphicData>
            </a:graphic>
          </wp:inline>
        </w:drawing>
      </w:r>
    </w:p>
    <w:p w14:paraId="694FF484">
      <w:pPr>
        <w:pStyle w:val="4"/>
        <w:spacing w:before="150" w:line="235" w:lineRule="auto"/>
        <w:ind w:left="1874"/>
        <w:rPr>
          <w:sz w:val="15"/>
          <w:szCs w:val="15"/>
        </w:rPr>
      </w:pPr>
      <w:r>
        <w:drawing>
          <wp:anchor distT="0" distB="0" distL="0" distR="0" simplePos="0" relativeHeight="251900928"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 lower</w:t>
      </w:r>
      <w:r>
        <w:rPr>
          <w:i/>
          <w:iCs/>
          <w:color w:val="333333"/>
          <w:spacing w:val="-19"/>
          <w:sz w:val="15"/>
          <w:szCs w:val="15"/>
        </w:rPr>
        <w:t xml:space="preserve"> </w:t>
      </w:r>
      <w:r>
        <w:rPr>
          <w:i/>
          <w:iCs/>
          <w:color w:val="333333"/>
          <w:spacing w:val="-5"/>
          <w:w w:val="94"/>
          <w:sz w:val="15"/>
          <w:szCs w:val="15"/>
        </w:rPr>
        <w:t>score = more attractive mar</w:t>
      </w:r>
      <w:r>
        <w:rPr>
          <w:i/>
          <w:iCs/>
          <w:color w:val="333333"/>
          <w:spacing w:val="-6"/>
          <w:w w:val="94"/>
          <w:sz w:val="15"/>
          <w:szCs w:val="15"/>
        </w:rPr>
        <w:t>ket. Source: BMI Oil</w:t>
      </w:r>
      <w:r>
        <w:rPr>
          <w:i/>
          <w:iCs/>
          <w:color w:val="333333"/>
          <w:spacing w:val="-13"/>
          <w:sz w:val="15"/>
          <w:szCs w:val="15"/>
        </w:rPr>
        <w:t xml:space="preserve"> </w:t>
      </w:r>
      <w:r>
        <w:rPr>
          <w:i/>
          <w:iCs/>
          <w:color w:val="333333"/>
          <w:spacing w:val="-6"/>
          <w:w w:val="94"/>
          <w:sz w:val="15"/>
          <w:szCs w:val="15"/>
        </w:rPr>
        <w:t>&amp; Gas Upstream Risk/Rewards Index</w:t>
      </w:r>
    </w:p>
    <w:p w14:paraId="0D705771">
      <w:pPr>
        <w:pStyle w:val="4"/>
        <w:spacing w:line="363" w:lineRule="auto"/>
      </w:pPr>
    </w:p>
    <w:p w14:paraId="05497619">
      <w:pPr>
        <w:pStyle w:val="4"/>
        <w:spacing w:before="57" w:line="241" w:lineRule="auto"/>
        <w:ind w:left="368"/>
        <w:rPr>
          <w:sz w:val="20"/>
          <w:szCs w:val="20"/>
        </w:rPr>
      </w:pPr>
      <w:r>
        <w:rPr>
          <w:b/>
          <w:bCs/>
          <w:color w:val="57585A"/>
          <w:spacing w:val="-11"/>
          <w:sz w:val="20"/>
          <w:szCs w:val="20"/>
        </w:rPr>
        <w:t>Global</w:t>
      </w:r>
      <w:r>
        <w:rPr>
          <w:b/>
          <w:bCs/>
          <w:color w:val="57585A"/>
          <w:spacing w:val="-6"/>
          <w:sz w:val="20"/>
          <w:szCs w:val="20"/>
        </w:rPr>
        <w:t xml:space="preserve"> </w:t>
      </w:r>
      <w:r>
        <w:rPr>
          <w:b/>
          <w:bCs/>
          <w:color w:val="57585A"/>
          <w:spacing w:val="-11"/>
          <w:sz w:val="20"/>
          <w:szCs w:val="20"/>
        </w:rPr>
        <w:t>And Regional Rankings</w:t>
      </w:r>
    </w:p>
    <w:p w14:paraId="1B4733BA">
      <w:pPr>
        <w:pStyle w:val="4"/>
        <w:spacing w:line="280" w:lineRule="auto"/>
      </w:pPr>
    </w:p>
    <w:p w14:paraId="2B41F5AC">
      <w:pPr>
        <w:pStyle w:val="4"/>
        <w:spacing w:before="58" w:line="234" w:lineRule="auto"/>
        <w:ind w:left="357"/>
        <w:rPr>
          <w:sz w:val="20"/>
          <w:szCs w:val="20"/>
        </w:rPr>
      </w:pPr>
      <w:r>
        <w:rPr>
          <w:color w:val="33CCFF"/>
          <w:spacing w:val="-11"/>
          <w:sz w:val="20"/>
          <w:szCs w:val="20"/>
        </w:rPr>
        <w:t>•</w:t>
      </w:r>
      <w:r>
        <w:rPr>
          <w:color w:val="33CCFF"/>
          <w:spacing w:val="3"/>
          <w:sz w:val="20"/>
          <w:szCs w:val="20"/>
        </w:rPr>
        <w:t xml:space="preserve">   </w:t>
      </w:r>
      <w:r>
        <w:rPr>
          <w:color w:val="57585A"/>
          <w:spacing w:val="-11"/>
          <w:sz w:val="20"/>
          <w:szCs w:val="20"/>
        </w:rPr>
        <w:t>Regional rank (out of 10): 2nd</w:t>
      </w:r>
    </w:p>
    <w:p w14:paraId="7EC96B8E">
      <w:pPr>
        <w:pStyle w:val="4"/>
        <w:spacing w:before="56" w:line="234" w:lineRule="auto"/>
        <w:ind w:left="357"/>
        <w:rPr>
          <w:sz w:val="20"/>
          <w:szCs w:val="20"/>
        </w:rPr>
      </w:pPr>
      <w:r>
        <w:rPr>
          <w:color w:val="33CCFF"/>
          <w:spacing w:val="-10"/>
          <w:sz w:val="20"/>
          <w:szCs w:val="20"/>
        </w:rPr>
        <w:t>•</w:t>
      </w:r>
      <w:r>
        <w:rPr>
          <w:color w:val="33CCFF"/>
          <w:spacing w:val="1"/>
          <w:sz w:val="20"/>
          <w:szCs w:val="20"/>
        </w:rPr>
        <w:t xml:space="preserve">   </w:t>
      </w:r>
      <w:r>
        <w:rPr>
          <w:color w:val="57585A"/>
          <w:spacing w:val="-10"/>
          <w:sz w:val="20"/>
          <w:szCs w:val="20"/>
        </w:rPr>
        <w:t>Global rank (out of</w:t>
      </w:r>
      <w:r>
        <w:rPr>
          <w:color w:val="57585A"/>
          <w:spacing w:val="-16"/>
          <w:sz w:val="20"/>
          <w:szCs w:val="20"/>
        </w:rPr>
        <w:t xml:space="preserve"> </w:t>
      </w:r>
      <w:r>
        <w:rPr>
          <w:color w:val="57585A"/>
          <w:spacing w:val="-10"/>
          <w:sz w:val="20"/>
          <w:szCs w:val="20"/>
        </w:rPr>
        <w:t xml:space="preserve">72): </w:t>
      </w:r>
      <w:r>
        <w:rPr>
          <w:color w:val="57585A"/>
          <w:spacing w:val="-11"/>
          <w:sz w:val="20"/>
          <w:szCs w:val="20"/>
        </w:rPr>
        <w:t>9th</w:t>
      </w:r>
    </w:p>
    <w:p w14:paraId="32B37E8F">
      <w:pPr>
        <w:pStyle w:val="4"/>
        <w:spacing w:line="284" w:lineRule="auto"/>
      </w:pPr>
    </w:p>
    <w:p w14:paraId="73F36F35">
      <w:pPr>
        <w:pStyle w:val="4"/>
        <w:spacing w:line="284" w:lineRule="auto"/>
      </w:pPr>
    </w:p>
    <w:p w14:paraId="6E3C3E38">
      <w:pPr>
        <w:pStyle w:val="4"/>
        <w:spacing w:before="58" w:line="241" w:lineRule="auto"/>
        <w:ind w:left="375"/>
        <w:rPr>
          <w:sz w:val="20"/>
          <w:szCs w:val="20"/>
        </w:rPr>
      </w:pPr>
      <w:r>
        <w:rPr>
          <w:b/>
          <w:bCs/>
          <w:color w:val="57585A"/>
          <w:spacing w:val="-9"/>
          <w:sz w:val="20"/>
          <w:szCs w:val="20"/>
        </w:rPr>
        <w:t>Key Features</w:t>
      </w:r>
      <w:r>
        <w:rPr>
          <w:b/>
          <w:bCs/>
          <w:color w:val="57585A"/>
          <w:spacing w:val="-7"/>
          <w:sz w:val="20"/>
          <w:szCs w:val="20"/>
        </w:rPr>
        <w:t xml:space="preserve"> </w:t>
      </w:r>
      <w:r>
        <w:rPr>
          <w:b/>
          <w:bCs/>
          <w:color w:val="57585A"/>
          <w:spacing w:val="-9"/>
          <w:sz w:val="20"/>
          <w:szCs w:val="20"/>
        </w:rPr>
        <w:t>And Latest Updates</w:t>
      </w:r>
    </w:p>
    <w:p w14:paraId="2F2A2F5E">
      <w:pPr>
        <w:pStyle w:val="4"/>
        <w:spacing w:line="280" w:lineRule="auto"/>
      </w:pPr>
    </w:p>
    <w:p w14:paraId="245A8BE8">
      <w:pPr>
        <w:pStyle w:val="4"/>
        <w:spacing w:before="58" w:line="272" w:lineRule="auto"/>
        <w:ind w:left="611" w:right="555" w:hanging="254"/>
        <w:rPr>
          <w:sz w:val="20"/>
          <w:szCs w:val="20"/>
        </w:rPr>
      </w:pPr>
      <w:r>
        <w:rPr>
          <w:color w:val="33CCFF"/>
          <w:spacing w:val="-11"/>
          <w:sz w:val="20"/>
          <w:szCs w:val="20"/>
        </w:rPr>
        <w:t xml:space="preserve">•   </w:t>
      </w:r>
      <w:r>
        <w:rPr>
          <w:color w:val="57585A"/>
          <w:spacing w:val="-11"/>
          <w:sz w:val="20"/>
          <w:szCs w:val="20"/>
        </w:rPr>
        <w:t>Argentina has maintained its performance in our Upstream</w:t>
      </w:r>
      <w:r>
        <w:rPr>
          <w:color w:val="57585A"/>
          <w:spacing w:val="1"/>
          <w:sz w:val="20"/>
          <w:szCs w:val="20"/>
        </w:rPr>
        <w:t xml:space="preserve"> </w:t>
      </w:r>
      <w:r>
        <w:rPr>
          <w:color w:val="57585A"/>
          <w:spacing w:val="-11"/>
          <w:sz w:val="20"/>
          <w:szCs w:val="20"/>
        </w:rPr>
        <w:t>Risk/Reward</w:t>
      </w:r>
      <w:r>
        <w:rPr>
          <w:color w:val="57585A"/>
          <w:spacing w:val="1"/>
          <w:sz w:val="20"/>
          <w:szCs w:val="20"/>
        </w:rPr>
        <w:t xml:space="preserve"> </w:t>
      </w:r>
      <w:r>
        <w:rPr>
          <w:color w:val="57585A"/>
          <w:spacing w:val="-11"/>
          <w:sz w:val="20"/>
          <w:szCs w:val="20"/>
        </w:rPr>
        <w:t>Index this quarte</w:t>
      </w:r>
      <w:r>
        <w:rPr>
          <w:color w:val="57585A"/>
          <w:spacing w:val="-12"/>
          <w:sz w:val="20"/>
          <w:szCs w:val="20"/>
        </w:rPr>
        <w:t>r.</w:t>
      </w:r>
      <w:r>
        <w:rPr>
          <w:color w:val="57585A"/>
          <w:sz w:val="20"/>
          <w:szCs w:val="20"/>
        </w:rPr>
        <w:t xml:space="preserve"> </w:t>
      </w:r>
      <w:r>
        <w:rPr>
          <w:color w:val="57585A"/>
          <w:spacing w:val="-12"/>
          <w:sz w:val="20"/>
          <w:szCs w:val="20"/>
        </w:rPr>
        <w:t>In the region,</w:t>
      </w:r>
      <w:r>
        <w:rPr>
          <w:color w:val="57585A"/>
          <w:spacing w:val="-15"/>
          <w:sz w:val="20"/>
          <w:szCs w:val="20"/>
        </w:rPr>
        <w:t xml:space="preserve"> </w:t>
      </w:r>
      <w:r>
        <w:rPr>
          <w:color w:val="57585A"/>
          <w:spacing w:val="-12"/>
          <w:sz w:val="20"/>
          <w:szCs w:val="20"/>
        </w:rPr>
        <w:t>Argentina remains</w:t>
      </w:r>
      <w:r>
        <w:rPr>
          <w:color w:val="57585A"/>
          <w:spacing w:val="-4"/>
          <w:sz w:val="20"/>
          <w:szCs w:val="20"/>
        </w:rPr>
        <w:t xml:space="preserve"> </w:t>
      </w:r>
      <w:r>
        <w:rPr>
          <w:color w:val="57585A"/>
          <w:spacing w:val="-12"/>
          <w:sz w:val="20"/>
          <w:szCs w:val="20"/>
        </w:rPr>
        <w:t>in</w:t>
      </w:r>
      <w:r>
        <w:rPr>
          <w:color w:val="57585A"/>
          <w:sz w:val="20"/>
          <w:szCs w:val="20"/>
        </w:rPr>
        <w:t xml:space="preserve"> </w:t>
      </w:r>
      <w:r>
        <w:rPr>
          <w:color w:val="57585A"/>
          <w:spacing w:val="-11"/>
          <w:sz w:val="20"/>
          <w:szCs w:val="20"/>
        </w:rPr>
        <w:t>second position, following Brazil.</w:t>
      </w:r>
      <w:r>
        <w:rPr>
          <w:color w:val="57585A"/>
          <w:spacing w:val="-15"/>
          <w:sz w:val="20"/>
          <w:szCs w:val="20"/>
        </w:rPr>
        <w:t xml:space="preserve"> </w:t>
      </w:r>
      <w:r>
        <w:rPr>
          <w:color w:val="57585A"/>
          <w:spacing w:val="-11"/>
          <w:sz w:val="20"/>
          <w:szCs w:val="20"/>
        </w:rPr>
        <w:t>Argentina's current score lingers at 35.4,</w:t>
      </w:r>
      <w:r>
        <w:rPr>
          <w:color w:val="57585A"/>
          <w:spacing w:val="-16"/>
          <w:sz w:val="20"/>
          <w:szCs w:val="20"/>
        </w:rPr>
        <w:t xml:space="preserve"> </w:t>
      </w:r>
      <w:r>
        <w:rPr>
          <w:color w:val="57585A"/>
          <w:spacing w:val="-11"/>
          <w:sz w:val="20"/>
          <w:szCs w:val="20"/>
        </w:rPr>
        <w:t>which compare</w:t>
      </w:r>
      <w:r>
        <w:rPr>
          <w:color w:val="57585A"/>
          <w:spacing w:val="-12"/>
          <w:sz w:val="20"/>
          <w:szCs w:val="20"/>
        </w:rPr>
        <w:t>s favorably to the regional average of</w:t>
      </w:r>
      <w:r>
        <w:rPr>
          <w:color w:val="57585A"/>
          <w:sz w:val="20"/>
          <w:szCs w:val="20"/>
        </w:rPr>
        <w:t xml:space="preserve"> </w:t>
      </w:r>
      <w:r>
        <w:rPr>
          <w:color w:val="57585A"/>
          <w:spacing w:val="-12"/>
          <w:sz w:val="20"/>
          <w:szCs w:val="20"/>
        </w:rPr>
        <w:t>49.3.</w:t>
      </w:r>
      <w:r>
        <w:rPr>
          <w:color w:val="57585A"/>
          <w:spacing w:val="-15"/>
          <w:sz w:val="20"/>
          <w:szCs w:val="20"/>
        </w:rPr>
        <w:t xml:space="preserve"> </w:t>
      </w:r>
      <w:r>
        <w:rPr>
          <w:color w:val="57585A"/>
          <w:spacing w:val="-12"/>
          <w:sz w:val="20"/>
          <w:szCs w:val="20"/>
        </w:rPr>
        <w:t>This indicates a favourable rewards and risk balance for oil and gas investments i</w:t>
      </w:r>
      <w:r>
        <w:rPr>
          <w:color w:val="57585A"/>
          <w:spacing w:val="-13"/>
          <w:sz w:val="20"/>
          <w:szCs w:val="20"/>
        </w:rPr>
        <w:t>n Argentina.</w:t>
      </w:r>
    </w:p>
    <w:p w14:paraId="39D90098">
      <w:pPr>
        <w:pStyle w:val="4"/>
        <w:spacing w:before="58" w:line="272" w:lineRule="auto"/>
        <w:ind w:left="616" w:right="458" w:hanging="259"/>
        <w:rPr>
          <w:sz w:val="20"/>
          <w:szCs w:val="20"/>
        </w:rPr>
      </w:pPr>
      <w:r>
        <w:rPr>
          <w:color w:val="33CCFF"/>
          <w:spacing w:val="-10"/>
          <w:sz w:val="20"/>
          <w:szCs w:val="20"/>
        </w:rPr>
        <w:t xml:space="preserve">•   </w:t>
      </w:r>
      <w:r>
        <w:rPr>
          <w:color w:val="57585A"/>
          <w:spacing w:val="-10"/>
          <w:sz w:val="20"/>
          <w:szCs w:val="20"/>
        </w:rPr>
        <w:t xml:space="preserve">Argentina's upstream strength is derived </w:t>
      </w:r>
      <w:r>
        <w:rPr>
          <w:color w:val="57585A"/>
          <w:spacing w:val="-11"/>
          <w:sz w:val="20"/>
          <w:szCs w:val="20"/>
        </w:rPr>
        <w:t>from its larger domestic supply base having risen to the largest producer of natural gas</w:t>
      </w:r>
      <w:r>
        <w:rPr>
          <w:color w:val="57585A"/>
          <w:sz w:val="20"/>
          <w:szCs w:val="20"/>
        </w:rPr>
        <w:t xml:space="preserve"> </w:t>
      </w:r>
      <w:r>
        <w:rPr>
          <w:color w:val="57585A"/>
          <w:spacing w:val="-10"/>
          <w:sz w:val="20"/>
          <w:szCs w:val="20"/>
        </w:rPr>
        <w:t>in the region from 2016. Its f</w:t>
      </w:r>
      <w:r>
        <w:rPr>
          <w:color w:val="57585A"/>
          <w:spacing w:val="-11"/>
          <w:sz w:val="20"/>
          <w:szCs w:val="20"/>
        </w:rPr>
        <w:t>avourable production outlook is driven by unconventional reserves, a high discovery rate and the</w:t>
      </w:r>
      <w:r>
        <w:rPr>
          <w:color w:val="57585A"/>
          <w:sz w:val="20"/>
          <w:szCs w:val="20"/>
        </w:rPr>
        <w:t xml:space="preserve">  </w:t>
      </w:r>
      <w:r>
        <w:rPr>
          <w:color w:val="57585A"/>
          <w:spacing w:val="-9"/>
          <w:sz w:val="20"/>
          <w:szCs w:val="20"/>
        </w:rPr>
        <w:t>production growth outlook of hydrocarbons, notably from unconventional production growth.</w:t>
      </w:r>
    </w:p>
    <w:p w14:paraId="4116E9BF">
      <w:pPr>
        <w:pStyle w:val="4"/>
        <w:spacing w:before="58" w:line="262" w:lineRule="auto"/>
        <w:ind w:left="618" w:right="757" w:hanging="261"/>
        <w:rPr>
          <w:sz w:val="20"/>
          <w:szCs w:val="20"/>
        </w:rPr>
      </w:pPr>
      <w:r>
        <w:rPr>
          <w:color w:val="33CCFF"/>
          <w:spacing w:val="-10"/>
          <w:sz w:val="20"/>
          <w:szCs w:val="20"/>
        </w:rPr>
        <w:t xml:space="preserve">•   </w:t>
      </w:r>
      <w:r>
        <w:rPr>
          <w:color w:val="57585A"/>
          <w:spacing w:val="-10"/>
          <w:sz w:val="20"/>
          <w:szCs w:val="20"/>
        </w:rPr>
        <w:t>The country performs</w:t>
      </w:r>
      <w:r>
        <w:rPr>
          <w:color w:val="57585A"/>
          <w:spacing w:val="-16"/>
          <w:sz w:val="20"/>
          <w:szCs w:val="20"/>
        </w:rPr>
        <w:t xml:space="preserve"> </w:t>
      </w:r>
      <w:r>
        <w:rPr>
          <w:color w:val="57585A"/>
          <w:spacing w:val="-10"/>
          <w:sz w:val="20"/>
          <w:szCs w:val="20"/>
        </w:rPr>
        <w:t>well across the Country Rewards compo</w:t>
      </w:r>
      <w:r>
        <w:rPr>
          <w:color w:val="57585A"/>
          <w:spacing w:val="-11"/>
          <w:sz w:val="20"/>
          <w:szCs w:val="20"/>
        </w:rPr>
        <w:t>nents of</w:t>
      </w:r>
      <w:r>
        <w:rPr>
          <w:color w:val="57585A"/>
          <w:spacing w:val="-15"/>
          <w:sz w:val="20"/>
          <w:szCs w:val="20"/>
        </w:rPr>
        <w:t xml:space="preserve"> </w:t>
      </w:r>
      <w:r>
        <w:rPr>
          <w:color w:val="57585A"/>
          <w:spacing w:val="-11"/>
          <w:sz w:val="20"/>
          <w:szCs w:val="20"/>
        </w:rPr>
        <w:t>our upstream index, thanks to the rising influence of</w:t>
      </w:r>
      <w:r>
        <w:rPr>
          <w:color w:val="57585A"/>
          <w:sz w:val="20"/>
          <w:szCs w:val="20"/>
        </w:rPr>
        <w:t xml:space="preserve"> </w:t>
      </w:r>
      <w:r>
        <w:rPr>
          <w:color w:val="57585A"/>
          <w:spacing w:val="-12"/>
          <w:sz w:val="20"/>
          <w:szCs w:val="20"/>
        </w:rPr>
        <w:t xml:space="preserve">private IOCs. This metric has improved substantially over the last several quarters as private investment rises and </w:t>
      </w:r>
      <w:r>
        <w:rPr>
          <w:color w:val="57585A"/>
          <w:spacing w:val="-13"/>
          <w:sz w:val="20"/>
          <w:szCs w:val="20"/>
        </w:rPr>
        <w:t>critical</w:t>
      </w:r>
    </w:p>
    <w:p w14:paraId="10411B29">
      <w:pPr>
        <w:pStyle w:val="4"/>
        <w:spacing w:before="58" w:line="231" w:lineRule="auto"/>
        <w:ind w:left="616"/>
        <w:rPr>
          <w:sz w:val="20"/>
          <w:szCs w:val="20"/>
        </w:rPr>
      </w:pPr>
      <w:r>
        <w:rPr>
          <w:color w:val="57585A"/>
          <w:spacing w:val="-10"/>
          <w:sz w:val="20"/>
          <w:szCs w:val="20"/>
        </w:rPr>
        <w:t>infrastructure projects are sanctioned.</w:t>
      </w:r>
    </w:p>
    <w:p w14:paraId="72F693B0">
      <w:pPr>
        <w:spacing w:line="231" w:lineRule="auto"/>
        <w:rPr>
          <w:sz w:val="20"/>
          <w:szCs w:val="20"/>
        </w:rPr>
        <w:sectPr>
          <w:footerReference r:id="rId63" w:type="default"/>
          <w:pgSz w:w="11906" w:h="16838"/>
          <w:pgMar w:top="400" w:right="490" w:bottom="883" w:left="490" w:header="0" w:footer="0" w:gutter="0"/>
          <w:cols w:space="720" w:num="1"/>
        </w:sectPr>
      </w:pPr>
    </w:p>
    <w:p w14:paraId="107146A4">
      <w:pPr>
        <w:pStyle w:val="4"/>
        <w:spacing w:before="73" w:line="241" w:lineRule="auto"/>
        <w:ind w:left="7372"/>
        <w:rPr>
          <w:sz w:val="20"/>
          <w:szCs w:val="20"/>
        </w:rPr>
      </w:pPr>
      <w:r>
        <w:drawing>
          <wp:anchor distT="0" distB="0" distL="0" distR="0" simplePos="0" relativeHeight="25190502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06048" behindDoc="0" locked="0" layoutInCell="0" allowOverlap="1">
            <wp:simplePos x="0" y="0"/>
            <wp:positionH relativeFrom="page">
              <wp:posOffset>311150</wp:posOffset>
            </wp:positionH>
            <wp:positionV relativeFrom="page">
              <wp:posOffset>0</wp:posOffset>
            </wp:positionV>
            <wp:extent cx="19050" cy="814070"/>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4F813F1">
      <w:pPr>
        <w:pStyle w:val="4"/>
        <w:spacing w:line="278" w:lineRule="auto"/>
      </w:pPr>
    </w:p>
    <w:p w14:paraId="6096B6B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821BC76">
      <w:pPr>
        <w:pStyle w:val="4"/>
        <w:spacing w:line="470" w:lineRule="auto"/>
      </w:pPr>
    </w:p>
    <w:p w14:paraId="5C5E6E6B">
      <w:pPr>
        <w:pStyle w:val="4"/>
        <w:spacing w:before="57" w:line="234" w:lineRule="auto"/>
        <w:ind w:left="357"/>
        <w:rPr>
          <w:sz w:val="20"/>
          <w:szCs w:val="20"/>
        </w:rPr>
      </w:pPr>
      <w:r>
        <w:rPr>
          <w:color w:val="33CCFF"/>
          <w:spacing w:val="-11"/>
          <w:sz w:val="20"/>
          <w:szCs w:val="20"/>
        </w:rPr>
        <w:t xml:space="preserve">•   </w:t>
      </w:r>
      <w:r>
        <w:rPr>
          <w:color w:val="57585A"/>
          <w:spacing w:val="-11"/>
          <w:sz w:val="20"/>
          <w:szCs w:val="20"/>
        </w:rPr>
        <w:t>Argentina's score and rank on the risks side have also risen in recent</w:t>
      </w:r>
      <w:r>
        <w:rPr>
          <w:color w:val="57585A"/>
          <w:spacing w:val="-16"/>
          <w:sz w:val="20"/>
          <w:szCs w:val="20"/>
        </w:rPr>
        <w:t xml:space="preserve"> </w:t>
      </w:r>
      <w:r>
        <w:rPr>
          <w:color w:val="57585A"/>
          <w:spacing w:val="-11"/>
          <w:sz w:val="20"/>
          <w:szCs w:val="20"/>
        </w:rPr>
        <w:t>years following a series of reforms direc</w:t>
      </w:r>
      <w:r>
        <w:rPr>
          <w:color w:val="57585A"/>
          <w:spacing w:val="-12"/>
          <w:sz w:val="20"/>
          <w:szCs w:val="20"/>
        </w:rPr>
        <w:t>ted toward the</w:t>
      </w:r>
    </w:p>
    <w:p w14:paraId="5BD66A06">
      <w:pPr>
        <w:pStyle w:val="4"/>
        <w:spacing w:before="55" w:line="262" w:lineRule="auto"/>
        <w:ind w:left="604" w:right="448" w:firstLine="6"/>
        <w:rPr>
          <w:sz w:val="20"/>
          <w:szCs w:val="20"/>
        </w:rPr>
      </w:pPr>
      <w:r>
        <w:rPr>
          <w:color w:val="57585A"/>
          <w:spacing w:val="-12"/>
          <w:sz w:val="20"/>
          <w:szCs w:val="20"/>
        </w:rPr>
        <w:t>sector. However, elevated royalties and taxes continue to weigh on development prospects and Industry Risks score. In addition,</w:t>
      </w:r>
      <w:r>
        <w:rPr>
          <w:color w:val="57585A"/>
          <w:spacing w:val="3"/>
          <w:sz w:val="20"/>
          <w:szCs w:val="20"/>
        </w:rPr>
        <w:t xml:space="preserve"> </w:t>
      </w:r>
      <w:r>
        <w:rPr>
          <w:color w:val="57585A"/>
          <w:spacing w:val="-12"/>
          <w:sz w:val="20"/>
          <w:szCs w:val="20"/>
        </w:rPr>
        <w:t>we note that continued elevated Short-Term and Long-Term Economic Risks and Political Risks. The start of</w:t>
      </w:r>
      <w:r>
        <w:rPr>
          <w:color w:val="57585A"/>
          <w:spacing w:val="-16"/>
          <w:sz w:val="20"/>
          <w:szCs w:val="20"/>
        </w:rPr>
        <w:t xml:space="preserve"> </w:t>
      </w:r>
      <w:r>
        <w:rPr>
          <w:color w:val="57585A"/>
          <w:spacing w:val="-12"/>
          <w:sz w:val="20"/>
          <w:szCs w:val="20"/>
        </w:rPr>
        <w:t>an improving</w:t>
      </w:r>
    </w:p>
    <w:p w14:paraId="15B1D63C">
      <w:pPr>
        <w:pStyle w:val="4"/>
        <w:spacing w:before="58" w:line="231" w:lineRule="auto"/>
        <w:ind w:left="614"/>
        <w:rPr>
          <w:sz w:val="20"/>
          <w:szCs w:val="20"/>
        </w:rPr>
      </w:pPr>
      <w:r>
        <w:rPr>
          <w:color w:val="57585A"/>
          <w:spacing w:val="-9"/>
          <w:sz w:val="20"/>
          <w:szCs w:val="20"/>
        </w:rPr>
        <w:t>economic outlook from 2025/2026 onwards c</w:t>
      </w:r>
      <w:r>
        <w:rPr>
          <w:color w:val="57585A"/>
          <w:spacing w:val="-10"/>
          <w:sz w:val="20"/>
          <w:szCs w:val="20"/>
        </w:rPr>
        <w:t>ould however begin to improve its score in the coming quarters.</w:t>
      </w:r>
    </w:p>
    <w:p w14:paraId="189507C1">
      <w:pPr>
        <w:pStyle w:val="4"/>
        <w:spacing w:before="58" w:line="262" w:lineRule="auto"/>
        <w:ind w:left="612" w:right="900" w:hanging="255"/>
        <w:rPr>
          <w:sz w:val="20"/>
          <w:szCs w:val="20"/>
        </w:rPr>
      </w:pPr>
      <w:r>
        <w:rPr>
          <w:color w:val="33CCFF"/>
          <w:spacing w:val="-11"/>
          <w:sz w:val="20"/>
          <w:szCs w:val="20"/>
        </w:rPr>
        <w:t xml:space="preserve">•   </w:t>
      </w:r>
      <w:r>
        <w:rPr>
          <w:color w:val="57585A"/>
          <w:spacing w:val="-11"/>
          <w:sz w:val="20"/>
          <w:szCs w:val="20"/>
        </w:rPr>
        <w:t>We expect</w:t>
      </w:r>
      <w:r>
        <w:rPr>
          <w:color w:val="57585A"/>
          <w:spacing w:val="-15"/>
          <w:sz w:val="20"/>
          <w:szCs w:val="20"/>
        </w:rPr>
        <w:t xml:space="preserve"> </w:t>
      </w:r>
      <w:r>
        <w:rPr>
          <w:color w:val="57585A"/>
          <w:spacing w:val="-11"/>
          <w:sz w:val="20"/>
          <w:szCs w:val="20"/>
        </w:rPr>
        <w:t>Argentina to remain at the top of</w:t>
      </w:r>
      <w:r>
        <w:rPr>
          <w:color w:val="57585A"/>
          <w:spacing w:val="-15"/>
          <w:sz w:val="20"/>
          <w:szCs w:val="20"/>
        </w:rPr>
        <w:t xml:space="preserve"> </w:t>
      </w:r>
      <w:r>
        <w:rPr>
          <w:color w:val="57585A"/>
          <w:spacing w:val="-11"/>
          <w:sz w:val="20"/>
          <w:szCs w:val="20"/>
        </w:rPr>
        <w:t>our regional and global rankings as private investment inflows grow. How</w:t>
      </w:r>
      <w:r>
        <w:rPr>
          <w:color w:val="57585A"/>
          <w:spacing w:val="-12"/>
          <w:sz w:val="20"/>
          <w:szCs w:val="20"/>
        </w:rPr>
        <w:t>ever,</w:t>
      </w:r>
      <w:r>
        <w:rPr>
          <w:color w:val="57585A"/>
          <w:sz w:val="20"/>
          <w:szCs w:val="20"/>
        </w:rPr>
        <w:t xml:space="preserve"> </w:t>
      </w:r>
      <w:r>
        <w:rPr>
          <w:color w:val="57585A"/>
          <w:spacing w:val="-10"/>
          <w:sz w:val="20"/>
          <w:szCs w:val="20"/>
        </w:rPr>
        <w:t xml:space="preserve">growing short-term economic risks could threaten </w:t>
      </w:r>
      <w:r>
        <w:rPr>
          <w:color w:val="57585A"/>
          <w:spacing w:val="-11"/>
          <w:sz w:val="20"/>
          <w:szCs w:val="20"/>
        </w:rPr>
        <w:t>its standing over the next several quarters.</w:t>
      </w:r>
    </w:p>
    <w:p w14:paraId="189C5F89">
      <w:pPr>
        <w:pStyle w:val="4"/>
        <w:spacing w:line="305" w:lineRule="auto"/>
      </w:pPr>
    </w:p>
    <w:p w14:paraId="55862940">
      <w:pPr>
        <w:pStyle w:val="4"/>
        <w:spacing w:line="306" w:lineRule="auto"/>
      </w:pPr>
    </w:p>
    <w:p w14:paraId="0B461C62">
      <w:pPr>
        <w:pStyle w:val="4"/>
        <w:spacing w:before="70" w:line="234" w:lineRule="auto"/>
        <w:ind w:left="3448"/>
        <w:outlineLvl w:val="1"/>
        <w:rPr>
          <w:sz w:val="24"/>
          <w:szCs w:val="24"/>
        </w:rPr>
      </w:pPr>
      <w:r>
        <w:rPr>
          <w:color w:val="174174"/>
          <w:spacing w:val="-10"/>
          <w:sz w:val="24"/>
          <w:szCs w:val="24"/>
        </w:rPr>
        <w:t>Argentina Strongest On Indu</w:t>
      </w:r>
      <w:r>
        <w:rPr>
          <w:color w:val="174174"/>
          <w:spacing w:val="-11"/>
          <w:sz w:val="24"/>
          <w:szCs w:val="24"/>
        </w:rPr>
        <w:t>stry Rewards</w:t>
      </w:r>
    </w:p>
    <w:p w14:paraId="0AFC4CA2">
      <w:pPr>
        <w:pStyle w:val="4"/>
        <w:spacing w:before="33" w:line="231" w:lineRule="auto"/>
        <w:ind w:left="2773"/>
        <w:outlineLvl w:val="1"/>
        <w:rPr>
          <w:sz w:val="20"/>
          <w:szCs w:val="20"/>
        </w:rPr>
      </w:pPr>
      <w:r>
        <w:rPr>
          <w:color w:val="333333"/>
          <w:spacing w:val="-12"/>
          <w:sz w:val="20"/>
          <w:szCs w:val="20"/>
        </w:rPr>
        <w:t>Argentina &amp; LatAm - Upstream Country &amp; Industry Risk/Reward Index</w:t>
      </w:r>
    </w:p>
    <w:p w14:paraId="3B537D15">
      <w:pPr>
        <w:spacing w:before="96" w:line="4500" w:lineRule="exact"/>
        <w:ind w:firstLine="1862"/>
      </w:pPr>
      <w:r>
        <w:rPr>
          <w:position w:val="-89"/>
        </w:rPr>
        <w:drawing>
          <wp:inline distT="0" distB="0" distL="0" distR="0">
            <wp:extent cx="4572000" cy="2856865"/>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44"/>
                    <a:stretch>
                      <a:fillRect/>
                    </a:stretch>
                  </pic:blipFill>
                  <pic:spPr>
                    <a:xfrm>
                      <a:off x="0" y="0"/>
                      <a:ext cx="4572000" cy="2857499"/>
                    </a:xfrm>
                    <a:prstGeom prst="rect">
                      <a:avLst/>
                    </a:prstGeom>
                  </pic:spPr>
                </pic:pic>
              </a:graphicData>
            </a:graphic>
          </wp:inline>
        </w:drawing>
      </w:r>
    </w:p>
    <w:p w14:paraId="24B9FB68">
      <w:pPr>
        <w:pStyle w:val="4"/>
        <w:spacing w:before="149" w:line="235" w:lineRule="auto"/>
        <w:ind w:left="1874"/>
        <w:rPr>
          <w:sz w:val="15"/>
          <w:szCs w:val="15"/>
        </w:rPr>
      </w:pPr>
      <w:r>
        <w:drawing>
          <wp:anchor distT="0" distB="0" distL="0" distR="0" simplePos="0" relativeHeight="251904000"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4"/>
          <w:sz w:val="15"/>
          <w:szCs w:val="15"/>
        </w:rPr>
        <w:t>Note: Scores out</w:t>
      </w:r>
      <w:r>
        <w:rPr>
          <w:i/>
          <w:iCs/>
          <w:color w:val="333333"/>
          <w:spacing w:val="-10"/>
          <w:sz w:val="15"/>
          <w:szCs w:val="15"/>
        </w:rPr>
        <w:t xml:space="preserve"> </w:t>
      </w:r>
      <w:r>
        <w:rPr>
          <w:i/>
          <w:iCs/>
          <w:color w:val="333333"/>
          <w:spacing w:val="-5"/>
          <w:w w:val="94"/>
          <w:sz w:val="15"/>
          <w:szCs w:val="15"/>
        </w:rPr>
        <w:t>of</w:t>
      </w:r>
      <w:r>
        <w:rPr>
          <w:i/>
          <w:iCs/>
          <w:color w:val="333333"/>
          <w:spacing w:val="-11"/>
          <w:sz w:val="15"/>
          <w:szCs w:val="15"/>
        </w:rPr>
        <w:t xml:space="preserve"> </w:t>
      </w:r>
      <w:r>
        <w:rPr>
          <w:i/>
          <w:iCs/>
          <w:color w:val="333333"/>
          <w:spacing w:val="-5"/>
          <w:w w:val="94"/>
          <w:sz w:val="15"/>
          <w:szCs w:val="15"/>
        </w:rPr>
        <w:t>100, lower</w:t>
      </w:r>
      <w:r>
        <w:rPr>
          <w:i/>
          <w:iCs/>
          <w:color w:val="333333"/>
          <w:spacing w:val="-19"/>
          <w:sz w:val="15"/>
          <w:szCs w:val="15"/>
        </w:rPr>
        <w:t xml:space="preserve"> </w:t>
      </w:r>
      <w:r>
        <w:rPr>
          <w:i/>
          <w:iCs/>
          <w:color w:val="333333"/>
          <w:spacing w:val="-5"/>
          <w:w w:val="94"/>
          <w:sz w:val="15"/>
          <w:szCs w:val="15"/>
        </w:rPr>
        <w:t>score = more attractive mar</w:t>
      </w:r>
      <w:r>
        <w:rPr>
          <w:i/>
          <w:iCs/>
          <w:color w:val="333333"/>
          <w:spacing w:val="-6"/>
          <w:w w:val="94"/>
          <w:sz w:val="15"/>
          <w:szCs w:val="15"/>
        </w:rPr>
        <w:t>ket. Source: BMI Oil</w:t>
      </w:r>
      <w:r>
        <w:rPr>
          <w:i/>
          <w:iCs/>
          <w:color w:val="333333"/>
          <w:spacing w:val="-13"/>
          <w:sz w:val="15"/>
          <w:szCs w:val="15"/>
        </w:rPr>
        <w:t xml:space="preserve"> </w:t>
      </w:r>
      <w:r>
        <w:rPr>
          <w:i/>
          <w:iCs/>
          <w:color w:val="333333"/>
          <w:spacing w:val="-6"/>
          <w:w w:val="94"/>
          <w:sz w:val="15"/>
          <w:szCs w:val="15"/>
        </w:rPr>
        <w:t>&amp; Gas Upstream Risk/Rewards Index</w:t>
      </w:r>
    </w:p>
    <w:p w14:paraId="4932C61E">
      <w:pPr>
        <w:spacing w:line="235" w:lineRule="auto"/>
        <w:rPr>
          <w:sz w:val="15"/>
          <w:szCs w:val="15"/>
        </w:rPr>
        <w:sectPr>
          <w:footerReference r:id="rId64" w:type="default"/>
          <w:pgSz w:w="11906" w:h="16838"/>
          <w:pgMar w:top="400" w:right="490" w:bottom="883" w:left="490" w:header="0" w:footer="0" w:gutter="0"/>
          <w:cols w:space="720" w:num="1"/>
        </w:sectPr>
      </w:pPr>
    </w:p>
    <w:p w14:paraId="26EE1822">
      <w:pPr>
        <w:pStyle w:val="4"/>
        <w:spacing w:before="73" w:line="241" w:lineRule="auto"/>
        <w:ind w:left="7372"/>
        <w:rPr>
          <w:sz w:val="20"/>
          <w:szCs w:val="20"/>
        </w:rPr>
      </w:pPr>
      <w:r>
        <w:drawing>
          <wp:anchor distT="0" distB="0" distL="0" distR="0" simplePos="0" relativeHeight="25190809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09120" behindDoc="0" locked="0" layoutInCell="0" allowOverlap="1">
            <wp:simplePos x="0" y="0"/>
            <wp:positionH relativeFrom="page">
              <wp:posOffset>311150</wp:posOffset>
            </wp:positionH>
            <wp:positionV relativeFrom="page">
              <wp:posOffset>0</wp:posOffset>
            </wp:positionV>
            <wp:extent cx="19050" cy="814070"/>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B8F65FC">
      <w:pPr>
        <w:pStyle w:val="4"/>
        <w:spacing w:line="278" w:lineRule="auto"/>
      </w:pPr>
    </w:p>
    <w:p w14:paraId="08F7F7AE">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DD61B9D">
      <w:pPr>
        <w:pStyle w:val="4"/>
        <w:spacing w:line="428" w:lineRule="auto"/>
      </w:pPr>
    </w:p>
    <w:p w14:paraId="59E7A5C8">
      <w:pPr>
        <w:pStyle w:val="4"/>
        <w:spacing w:before="86" w:line="234" w:lineRule="auto"/>
        <w:ind w:left="359"/>
        <w:outlineLvl w:val="0"/>
        <w:rPr>
          <w:sz w:val="30"/>
          <w:szCs w:val="30"/>
        </w:rPr>
      </w:pPr>
      <w:bookmarkStart w:id="25" w:name="bookmark18"/>
      <w:bookmarkEnd w:id="25"/>
      <w:r>
        <w:rPr>
          <w:color w:val="2A8ABF"/>
          <w:spacing w:val="-15"/>
          <w:sz w:val="30"/>
          <w:szCs w:val="30"/>
        </w:rPr>
        <w:t>Argentina Downstream Oil &amp; Gas Risk/Reward Index</w:t>
      </w:r>
    </w:p>
    <w:p w14:paraId="1CFB2D56">
      <w:pPr>
        <w:pStyle w:val="4"/>
        <w:spacing w:line="266" w:lineRule="auto"/>
      </w:pPr>
    </w:p>
    <w:p w14:paraId="185C6D43">
      <w:pPr>
        <w:pStyle w:val="4"/>
        <w:spacing w:before="58" w:line="273" w:lineRule="auto"/>
        <w:ind w:left="373" w:right="653" w:firstLine="12"/>
        <w:rPr>
          <w:sz w:val="20"/>
          <w:szCs w:val="20"/>
        </w:rPr>
      </w:pPr>
      <w:r>
        <w:rPr>
          <w:b/>
          <w:bCs/>
          <w:i/>
          <w:iCs/>
          <w:color w:val="57585A"/>
          <w:spacing w:val="-7"/>
          <w:w w:val="96"/>
          <w:sz w:val="20"/>
          <w:szCs w:val="20"/>
        </w:rPr>
        <w:t>Key View:</w:t>
      </w:r>
      <w:r>
        <w:rPr>
          <w:b/>
          <w:bCs/>
          <w:i/>
          <w:iCs/>
          <w:color w:val="57585A"/>
          <w:spacing w:val="-25"/>
          <w:sz w:val="20"/>
          <w:szCs w:val="20"/>
        </w:rPr>
        <w:t xml:space="preserve"> </w:t>
      </w:r>
      <w:r>
        <w:rPr>
          <w:i/>
          <w:iCs/>
          <w:color w:val="57585A"/>
          <w:spacing w:val="-7"/>
          <w:w w:val="96"/>
          <w:sz w:val="20"/>
          <w:szCs w:val="20"/>
        </w:rPr>
        <w:t>Argentina continues to be a leading</w:t>
      </w:r>
      <w:r>
        <w:rPr>
          <w:i/>
          <w:iCs/>
          <w:color w:val="57585A"/>
          <w:spacing w:val="-16"/>
          <w:sz w:val="20"/>
          <w:szCs w:val="20"/>
        </w:rPr>
        <w:t xml:space="preserve"> </w:t>
      </w:r>
      <w:r>
        <w:rPr>
          <w:i/>
          <w:iCs/>
          <w:color w:val="57585A"/>
          <w:spacing w:val="-7"/>
          <w:w w:val="96"/>
          <w:sz w:val="20"/>
          <w:szCs w:val="20"/>
        </w:rPr>
        <w:t>market</w:t>
      </w:r>
      <w:r>
        <w:rPr>
          <w:i/>
          <w:iCs/>
          <w:color w:val="57585A"/>
          <w:spacing w:val="-18"/>
          <w:sz w:val="20"/>
          <w:szCs w:val="20"/>
        </w:rPr>
        <w:t xml:space="preserve"> </w:t>
      </w:r>
      <w:r>
        <w:rPr>
          <w:i/>
          <w:iCs/>
          <w:color w:val="57585A"/>
          <w:spacing w:val="-7"/>
          <w:w w:val="96"/>
          <w:sz w:val="20"/>
          <w:szCs w:val="20"/>
        </w:rPr>
        <w:t>in our</w:t>
      </w:r>
      <w:r>
        <w:rPr>
          <w:i/>
          <w:iCs/>
          <w:color w:val="57585A"/>
          <w:spacing w:val="-21"/>
          <w:sz w:val="20"/>
          <w:szCs w:val="20"/>
        </w:rPr>
        <w:t xml:space="preserve"> </w:t>
      </w:r>
      <w:r>
        <w:rPr>
          <w:i/>
          <w:iCs/>
          <w:color w:val="57585A"/>
          <w:spacing w:val="-7"/>
          <w:w w:val="96"/>
          <w:sz w:val="20"/>
          <w:szCs w:val="20"/>
        </w:rPr>
        <w:t>Downstream Risk/Reward</w:t>
      </w:r>
      <w:r>
        <w:rPr>
          <w:i/>
          <w:iCs/>
          <w:color w:val="57585A"/>
          <w:spacing w:val="-15"/>
          <w:sz w:val="20"/>
          <w:szCs w:val="20"/>
        </w:rPr>
        <w:t xml:space="preserve"> </w:t>
      </w:r>
      <w:r>
        <w:rPr>
          <w:i/>
          <w:iCs/>
          <w:color w:val="57585A"/>
          <w:spacing w:val="-7"/>
          <w:w w:val="96"/>
          <w:sz w:val="20"/>
          <w:szCs w:val="20"/>
        </w:rPr>
        <w:t>Index</w:t>
      </w:r>
      <w:r>
        <w:rPr>
          <w:i/>
          <w:iCs/>
          <w:color w:val="57585A"/>
          <w:spacing w:val="-8"/>
          <w:w w:val="96"/>
          <w:sz w:val="20"/>
          <w:szCs w:val="20"/>
        </w:rPr>
        <w:t>, maintaining</w:t>
      </w:r>
      <w:r>
        <w:rPr>
          <w:i/>
          <w:iCs/>
          <w:color w:val="57585A"/>
          <w:spacing w:val="-17"/>
          <w:sz w:val="20"/>
          <w:szCs w:val="20"/>
        </w:rPr>
        <w:t xml:space="preserve"> </w:t>
      </w:r>
      <w:r>
        <w:rPr>
          <w:i/>
          <w:iCs/>
          <w:color w:val="57585A"/>
          <w:spacing w:val="-8"/>
          <w:w w:val="96"/>
          <w:sz w:val="20"/>
          <w:szCs w:val="20"/>
        </w:rPr>
        <w:t>a high position in the</w:t>
      </w:r>
      <w:r>
        <w:rPr>
          <w:i/>
          <w:iCs/>
          <w:color w:val="57585A"/>
          <w:sz w:val="20"/>
          <w:szCs w:val="20"/>
        </w:rPr>
        <w:t xml:space="preserve"> </w:t>
      </w:r>
      <w:r>
        <w:rPr>
          <w:i/>
          <w:iCs/>
          <w:color w:val="57585A"/>
          <w:spacing w:val="-8"/>
          <w:w w:val="96"/>
          <w:sz w:val="20"/>
          <w:szCs w:val="20"/>
        </w:rPr>
        <w:t>regional</w:t>
      </w:r>
      <w:r>
        <w:rPr>
          <w:i/>
          <w:iCs/>
          <w:color w:val="57585A"/>
          <w:spacing w:val="-4"/>
          <w:sz w:val="20"/>
          <w:szCs w:val="20"/>
        </w:rPr>
        <w:t xml:space="preserve"> </w:t>
      </w:r>
      <w:r>
        <w:rPr>
          <w:i/>
          <w:iCs/>
          <w:color w:val="57585A"/>
          <w:spacing w:val="-8"/>
          <w:w w:val="96"/>
          <w:sz w:val="20"/>
          <w:szCs w:val="20"/>
        </w:rPr>
        <w:t>rankings this quarter, in third</w:t>
      </w:r>
      <w:r>
        <w:rPr>
          <w:i/>
          <w:iCs/>
          <w:color w:val="57585A"/>
          <w:spacing w:val="-25"/>
          <w:sz w:val="20"/>
          <w:szCs w:val="20"/>
        </w:rPr>
        <w:t xml:space="preserve"> </w:t>
      </w:r>
      <w:r>
        <w:rPr>
          <w:i/>
          <w:iCs/>
          <w:color w:val="57585A"/>
          <w:spacing w:val="-8"/>
          <w:w w:val="96"/>
          <w:sz w:val="20"/>
          <w:szCs w:val="20"/>
        </w:rPr>
        <w:t>position.</w:t>
      </w:r>
      <w:r>
        <w:rPr>
          <w:i/>
          <w:iCs/>
          <w:color w:val="57585A"/>
          <w:spacing w:val="6"/>
          <w:sz w:val="20"/>
          <w:szCs w:val="20"/>
        </w:rPr>
        <w:t xml:space="preserve"> </w:t>
      </w:r>
      <w:r>
        <w:rPr>
          <w:i/>
          <w:iCs/>
          <w:color w:val="57585A"/>
          <w:spacing w:val="-8"/>
          <w:w w:val="96"/>
          <w:sz w:val="20"/>
          <w:szCs w:val="20"/>
        </w:rPr>
        <w:t>On the Rewards side, Argentina benefits from a large domestic market, well-</w:t>
      </w:r>
    </w:p>
    <w:p w14:paraId="5A55F2BE">
      <w:pPr>
        <w:pStyle w:val="4"/>
        <w:spacing w:before="35" w:line="280" w:lineRule="auto"/>
        <w:ind w:left="373" w:right="676" w:firstLine="4"/>
        <w:rPr>
          <w:sz w:val="20"/>
          <w:szCs w:val="20"/>
        </w:rPr>
      </w:pPr>
      <w:r>
        <w:rPr>
          <w:i/>
          <w:iCs/>
          <w:color w:val="57585A"/>
          <w:spacing w:val="-7"/>
          <w:w w:val="96"/>
          <w:sz w:val="20"/>
          <w:szCs w:val="20"/>
        </w:rPr>
        <w:t>developed</w:t>
      </w:r>
      <w:r>
        <w:rPr>
          <w:i/>
          <w:iCs/>
          <w:color w:val="57585A"/>
          <w:spacing w:val="-17"/>
          <w:sz w:val="20"/>
          <w:szCs w:val="20"/>
        </w:rPr>
        <w:t xml:space="preserve"> </w:t>
      </w:r>
      <w:r>
        <w:rPr>
          <w:i/>
          <w:iCs/>
          <w:color w:val="57585A"/>
          <w:spacing w:val="-7"/>
          <w:w w:val="96"/>
          <w:sz w:val="20"/>
          <w:szCs w:val="20"/>
        </w:rPr>
        <w:t>refining capacity, and</w:t>
      </w:r>
      <w:r>
        <w:rPr>
          <w:i/>
          <w:iCs/>
          <w:color w:val="57585A"/>
          <w:spacing w:val="-20"/>
          <w:sz w:val="20"/>
          <w:szCs w:val="20"/>
        </w:rPr>
        <w:t xml:space="preserve"> </w:t>
      </w:r>
      <w:r>
        <w:rPr>
          <w:i/>
          <w:iCs/>
          <w:color w:val="57585A"/>
          <w:spacing w:val="-7"/>
          <w:w w:val="96"/>
          <w:sz w:val="20"/>
          <w:szCs w:val="20"/>
        </w:rPr>
        <w:t>strong utilisation rates. However, its s</w:t>
      </w:r>
      <w:r>
        <w:rPr>
          <w:i/>
          <w:iCs/>
          <w:color w:val="57585A"/>
          <w:spacing w:val="-8"/>
          <w:w w:val="96"/>
          <w:sz w:val="20"/>
          <w:szCs w:val="20"/>
        </w:rPr>
        <w:t>cores remain affected</w:t>
      </w:r>
      <w:r>
        <w:rPr>
          <w:i/>
          <w:iCs/>
          <w:color w:val="57585A"/>
          <w:spacing w:val="-17"/>
          <w:sz w:val="20"/>
          <w:szCs w:val="20"/>
        </w:rPr>
        <w:t xml:space="preserve"> </w:t>
      </w:r>
      <w:r>
        <w:rPr>
          <w:i/>
          <w:iCs/>
          <w:color w:val="57585A"/>
          <w:spacing w:val="-8"/>
          <w:w w:val="96"/>
          <w:sz w:val="20"/>
          <w:szCs w:val="20"/>
        </w:rPr>
        <w:t>by</w:t>
      </w:r>
      <w:r>
        <w:rPr>
          <w:i/>
          <w:iCs/>
          <w:color w:val="57585A"/>
          <w:spacing w:val="-24"/>
          <w:sz w:val="20"/>
          <w:szCs w:val="20"/>
        </w:rPr>
        <w:t xml:space="preserve"> </w:t>
      </w:r>
      <w:r>
        <w:rPr>
          <w:i/>
          <w:iCs/>
          <w:color w:val="57585A"/>
          <w:spacing w:val="-8"/>
          <w:w w:val="96"/>
          <w:sz w:val="20"/>
          <w:szCs w:val="20"/>
        </w:rPr>
        <w:t>a weak economic outlook that</w:t>
      </w:r>
      <w:r>
        <w:rPr>
          <w:i/>
          <w:iCs/>
          <w:color w:val="57585A"/>
          <w:sz w:val="20"/>
          <w:szCs w:val="20"/>
        </w:rPr>
        <w:t xml:space="preserve">   </w:t>
      </w:r>
      <w:r>
        <w:rPr>
          <w:i/>
          <w:iCs/>
          <w:color w:val="57585A"/>
          <w:spacing w:val="-7"/>
          <w:w w:val="96"/>
          <w:sz w:val="20"/>
          <w:szCs w:val="20"/>
        </w:rPr>
        <w:t>impacts fuel demand</w:t>
      </w:r>
      <w:r>
        <w:rPr>
          <w:i/>
          <w:iCs/>
          <w:color w:val="57585A"/>
          <w:spacing w:val="-18"/>
          <w:sz w:val="20"/>
          <w:szCs w:val="20"/>
        </w:rPr>
        <w:t xml:space="preserve"> </w:t>
      </w:r>
      <w:r>
        <w:rPr>
          <w:i/>
          <w:iCs/>
          <w:color w:val="57585A"/>
          <w:spacing w:val="-7"/>
          <w:w w:val="96"/>
          <w:sz w:val="20"/>
          <w:szCs w:val="20"/>
        </w:rPr>
        <w:t>and</w:t>
      </w:r>
      <w:r>
        <w:rPr>
          <w:i/>
          <w:iCs/>
          <w:color w:val="57585A"/>
          <w:spacing w:val="-26"/>
          <w:sz w:val="20"/>
          <w:szCs w:val="20"/>
        </w:rPr>
        <w:t xml:space="preserve"> </w:t>
      </w:r>
      <w:r>
        <w:rPr>
          <w:i/>
          <w:iCs/>
          <w:color w:val="57585A"/>
          <w:spacing w:val="-7"/>
          <w:w w:val="96"/>
          <w:sz w:val="20"/>
          <w:szCs w:val="20"/>
        </w:rPr>
        <w:t>growth, t</w:t>
      </w:r>
      <w:r>
        <w:rPr>
          <w:i/>
          <w:iCs/>
          <w:color w:val="57585A"/>
          <w:spacing w:val="-8"/>
          <w:w w:val="96"/>
          <w:sz w:val="20"/>
          <w:szCs w:val="20"/>
        </w:rPr>
        <w:t>hough improvements are expected</w:t>
      </w:r>
      <w:r>
        <w:rPr>
          <w:i/>
          <w:iCs/>
          <w:color w:val="57585A"/>
          <w:spacing w:val="-17"/>
          <w:sz w:val="20"/>
          <w:szCs w:val="20"/>
        </w:rPr>
        <w:t xml:space="preserve"> </w:t>
      </w:r>
      <w:r>
        <w:rPr>
          <w:i/>
          <w:iCs/>
          <w:color w:val="57585A"/>
          <w:spacing w:val="-8"/>
          <w:w w:val="96"/>
          <w:sz w:val="20"/>
          <w:szCs w:val="20"/>
        </w:rPr>
        <w:t>in 2025 and</w:t>
      </w:r>
      <w:r>
        <w:rPr>
          <w:i/>
          <w:iCs/>
          <w:color w:val="57585A"/>
          <w:spacing w:val="-18"/>
          <w:sz w:val="20"/>
          <w:szCs w:val="20"/>
        </w:rPr>
        <w:t xml:space="preserve"> </w:t>
      </w:r>
      <w:r>
        <w:rPr>
          <w:i/>
          <w:iCs/>
          <w:color w:val="57585A"/>
          <w:spacing w:val="-8"/>
          <w:w w:val="96"/>
          <w:sz w:val="20"/>
          <w:szCs w:val="20"/>
        </w:rPr>
        <w:t>2026.</w:t>
      </w:r>
      <w:r>
        <w:rPr>
          <w:i/>
          <w:iCs/>
          <w:color w:val="57585A"/>
          <w:spacing w:val="7"/>
          <w:sz w:val="20"/>
          <w:szCs w:val="20"/>
        </w:rPr>
        <w:t xml:space="preserve"> </w:t>
      </w:r>
      <w:r>
        <w:rPr>
          <w:i/>
          <w:iCs/>
          <w:color w:val="57585A"/>
          <w:spacing w:val="-8"/>
          <w:w w:val="96"/>
          <w:sz w:val="20"/>
          <w:szCs w:val="20"/>
        </w:rPr>
        <w:t>On the Risks</w:t>
      </w:r>
      <w:r>
        <w:rPr>
          <w:i/>
          <w:iCs/>
          <w:color w:val="57585A"/>
          <w:spacing w:val="-15"/>
          <w:sz w:val="20"/>
          <w:szCs w:val="20"/>
        </w:rPr>
        <w:t xml:space="preserve"> </w:t>
      </w:r>
      <w:r>
        <w:rPr>
          <w:i/>
          <w:iCs/>
          <w:color w:val="57585A"/>
          <w:spacing w:val="-8"/>
          <w:w w:val="96"/>
          <w:sz w:val="20"/>
          <w:szCs w:val="20"/>
        </w:rPr>
        <w:t>side, Argentina's</w:t>
      </w:r>
      <w:r>
        <w:rPr>
          <w:i/>
          <w:iCs/>
          <w:color w:val="57585A"/>
          <w:spacing w:val="-21"/>
          <w:sz w:val="20"/>
          <w:szCs w:val="20"/>
        </w:rPr>
        <w:t xml:space="preserve"> </w:t>
      </w:r>
      <w:r>
        <w:rPr>
          <w:i/>
          <w:iCs/>
          <w:color w:val="57585A"/>
          <w:spacing w:val="-8"/>
          <w:w w:val="96"/>
          <w:sz w:val="20"/>
          <w:szCs w:val="20"/>
        </w:rPr>
        <w:t>profile is</w:t>
      </w:r>
      <w:r>
        <w:rPr>
          <w:i/>
          <w:iCs/>
          <w:color w:val="57585A"/>
          <w:sz w:val="20"/>
          <w:szCs w:val="20"/>
        </w:rPr>
        <w:t xml:space="preserve"> </w:t>
      </w:r>
      <w:r>
        <w:rPr>
          <w:i/>
          <w:iCs/>
          <w:color w:val="57585A"/>
          <w:spacing w:val="-5"/>
          <w:w w:val="96"/>
          <w:sz w:val="20"/>
          <w:szCs w:val="20"/>
        </w:rPr>
        <w:t>weaker</w:t>
      </w:r>
      <w:r>
        <w:rPr>
          <w:i/>
          <w:iCs/>
          <w:color w:val="57585A"/>
          <w:spacing w:val="-19"/>
          <w:sz w:val="20"/>
          <w:szCs w:val="20"/>
        </w:rPr>
        <w:t xml:space="preserve"> </w:t>
      </w:r>
      <w:r>
        <w:rPr>
          <w:i/>
          <w:iCs/>
          <w:color w:val="57585A"/>
          <w:spacing w:val="-5"/>
          <w:w w:val="96"/>
          <w:sz w:val="20"/>
          <w:szCs w:val="20"/>
        </w:rPr>
        <w:t>due to significant</w:t>
      </w:r>
      <w:r>
        <w:rPr>
          <w:i/>
          <w:iCs/>
          <w:color w:val="57585A"/>
          <w:spacing w:val="-21"/>
          <w:sz w:val="20"/>
          <w:szCs w:val="20"/>
        </w:rPr>
        <w:t xml:space="preserve"> </w:t>
      </w:r>
      <w:r>
        <w:rPr>
          <w:i/>
          <w:iCs/>
          <w:color w:val="57585A"/>
          <w:spacing w:val="-5"/>
          <w:w w:val="96"/>
          <w:sz w:val="20"/>
          <w:szCs w:val="20"/>
        </w:rPr>
        <w:t>short-term economic and</w:t>
      </w:r>
      <w:r>
        <w:rPr>
          <w:i/>
          <w:iCs/>
          <w:color w:val="57585A"/>
          <w:spacing w:val="-26"/>
          <w:sz w:val="20"/>
          <w:szCs w:val="20"/>
        </w:rPr>
        <w:t xml:space="preserve"> </w:t>
      </w:r>
      <w:r>
        <w:rPr>
          <w:i/>
          <w:iCs/>
          <w:color w:val="57585A"/>
          <w:spacing w:val="-5"/>
          <w:w w:val="96"/>
          <w:sz w:val="20"/>
          <w:szCs w:val="20"/>
        </w:rPr>
        <w:t>p</w:t>
      </w:r>
      <w:r>
        <w:rPr>
          <w:i/>
          <w:iCs/>
          <w:color w:val="57585A"/>
          <w:spacing w:val="-6"/>
          <w:w w:val="96"/>
          <w:sz w:val="20"/>
          <w:szCs w:val="20"/>
        </w:rPr>
        <w:t>olitical</w:t>
      </w:r>
      <w:r>
        <w:rPr>
          <w:i/>
          <w:iCs/>
          <w:color w:val="57585A"/>
          <w:spacing w:val="-16"/>
          <w:sz w:val="20"/>
          <w:szCs w:val="20"/>
        </w:rPr>
        <w:t xml:space="preserve"> </w:t>
      </w:r>
      <w:r>
        <w:rPr>
          <w:i/>
          <w:iCs/>
          <w:color w:val="57585A"/>
          <w:spacing w:val="-6"/>
          <w:w w:val="96"/>
          <w:sz w:val="20"/>
          <w:szCs w:val="20"/>
        </w:rPr>
        <w:t>risks that</w:t>
      </w:r>
      <w:r>
        <w:rPr>
          <w:i/>
          <w:iCs/>
          <w:color w:val="57585A"/>
          <w:spacing w:val="-14"/>
          <w:sz w:val="20"/>
          <w:szCs w:val="20"/>
        </w:rPr>
        <w:t xml:space="preserve"> </w:t>
      </w:r>
      <w:r>
        <w:rPr>
          <w:i/>
          <w:iCs/>
          <w:color w:val="57585A"/>
          <w:spacing w:val="-6"/>
          <w:w w:val="96"/>
          <w:sz w:val="20"/>
          <w:szCs w:val="20"/>
        </w:rPr>
        <w:t>could</w:t>
      </w:r>
      <w:r>
        <w:rPr>
          <w:i/>
          <w:iCs/>
          <w:color w:val="57585A"/>
          <w:spacing w:val="-18"/>
          <w:sz w:val="20"/>
          <w:szCs w:val="20"/>
        </w:rPr>
        <w:t xml:space="preserve"> </w:t>
      </w:r>
      <w:r>
        <w:rPr>
          <w:i/>
          <w:iCs/>
          <w:color w:val="57585A"/>
          <w:spacing w:val="-6"/>
          <w:w w:val="96"/>
          <w:sz w:val="20"/>
          <w:szCs w:val="20"/>
        </w:rPr>
        <w:t>affect</w:t>
      </w:r>
      <w:r>
        <w:rPr>
          <w:i/>
          <w:iCs/>
          <w:color w:val="57585A"/>
          <w:spacing w:val="-15"/>
          <w:sz w:val="20"/>
          <w:szCs w:val="20"/>
        </w:rPr>
        <w:t xml:space="preserve"> </w:t>
      </w:r>
      <w:r>
        <w:rPr>
          <w:i/>
          <w:iCs/>
          <w:color w:val="57585A"/>
          <w:spacing w:val="-6"/>
          <w:w w:val="96"/>
          <w:sz w:val="20"/>
          <w:szCs w:val="20"/>
        </w:rPr>
        <w:t>consumption.</w:t>
      </w:r>
    </w:p>
    <w:p w14:paraId="32E11087">
      <w:pPr>
        <w:pStyle w:val="4"/>
        <w:spacing w:line="295" w:lineRule="auto"/>
      </w:pPr>
    </w:p>
    <w:p w14:paraId="54D4FAAF">
      <w:pPr>
        <w:pStyle w:val="4"/>
        <w:spacing w:line="295" w:lineRule="auto"/>
      </w:pPr>
    </w:p>
    <w:p w14:paraId="2AE417B2">
      <w:pPr>
        <w:pStyle w:val="4"/>
        <w:spacing w:before="69" w:line="234" w:lineRule="auto"/>
        <w:ind w:left="3350"/>
        <w:outlineLvl w:val="1"/>
        <w:rPr>
          <w:sz w:val="24"/>
          <w:szCs w:val="24"/>
        </w:rPr>
      </w:pPr>
      <w:r>
        <w:rPr>
          <w:color w:val="174174"/>
          <w:spacing w:val="-8"/>
          <w:sz w:val="24"/>
          <w:szCs w:val="24"/>
        </w:rPr>
        <w:t>Strong Downstream Infrastructure Network</w:t>
      </w:r>
    </w:p>
    <w:p w14:paraId="3D8703E3">
      <w:pPr>
        <w:pStyle w:val="4"/>
        <w:spacing w:before="32" w:line="231" w:lineRule="auto"/>
        <w:ind w:left="2804"/>
        <w:outlineLvl w:val="1"/>
        <w:rPr>
          <w:sz w:val="20"/>
          <w:szCs w:val="20"/>
        </w:rPr>
      </w:pPr>
      <w:r>
        <w:rPr>
          <w:color w:val="333333"/>
          <w:spacing w:val="-12"/>
          <w:sz w:val="20"/>
          <w:szCs w:val="20"/>
        </w:rPr>
        <w:t>Argentina &amp; LatAm - D</w:t>
      </w:r>
      <w:r>
        <w:rPr>
          <w:color w:val="333333"/>
          <w:spacing w:val="-13"/>
          <w:sz w:val="20"/>
          <w:szCs w:val="20"/>
        </w:rPr>
        <w:t>ownstream Risk/Reward Index By Component</w:t>
      </w:r>
    </w:p>
    <w:p w14:paraId="4295E0B5">
      <w:pPr>
        <w:spacing w:before="96" w:line="4500" w:lineRule="exact"/>
        <w:ind w:firstLine="1862"/>
      </w:pPr>
      <w:r>
        <w:rPr>
          <w:position w:val="-90"/>
        </w:rPr>
        <w:drawing>
          <wp:inline distT="0" distB="0" distL="0" distR="0">
            <wp:extent cx="4572000" cy="285750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145"/>
                    <a:stretch>
                      <a:fillRect/>
                    </a:stretch>
                  </pic:blipFill>
                  <pic:spPr>
                    <a:xfrm>
                      <a:off x="0" y="0"/>
                      <a:ext cx="4572000" cy="2857500"/>
                    </a:xfrm>
                    <a:prstGeom prst="rect">
                      <a:avLst/>
                    </a:prstGeom>
                  </pic:spPr>
                </pic:pic>
              </a:graphicData>
            </a:graphic>
          </wp:inline>
        </w:drawing>
      </w:r>
    </w:p>
    <w:p w14:paraId="4B4EF9C8">
      <w:pPr>
        <w:pStyle w:val="4"/>
        <w:spacing w:before="149" w:line="178" w:lineRule="exact"/>
        <w:ind w:left="1874"/>
        <w:rPr>
          <w:sz w:val="15"/>
          <w:szCs w:val="15"/>
        </w:rPr>
      </w:pPr>
      <w:r>
        <w:drawing>
          <wp:anchor distT="0" distB="0" distL="0" distR="0" simplePos="0" relativeHeight="25190707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5"/>
          <w:position w:val="1"/>
          <w:sz w:val="15"/>
          <w:szCs w:val="15"/>
        </w:rPr>
        <w:t>Note: Scores out</w:t>
      </w:r>
      <w:r>
        <w:rPr>
          <w:i/>
          <w:iCs/>
          <w:color w:val="333333"/>
          <w:spacing w:val="-10"/>
          <w:position w:val="1"/>
          <w:sz w:val="15"/>
          <w:szCs w:val="15"/>
        </w:rPr>
        <w:t xml:space="preserve"> </w:t>
      </w:r>
      <w:r>
        <w:rPr>
          <w:i/>
          <w:iCs/>
          <w:color w:val="333333"/>
          <w:spacing w:val="-5"/>
          <w:w w:val="95"/>
          <w:position w:val="1"/>
          <w:sz w:val="15"/>
          <w:szCs w:val="15"/>
        </w:rPr>
        <w:t>of</w:t>
      </w:r>
      <w:r>
        <w:rPr>
          <w:i/>
          <w:iCs/>
          <w:color w:val="333333"/>
          <w:spacing w:val="-11"/>
          <w:position w:val="1"/>
          <w:sz w:val="15"/>
          <w:szCs w:val="15"/>
        </w:rPr>
        <w:t xml:space="preserve"> </w:t>
      </w:r>
      <w:r>
        <w:rPr>
          <w:i/>
          <w:iCs/>
          <w:color w:val="333333"/>
          <w:spacing w:val="-5"/>
          <w:w w:val="95"/>
          <w:position w:val="1"/>
          <w:sz w:val="15"/>
          <w:szCs w:val="15"/>
        </w:rPr>
        <w:t>100, lower</w:t>
      </w:r>
      <w:r>
        <w:rPr>
          <w:i/>
          <w:iCs/>
          <w:color w:val="333333"/>
          <w:spacing w:val="-19"/>
          <w:position w:val="1"/>
          <w:sz w:val="15"/>
          <w:szCs w:val="15"/>
        </w:rPr>
        <w:t xml:space="preserve"> </w:t>
      </w:r>
      <w:r>
        <w:rPr>
          <w:i/>
          <w:iCs/>
          <w:color w:val="333333"/>
          <w:spacing w:val="-5"/>
          <w:w w:val="95"/>
          <w:position w:val="1"/>
          <w:sz w:val="15"/>
          <w:szCs w:val="15"/>
        </w:rPr>
        <w:t>sc</w:t>
      </w:r>
      <w:r>
        <w:rPr>
          <w:i/>
          <w:iCs/>
          <w:color w:val="333333"/>
          <w:spacing w:val="-6"/>
          <w:w w:val="95"/>
          <w:position w:val="1"/>
          <w:sz w:val="15"/>
          <w:szCs w:val="15"/>
        </w:rPr>
        <w:t>ore = more attractive market. Source: BMI Downstream Risk/Reward Index</w:t>
      </w:r>
    </w:p>
    <w:p w14:paraId="067152E9">
      <w:pPr>
        <w:pStyle w:val="4"/>
        <w:spacing w:line="355" w:lineRule="auto"/>
      </w:pPr>
    </w:p>
    <w:p w14:paraId="0779E68F">
      <w:pPr>
        <w:pStyle w:val="4"/>
        <w:spacing w:before="57" w:line="241" w:lineRule="auto"/>
        <w:ind w:left="368"/>
        <w:rPr>
          <w:sz w:val="20"/>
          <w:szCs w:val="20"/>
        </w:rPr>
      </w:pPr>
      <w:r>
        <w:rPr>
          <w:b/>
          <w:bCs/>
          <w:color w:val="57585A"/>
          <w:spacing w:val="-11"/>
          <w:sz w:val="20"/>
          <w:szCs w:val="20"/>
        </w:rPr>
        <w:t>Global</w:t>
      </w:r>
      <w:r>
        <w:rPr>
          <w:b/>
          <w:bCs/>
          <w:color w:val="57585A"/>
          <w:spacing w:val="-6"/>
          <w:sz w:val="20"/>
          <w:szCs w:val="20"/>
        </w:rPr>
        <w:t xml:space="preserve"> </w:t>
      </w:r>
      <w:r>
        <w:rPr>
          <w:b/>
          <w:bCs/>
          <w:color w:val="57585A"/>
          <w:spacing w:val="-11"/>
          <w:sz w:val="20"/>
          <w:szCs w:val="20"/>
        </w:rPr>
        <w:t>And Regional Rankings</w:t>
      </w:r>
    </w:p>
    <w:p w14:paraId="5F5E2DDB">
      <w:pPr>
        <w:pStyle w:val="4"/>
        <w:spacing w:line="280" w:lineRule="auto"/>
      </w:pPr>
    </w:p>
    <w:p w14:paraId="20592EBC">
      <w:pPr>
        <w:pStyle w:val="4"/>
        <w:spacing w:before="58" w:line="234" w:lineRule="auto"/>
        <w:ind w:left="357"/>
        <w:rPr>
          <w:sz w:val="20"/>
          <w:szCs w:val="20"/>
        </w:rPr>
      </w:pPr>
      <w:r>
        <w:rPr>
          <w:color w:val="33CCFF"/>
          <w:spacing w:val="-11"/>
          <w:sz w:val="20"/>
          <w:szCs w:val="20"/>
        </w:rPr>
        <w:t>•</w:t>
      </w:r>
      <w:r>
        <w:rPr>
          <w:color w:val="33CCFF"/>
          <w:spacing w:val="3"/>
          <w:sz w:val="20"/>
          <w:szCs w:val="20"/>
        </w:rPr>
        <w:t xml:space="preserve">   </w:t>
      </w:r>
      <w:r>
        <w:rPr>
          <w:color w:val="57585A"/>
          <w:spacing w:val="-11"/>
          <w:sz w:val="20"/>
          <w:szCs w:val="20"/>
        </w:rPr>
        <w:t>Regional rank (out of 10): 3</w:t>
      </w:r>
      <w:r>
        <w:rPr>
          <w:color w:val="57585A"/>
          <w:spacing w:val="-12"/>
          <w:sz w:val="20"/>
          <w:szCs w:val="20"/>
        </w:rPr>
        <w:t>rd</w:t>
      </w:r>
    </w:p>
    <w:p w14:paraId="1ED0F76A">
      <w:pPr>
        <w:pStyle w:val="4"/>
        <w:spacing w:before="56" w:line="234" w:lineRule="auto"/>
        <w:ind w:left="357"/>
        <w:rPr>
          <w:sz w:val="20"/>
          <w:szCs w:val="20"/>
        </w:rPr>
      </w:pPr>
      <w:r>
        <w:rPr>
          <w:color w:val="33CCFF"/>
          <w:spacing w:val="-10"/>
          <w:sz w:val="20"/>
          <w:szCs w:val="20"/>
        </w:rPr>
        <w:t>•</w:t>
      </w:r>
      <w:r>
        <w:rPr>
          <w:color w:val="33CCFF"/>
          <w:spacing w:val="1"/>
          <w:sz w:val="20"/>
          <w:szCs w:val="20"/>
        </w:rPr>
        <w:t xml:space="preserve">   </w:t>
      </w:r>
      <w:r>
        <w:rPr>
          <w:color w:val="57585A"/>
          <w:spacing w:val="-10"/>
          <w:sz w:val="20"/>
          <w:szCs w:val="20"/>
        </w:rPr>
        <w:t>Global rank (out of 92</w:t>
      </w:r>
      <w:r>
        <w:rPr>
          <w:color w:val="57585A"/>
          <w:spacing w:val="-11"/>
          <w:sz w:val="20"/>
          <w:szCs w:val="20"/>
        </w:rPr>
        <w:t>): 25th</w:t>
      </w:r>
    </w:p>
    <w:p w14:paraId="18F64056">
      <w:pPr>
        <w:pStyle w:val="4"/>
        <w:spacing w:line="284" w:lineRule="auto"/>
      </w:pPr>
    </w:p>
    <w:p w14:paraId="7DE06D32">
      <w:pPr>
        <w:pStyle w:val="4"/>
        <w:spacing w:line="284" w:lineRule="auto"/>
      </w:pPr>
    </w:p>
    <w:p w14:paraId="32F46DBA">
      <w:pPr>
        <w:pStyle w:val="4"/>
        <w:spacing w:before="58" w:line="241" w:lineRule="auto"/>
        <w:ind w:left="375"/>
        <w:rPr>
          <w:sz w:val="20"/>
          <w:szCs w:val="20"/>
        </w:rPr>
      </w:pPr>
      <w:r>
        <w:rPr>
          <w:b/>
          <w:bCs/>
          <w:color w:val="57585A"/>
          <w:spacing w:val="-7"/>
          <w:sz w:val="20"/>
          <w:szCs w:val="20"/>
        </w:rPr>
        <w:t>Latest UpdatesAnd Key</w:t>
      </w:r>
      <w:r>
        <w:rPr>
          <w:b/>
          <w:bCs/>
          <w:color w:val="57585A"/>
          <w:spacing w:val="-8"/>
          <w:sz w:val="20"/>
          <w:szCs w:val="20"/>
        </w:rPr>
        <w:t xml:space="preserve"> Features</w:t>
      </w:r>
    </w:p>
    <w:p w14:paraId="37A6BAB8">
      <w:pPr>
        <w:pStyle w:val="4"/>
        <w:spacing w:line="280" w:lineRule="auto"/>
      </w:pPr>
    </w:p>
    <w:p w14:paraId="13E61709">
      <w:pPr>
        <w:pStyle w:val="4"/>
        <w:spacing w:before="57" w:line="273" w:lineRule="auto"/>
        <w:ind w:left="607" w:right="539" w:hanging="250"/>
        <w:rPr>
          <w:sz w:val="20"/>
          <w:szCs w:val="20"/>
        </w:rPr>
      </w:pPr>
      <w:r>
        <w:rPr>
          <w:color w:val="33CCFF"/>
          <w:spacing w:val="-12"/>
          <w:sz w:val="20"/>
          <w:szCs w:val="20"/>
        </w:rPr>
        <w:t xml:space="preserve">•   </w:t>
      </w:r>
      <w:r>
        <w:rPr>
          <w:color w:val="57585A"/>
          <w:spacing w:val="-12"/>
          <w:sz w:val="20"/>
          <w:szCs w:val="20"/>
        </w:rPr>
        <w:t>Argentina maintains a positive overall performance in our global</w:t>
      </w:r>
      <w:r>
        <w:rPr>
          <w:color w:val="57585A"/>
          <w:spacing w:val="1"/>
          <w:sz w:val="20"/>
          <w:szCs w:val="20"/>
        </w:rPr>
        <w:t xml:space="preserve"> </w:t>
      </w:r>
      <w:r>
        <w:rPr>
          <w:color w:val="57585A"/>
          <w:spacing w:val="-12"/>
          <w:sz w:val="20"/>
          <w:szCs w:val="20"/>
        </w:rPr>
        <w:t>Downstream</w:t>
      </w:r>
      <w:r>
        <w:rPr>
          <w:color w:val="57585A"/>
          <w:sz w:val="20"/>
          <w:szCs w:val="20"/>
        </w:rPr>
        <w:t xml:space="preserve"> </w:t>
      </w:r>
      <w:r>
        <w:rPr>
          <w:color w:val="57585A"/>
          <w:spacing w:val="-12"/>
          <w:sz w:val="20"/>
          <w:szCs w:val="20"/>
        </w:rPr>
        <w:t>Risk/Reward</w:t>
      </w:r>
      <w:r>
        <w:rPr>
          <w:color w:val="57585A"/>
          <w:spacing w:val="1"/>
          <w:sz w:val="20"/>
          <w:szCs w:val="20"/>
        </w:rPr>
        <w:t xml:space="preserve"> </w:t>
      </w:r>
      <w:r>
        <w:rPr>
          <w:color w:val="57585A"/>
          <w:spacing w:val="-12"/>
          <w:sz w:val="20"/>
          <w:szCs w:val="20"/>
        </w:rPr>
        <w:t>Index (</w:t>
      </w:r>
      <w:r>
        <w:rPr>
          <w:color w:val="57585A"/>
          <w:spacing w:val="-13"/>
          <w:sz w:val="20"/>
          <w:szCs w:val="20"/>
        </w:rPr>
        <w:t>RRI). Scores are strongest on</w:t>
      </w:r>
      <w:r>
        <w:rPr>
          <w:color w:val="57585A"/>
          <w:sz w:val="20"/>
          <w:szCs w:val="20"/>
        </w:rPr>
        <w:t xml:space="preserve"> </w:t>
      </w:r>
      <w:r>
        <w:rPr>
          <w:color w:val="57585A"/>
          <w:spacing w:val="-13"/>
          <w:sz w:val="20"/>
          <w:szCs w:val="20"/>
        </w:rPr>
        <w:t>the Rewards side ofthe RRI, with Risks scores close to regional averages. This quarter, Argentina ranks third in the regional RRI,</w:t>
      </w:r>
      <w:r>
        <w:rPr>
          <w:color w:val="57585A"/>
          <w:spacing w:val="2"/>
          <w:sz w:val="20"/>
          <w:szCs w:val="20"/>
        </w:rPr>
        <w:t xml:space="preserve"> </w:t>
      </w:r>
      <w:r>
        <w:rPr>
          <w:color w:val="57585A"/>
          <w:spacing w:val="-10"/>
          <w:sz w:val="20"/>
          <w:szCs w:val="20"/>
        </w:rPr>
        <w:t>stable</w:t>
      </w:r>
      <w:r>
        <w:rPr>
          <w:color w:val="57585A"/>
          <w:spacing w:val="-12"/>
          <w:sz w:val="20"/>
          <w:szCs w:val="20"/>
        </w:rPr>
        <w:t xml:space="preserve"> </w:t>
      </w:r>
      <w:r>
        <w:rPr>
          <w:color w:val="57585A"/>
          <w:spacing w:val="-10"/>
          <w:sz w:val="20"/>
          <w:szCs w:val="20"/>
        </w:rPr>
        <w:t>from last quarte</w:t>
      </w:r>
      <w:r>
        <w:rPr>
          <w:color w:val="57585A"/>
          <w:spacing w:val="-11"/>
          <w:sz w:val="20"/>
          <w:szCs w:val="20"/>
        </w:rPr>
        <w:t>r.</w:t>
      </w:r>
    </w:p>
    <w:p w14:paraId="3D295D24">
      <w:pPr>
        <w:pStyle w:val="4"/>
        <w:spacing w:before="56" w:line="272" w:lineRule="auto"/>
        <w:ind w:left="604" w:right="810" w:hanging="247"/>
        <w:rPr>
          <w:sz w:val="20"/>
          <w:szCs w:val="20"/>
        </w:rPr>
      </w:pPr>
      <w:r>
        <w:rPr>
          <w:color w:val="33CCFF"/>
          <w:spacing w:val="-11"/>
          <w:sz w:val="20"/>
          <w:szCs w:val="20"/>
        </w:rPr>
        <w:t xml:space="preserve">•   </w:t>
      </w:r>
      <w:r>
        <w:rPr>
          <w:color w:val="57585A"/>
          <w:spacing w:val="-11"/>
          <w:sz w:val="20"/>
          <w:szCs w:val="20"/>
        </w:rPr>
        <w:t>Argentina's Industry Rewards score notably keeps the country ahead of</w:t>
      </w:r>
      <w:r>
        <w:rPr>
          <w:color w:val="57585A"/>
          <w:spacing w:val="-21"/>
          <w:sz w:val="20"/>
          <w:szCs w:val="20"/>
        </w:rPr>
        <w:t xml:space="preserve"> </w:t>
      </w:r>
      <w:r>
        <w:rPr>
          <w:color w:val="57585A"/>
          <w:spacing w:val="-11"/>
          <w:sz w:val="20"/>
          <w:szCs w:val="20"/>
        </w:rPr>
        <w:t>the regional averag</w:t>
      </w:r>
      <w:r>
        <w:rPr>
          <w:color w:val="57585A"/>
          <w:spacing w:val="-12"/>
          <w:sz w:val="20"/>
          <w:szCs w:val="20"/>
        </w:rPr>
        <w:t>e. This score is supported</w:t>
      </w:r>
      <w:r>
        <w:rPr>
          <w:color w:val="57585A"/>
          <w:spacing w:val="-16"/>
          <w:sz w:val="20"/>
          <w:szCs w:val="20"/>
        </w:rPr>
        <w:t xml:space="preserve"> </w:t>
      </w:r>
      <w:r>
        <w:rPr>
          <w:color w:val="57585A"/>
          <w:spacing w:val="-12"/>
          <w:sz w:val="20"/>
          <w:szCs w:val="20"/>
        </w:rPr>
        <w:t>with</w:t>
      </w:r>
      <w:r>
        <w:rPr>
          <w:color w:val="57585A"/>
          <w:sz w:val="20"/>
          <w:szCs w:val="20"/>
        </w:rPr>
        <w:t xml:space="preserve"> </w:t>
      </w:r>
      <w:r>
        <w:rPr>
          <w:color w:val="57585A"/>
          <w:spacing w:val="-10"/>
          <w:sz w:val="20"/>
          <w:szCs w:val="20"/>
        </w:rPr>
        <w:t>healthy domestic refining capacity and a high utilisation r</w:t>
      </w:r>
      <w:r>
        <w:rPr>
          <w:color w:val="57585A"/>
          <w:spacing w:val="-11"/>
          <w:sz w:val="20"/>
          <w:szCs w:val="20"/>
        </w:rPr>
        <w:t>ate,</w:t>
      </w:r>
      <w:r>
        <w:rPr>
          <w:color w:val="57585A"/>
          <w:spacing w:val="-15"/>
          <w:sz w:val="20"/>
          <w:szCs w:val="20"/>
        </w:rPr>
        <w:t xml:space="preserve"> </w:t>
      </w:r>
      <w:r>
        <w:rPr>
          <w:color w:val="57585A"/>
          <w:spacing w:val="-11"/>
          <w:sz w:val="20"/>
          <w:szCs w:val="20"/>
        </w:rPr>
        <w:t>which helps to offset poor fuels demand and demand growth.</w:t>
      </w:r>
      <w:r>
        <w:rPr>
          <w:color w:val="57585A"/>
          <w:sz w:val="20"/>
          <w:szCs w:val="20"/>
        </w:rPr>
        <w:t xml:space="preserve"> </w:t>
      </w:r>
      <w:r>
        <w:rPr>
          <w:color w:val="57585A"/>
          <w:spacing w:val="-11"/>
          <w:sz w:val="20"/>
          <w:szCs w:val="20"/>
        </w:rPr>
        <w:t>Argentina scores 37.4, significantly stronger than</w:t>
      </w:r>
      <w:r>
        <w:rPr>
          <w:color w:val="57585A"/>
          <w:spacing w:val="-13"/>
          <w:sz w:val="20"/>
          <w:szCs w:val="20"/>
        </w:rPr>
        <w:t xml:space="preserve"> </w:t>
      </w:r>
      <w:r>
        <w:rPr>
          <w:color w:val="57585A"/>
          <w:spacing w:val="-11"/>
          <w:sz w:val="20"/>
          <w:szCs w:val="20"/>
        </w:rPr>
        <w:t>the regional average of 52.4 in th</w:t>
      </w:r>
      <w:r>
        <w:rPr>
          <w:color w:val="57585A"/>
          <w:spacing w:val="-12"/>
          <w:sz w:val="20"/>
          <w:szCs w:val="20"/>
        </w:rPr>
        <w:t>e Industry Rewards category.</w:t>
      </w:r>
    </w:p>
    <w:p w14:paraId="6C56FD4C">
      <w:pPr>
        <w:pStyle w:val="4"/>
        <w:spacing w:before="58" w:line="272" w:lineRule="auto"/>
        <w:ind w:left="607" w:right="589" w:hanging="250"/>
        <w:rPr>
          <w:sz w:val="20"/>
          <w:szCs w:val="20"/>
        </w:rPr>
      </w:pPr>
      <w:r>
        <w:rPr>
          <w:color w:val="33CCFF"/>
          <w:spacing w:val="-11"/>
          <w:sz w:val="20"/>
          <w:szCs w:val="20"/>
        </w:rPr>
        <w:t xml:space="preserve">•   </w:t>
      </w:r>
      <w:r>
        <w:rPr>
          <w:color w:val="57585A"/>
          <w:spacing w:val="-11"/>
          <w:sz w:val="20"/>
          <w:szCs w:val="20"/>
        </w:rPr>
        <w:t>A Country Rewards score keeps</w:t>
      </w:r>
      <w:r>
        <w:rPr>
          <w:color w:val="57585A"/>
          <w:spacing w:val="-3"/>
          <w:sz w:val="20"/>
          <w:szCs w:val="20"/>
        </w:rPr>
        <w:t xml:space="preserve"> </w:t>
      </w:r>
      <w:r>
        <w:rPr>
          <w:color w:val="57585A"/>
          <w:spacing w:val="-11"/>
          <w:sz w:val="20"/>
          <w:szCs w:val="20"/>
        </w:rPr>
        <w:t>Argentina among the top performers in the region for this indicator, supported by a diversified</w:t>
      </w:r>
      <w:r>
        <w:rPr>
          <w:color w:val="57585A"/>
          <w:sz w:val="20"/>
          <w:szCs w:val="20"/>
        </w:rPr>
        <w:t xml:space="preserve"> </w:t>
      </w:r>
      <w:r>
        <w:rPr>
          <w:color w:val="57585A"/>
          <w:spacing w:val="-11"/>
          <w:sz w:val="20"/>
          <w:szCs w:val="20"/>
        </w:rPr>
        <w:t>competitive landscape and a large domestic market. Weaker long-term demographics slightly</w:t>
      </w:r>
      <w:r>
        <w:rPr>
          <w:color w:val="57585A"/>
          <w:spacing w:val="-15"/>
          <w:sz w:val="20"/>
          <w:szCs w:val="20"/>
        </w:rPr>
        <w:t xml:space="preserve"> </w:t>
      </w:r>
      <w:r>
        <w:rPr>
          <w:color w:val="57585A"/>
          <w:spacing w:val="-11"/>
          <w:sz w:val="20"/>
          <w:szCs w:val="20"/>
        </w:rPr>
        <w:t>weaken the</w:t>
      </w:r>
      <w:r>
        <w:rPr>
          <w:color w:val="57585A"/>
          <w:spacing w:val="-12"/>
          <w:sz w:val="20"/>
          <w:szCs w:val="20"/>
        </w:rPr>
        <w:t xml:space="preserve"> country's score for</w:t>
      </w:r>
      <w:r>
        <w:rPr>
          <w:color w:val="57585A"/>
          <w:sz w:val="20"/>
          <w:szCs w:val="20"/>
        </w:rPr>
        <w:t xml:space="preserve"> </w:t>
      </w:r>
      <w:r>
        <w:rPr>
          <w:color w:val="57585A"/>
          <w:spacing w:val="-11"/>
          <w:sz w:val="20"/>
          <w:szCs w:val="20"/>
        </w:rPr>
        <w:t>this indicator however.</w:t>
      </w:r>
      <w:r>
        <w:rPr>
          <w:color w:val="57585A"/>
          <w:spacing w:val="-15"/>
          <w:sz w:val="20"/>
          <w:szCs w:val="20"/>
        </w:rPr>
        <w:t xml:space="preserve"> </w:t>
      </w:r>
      <w:r>
        <w:rPr>
          <w:color w:val="57585A"/>
          <w:spacing w:val="-11"/>
          <w:sz w:val="20"/>
          <w:szCs w:val="20"/>
        </w:rPr>
        <w:t>Argentina scores 46.7, stron</w:t>
      </w:r>
      <w:r>
        <w:rPr>
          <w:color w:val="57585A"/>
          <w:spacing w:val="-12"/>
          <w:sz w:val="20"/>
          <w:szCs w:val="20"/>
        </w:rPr>
        <w:t>ger than regional average of 53.7 in the Country Rewards category.</w:t>
      </w:r>
    </w:p>
    <w:p w14:paraId="65DCD93E">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 xml:space="preserve">Industry Risks are mediocre as the country </w:t>
      </w:r>
      <w:r>
        <w:rPr>
          <w:color w:val="57585A"/>
          <w:spacing w:val="-11"/>
          <w:sz w:val="20"/>
          <w:szCs w:val="20"/>
        </w:rPr>
        <w:t>has a history of interventionism</w:t>
      </w:r>
      <w:r>
        <w:rPr>
          <w:color w:val="57585A"/>
          <w:spacing w:val="-16"/>
          <w:sz w:val="20"/>
          <w:szCs w:val="20"/>
        </w:rPr>
        <w:t xml:space="preserve"> </w:t>
      </w:r>
      <w:r>
        <w:rPr>
          <w:color w:val="57585A"/>
          <w:spacing w:val="-11"/>
          <w:sz w:val="20"/>
          <w:szCs w:val="20"/>
        </w:rPr>
        <w:t>with fuel subsidies. Though not as significant as</w:t>
      </w:r>
    </w:p>
    <w:p w14:paraId="063F21A7">
      <w:pPr>
        <w:pStyle w:val="4"/>
        <w:spacing w:before="56" w:line="231" w:lineRule="auto"/>
        <w:ind w:left="611"/>
        <w:rPr>
          <w:sz w:val="20"/>
          <w:szCs w:val="20"/>
        </w:rPr>
      </w:pPr>
      <w:r>
        <w:rPr>
          <w:color w:val="57585A"/>
          <w:spacing w:val="-11"/>
          <w:sz w:val="20"/>
          <w:szCs w:val="20"/>
        </w:rPr>
        <w:t>several of its regional peers, there are also logistical risks</w:t>
      </w:r>
      <w:r>
        <w:rPr>
          <w:color w:val="57585A"/>
          <w:spacing w:val="-16"/>
          <w:sz w:val="20"/>
          <w:szCs w:val="20"/>
        </w:rPr>
        <w:t xml:space="preserve"> </w:t>
      </w:r>
      <w:r>
        <w:rPr>
          <w:color w:val="57585A"/>
          <w:spacing w:val="-11"/>
          <w:sz w:val="20"/>
          <w:szCs w:val="20"/>
        </w:rPr>
        <w:t>which hinder the development of</w:t>
      </w:r>
      <w:r>
        <w:rPr>
          <w:color w:val="57585A"/>
          <w:spacing w:val="-21"/>
          <w:sz w:val="20"/>
          <w:szCs w:val="20"/>
        </w:rPr>
        <w:t xml:space="preserve"> </w:t>
      </w:r>
      <w:r>
        <w:rPr>
          <w:color w:val="57585A"/>
          <w:spacing w:val="-11"/>
          <w:sz w:val="20"/>
          <w:szCs w:val="20"/>
        </w:rPr>
        <w:t>the market.</w:t>
      </w:r>
      <w:r>
        <w:rPr>
          <w:color w:val="57585A"/>
          <w:spacing w:val="-16"/>
          <w:sz w:val="20"/>
          <w:szCs w:val="20"/>
        </w:rPr>
        <w:t xml:space="preserve"> </w:t>
      </w:r>
      <w:r>
        <w:rPr>
          <w:color w:val="57585A"/>
          <w:spacing w:val="-11"/>
          <w:sz w:val="20"/>
          <w:szCs w:val="20"/>
        </w:rPr>
        <w:t>Argentina sco</w:t>
      </w:r>
      <w:r>
        <w:rPr>
          <w:color w:val="57585A"/>
          <w:spacing w:val="-12"/>
          <w:sz w:val="20"/>
          <w:szCs w:val="20"/>
        </w:rPr>
        <w:t>res 59.9 in</w:t>
      </w:r>
    </w:p>
    <w:p w14:paraId="31A1AE85">
      <w:pPr>
        <w:spacing w:line="231" w:lineRule="auto"/>
        <w:rPr>
          <w:sz w:val="20"/>
          <w:szCs w:val="20"/>
        </w:rPr>
        <w:sectPr>
          <w:footerReference r:id="rId65" w:type="default"/>
          <w:pgSz w:w="11906" w:h="16838"/>
          <w:pgMar w:top="400" w:right="490" w:bottom="883" w:left="490" w:header="0" w:footer="0" w:gutter="0"/>
          <w:cols w:space="720" w:num="1"/>
        </w:sectPr>
      </w:pPr>
    </w:p>
    <w:p w14:paraId="55FA447A">
      <w:pPr>
        <w:pStyle w:val="4"/>
        <w:spacing w:before="73" w:line="241" w:lineRule="auto"/>
        <w:ind w:left="7372"/>
        <w:rPr>
          <w:sz w:val="20"/>
          <w:szCs w:val="20"/>
        </w:rPr>
      </w:pPr>
      <w:r>
        <w:drawing>
          <wp:anchor distT="0" distB="0" distL="0" distR="0" simplePos="0" relativeHeight="25191116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12192" behindDoc="0" locked="0" layoutInCell="0" allowOverlap="1">
            <wp:simplePos x="0" y="0"/>
            <wp:positionH relativeFrom="page">
              <wp:posOffset>311150</wp:posOffset>
            </wp:positionH>
            <wp:positionV relativeFrom="page">
              <wp:posOffset>0</wp:posOffset>
            </wp:positionV>
            <wp:extent cx="19050" cy="814070"/>
            <wp:effectExtent l="0" t="0" r="0" b="0"/>
            <wp:wrapNone/>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758A125">
      <w:pPr>
        <w:pStyle w:val="4"/>
        <w:spacing w:line="278" w:lineRule="auto"/>
      </w:pPr>
    </w:p>
    <w:p w14:paraId="1803E08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F8B96AF">
      <w:pPr>
        <w:pStyle w:val="4"/>
        <w:spacing w:line="470" w:lineRule="auto"/>
      </w:pPr>
    </w:p>
    <w:p w14:paraId="13923172">
      <w:pPr>
        <w:pStyle w:val="4"/>
        <w:spacing w:before="58" w:line="231" w:lineRule="auto"/>
        <w:ind w:left="608"/>
        <w:rPr>
          <w:sz w:val="20"/>
          <w:szCs w:val="20"/>
        </w:rPr>
      </w:pPr>
      <w:r>
        <w:rPr>
          <w:color w:val="57585A"/>
          <w:spacing w:val="-11"/>
          <w:sz w:val="20"/>
          <w:szCs w:val="20"/>
        </w:rPr>
        <w:t>this category, close to</w:t>
      </w:r>
      <w:r>
        <w:rPr>
          <w:color w:val="57585A"/>
          <w:spacing w:val="-12"/>
          <w:sz w:val="20"/>
          <w:szCs w:val="20"/>
        </w:rPr>
        <w:t xml:space="preserve"> </w:t>
      </w:r>
      <w:r>
        <w:rPr>
          <w:color w:val="57585A"/>
          <w:spacing w:val="-11"/>
          <w:sz w:val="20"/>
          <w:szCs w:val="20"/>
        </w:rPr>
        <w:t>the</w:t>
      </w:r>
      <w:r>
        <w:rPr>
          <w:color w:val="57585A"/>
          <w:spacing w:val="-12"/>
          <w:sz w:val="20"/>
          <w:szCs w:val="20"/>
        </w:rPr>
        <w:t xml:space="preserve"> regional average of 62.1.</w:t>
      </w:r>
    </w:p>
    <w:p w14:paraId="577699ED">
      <w:pPr>
        <w:pStyle w:val="4"/>
        <w:spacing w:before="57" w:line="234" w:lineRule="auto"/>
        <w:ind w:left="357"/>
        <w:rPr>
          <w:sz w:val="20"/>
          <w:szCs w:val="20"/>
        </w:rPr>
      </w:pPr>
      <w:r>
        <w:rPr>
          <w:color w:val="33CCFF"/>
          <w:spacing w:val="-11"/>
          <w:sz w:val="20"/>
          <w:szCs w:val="20"/>
        </w:rPr>
        <w:t xml:space="preserve">•   </w:t>
      </w:r>
      <w:r>
        <w:rPr>
          <w:color w:val="57585A"/>
          <w:spacing w:val="-11"/>
          <w:sz w:val="20"/>
          <w:szCs w:val="20"/>
        </w:rPr>
        <w:t>Argentina's Country Risks scores are slightly stronger than the regional average,</w:t>
      </w:r>
      <w:r>
        <w:rPr>
          <w:color w:val="57585A"/>
          <w:spacing w:val="-2"/>
          <w:sz w:val="20"/>
          <w:szCs w:val="20"/>
        </w:rPr>
        <w:t xml:space="preserve"> </w:t>
      </w:r>
      <w:r>
        <w:rPr>
          <w:color w:val="57585A"/>
          <w:spacing w:val="-11"/>
          <w:sz w:val="20"/>
          <w:szCs w:val="20"/>
        </w:rPr>
        <w:t>which is an improvement this quarter on</w:t>
      </w:r>
    </w:p>
    <w:p w14:paraId="4C711C75">
      <w:pPr>
        <w:pStyle w:val="4"/>
        <w:spacing w:before="57" w:line="279" w:lineRule="auto"/>
        <w:ind w:left="608" w:right="502" w:firstLine="10"/>
        <w:rPr>
          <w:sz w:val="20"/>
          <w:szCs w:val="20"/>
        </w:rPr>
      </w:pPr>
      <w:r>
        <w:rPr>
          <w:color w:val="57585A"/>
          <w:spacing w:val="-11"/>
          <w:sz w:val="20"/>
          <w:szCs w:val="20"/>
        </w:rPr>
        <w:t>previous quarters. This has and</w:t>
      </w:r>
      <w:r>
        <w:rPr>
          <w:color w:val="57585A"/>
          <w:spacing w:val="-16"/>
          <w:sz w:val="20"/>
          <w:szCs w:val="20"/>
        </w:rPr>
        <w:t xml:space="preserve"> </w:t>
      </w:r>
      <w:r>
        <w:rPr>
          <w:color w:val="57585A"/>
          <w:spacing w:val="-11"/>
          <w:sz w:val="20"/>
          <w:szCs w:val="20"/>
        </w:rPr>
        <w:t>will continue to improve thanks to</w:t>
      </w:r>
      <w:r>
        <w:rPr>
          <w:color w:val="57585A"/>
          <w:spacing w:val="-12"/>
          <w:sz w:val="20"/>
          <w:szCs w:val="20"/>
        </w:rPr>
        <w:t xml:space="preserve"> the arrival of</w:t>
      </w:r>
      <w:r>
        <w:rPr>
          <w:color w:val="57585A"/>
          <w:spacing w:val="-11"/>
          <w:sz w:val="20"/>
          <w:szCs w:val="20"/>
        </w:rPr>
        <w:t xml:space="preserve"> </w:t>
      </w:r>
      <w:r>
        <w:rPr>
          <w:color w:val="57585A"/>
          <w:spacing w:val="-12"/>
          <w:sz w:val="20"/>
          <w:szCs w:val="20"/>
        </w:rPr>
        <w:t>new President</w:t>
      </w:r>
      <w:r>
        <w:rPr>
          <w:color w:val="57585A"/>
          <w:spacing w:val="-23"/>
          <w:sz w:val="20"/>
          <w:szCs w:val="20"/>
        </w:rPr>
        <w:t xml:space="preserve"> </w:t>
      </w:r>
      <w:r>
        <w:rPr>
          <w:color w:val="57585A"/>
          <w:spacing w:val="-12"/>
          <w:sz w:val="20"/>
          <w:szCs w:val="20"/>
        </w:rPr>
        <w:t>Javier Millei, but</w:t>
      </w:r>
      <w:r>
        <w:rPr>
          <w:color w:val="57585A"/>
          <w:spacing w:val="-15"/>
          <w:sz w:val="20"/>
          <w:szCs w:val="20"/>
        </w:rPr>
        <w:t xml:space="preserve"> </w:t>
      </w:r>
      <w:r>
        <w:rPr>
          <w:color w:val="57585A"/>
          <w:spacing w:val="-12"/>
          <w:sz w:val="20"/>
          <w:szCs w:val="20"/>
        </w:rPr>
        <w:t>we caution that a</w:t>
      </w:r>
      <w:r>
        <w:rPr>
          <w:color w:val="57585A"/>
          <w:sz w:val="20"/>
          <w:szCs w:val="20"/>
        </w:rPr>
        <w:t xml:space="preserve"> </w:t>
      </w:r>
      <w:r>
        <w:rPr>
          <w:color w:val="57585A"/>
          <w:spacing w:val="-10"/>
          <w:sz w:val="20"/>
          <w:szCs w:val="20"/>
        </w:rPr>
        <w:t>failure to enact reforms could threaten</w:t>
      </w:r>
      <w:r>
        <w:rPr>
          <w:color w:val="57585A"/>
          <w:spacing w:val="-16"/>
          <w:sz w:val="20"/>
          <w:szCs w:val="20"/>
        </w:rPr>
        <w:t xml:space="preserve"> </w:t>
      </w:r>
      <w:r>
        <w:rPr>
          <w:color w:val="57585A"/>
          <w:spacing w:val="-10"/>
          <w:sz w:val="20"/>
          <w:szCs w:val="20"/>
        </w:rPr>
        <w:t>Argentina's ranking</w:t>
      </w:r>
      <w:r>
        <w:rPr>
          <w:color w:val="57585A"/>
          <w:spacing w:val="-16"/>
          <w:sz w:val="20"/>
          <w:szCs w:val="20"/>
        </w:rPr>
        <w:t xml:space="preserve"> </w:t>
      </w:r>
      <w:r>
        <w:rPr>
          <w:color w:val="57585A"/>
          <w:spacing w:val="-10"/>
          <w:sz w:val="20"/>
          <w:szCs w:val="20"/>
        </w:rPr>
        <w:t>within the region.</w:t>
      </w:r>
      <w:r>
        <w:rPr>
          <w:color w:val="57585A"/>
          <w:spacing w:val="-15"/>
          <w:sz w:val="20"/>
          <w:szCs w:val="20"/>
        </w:rPr>
        <w:t xml:space="preserve"> </w:t>
      </w:r>
      <w:r>
        <w:rPr>
          <w:color w:val="57585A"/>
          <w:spacing w:val="-10"/>
          <w:sz w:val="20"/>
          <w:szCs w:val="20"/>
        </w:rPr>
        <w:t>Argentin</w:t>
      </w:r>
      <w:r>
        <w:rPr>
          <w:color w:val="57585A"/>
          <w:spacing w:val="-11"/>
          <w:sz w:val="20"/>
          <w:szCs w:val="20"/>
        </w:rPr>
        <w:t>a scores 55.9 in this category (stronger</w:t>
      </w:r>
      <w:r>
        <w:rPr>
          <w:color w:val="57585A"/>
          <w:sz w:val="20"/>
          <w:szCs w:val="20"/>
        </w:rPr>
        <w:t xml:space="preserve">   </w:t>
      </w:r>
      <w:r>
        <w:rPr>
          <w:color w:val="57585A"/>
          <w:spacing w:val="-10"/>
          <w:sz w:val="20"/>
          <w:szCs w:val="20"/>
        </w:rPr>
        <w:t>than the regional average of 59.7), but still hampered by its still med</w:t>
      </w:r>
      <w:r>
        <w:rPr>
          <w:color w:val="57585A"/>
          <w:spacing w:val="-11"/>
          <w:sz w:val="20"/>
          <w:szCs w:val="20"/>
        </w:rPr>
        <w:t>iocre short-term and long-term economic risks indices.</w:t>
      </w:r>
    </w:p>
    <w:p w14:paraId="5ED37A2F">
      <w:pPr>
        <w:pStyle w:val="4"/>
        <w:spacing w:line="295" w:lineRule="auto"/>
      </w:pPr>
    </w:p>
    <w:p w14:paraId="4A261231">
      <w:pPr>
        <w:pStyle w:val="4"/>
        <w:spacing w:line="295" w:lineRule="auto"/>
      </w:pPr>
    </w:p>
    <w:p w14:paraId="3C6F418B">
      <w:pPr>
        <w:pStyle w:val="4"/>
        <w:spacing w:before="70" w:line="234" w:lineRule="auto"/>
        <w:ind w:left="3683"/>
        <w:outlineLvl w:val="1"/>
        <w:rPr>
          <w:sz w:val="24"/>
          <w:szCs w:val="24"/>
        </w:rPr>
      </w:pPr>
      <w:r>
        <w:rPr>
          <w:color w:val="174174"/>
          <w:spacing w:val="-14"/>
          <w:sz w:val="24"/>
          <w:szCs w:val="24"/>
        </w:rPr>
        <w:t>Country Risks Remain The</w:t>
      </w:r>
      <w:r>
        <w:rPr>
          <w:color w:val="174174"/>
          <w:spacing w:val="-13"/>
          <w:sz w:val="24"/>
          <w:szCs w:val="24"/>
        </w:rPr>
        <w:t xml:space="preserve"> </w:t>
      </w:r>
      <w:r>
        <w:rPr>
          <w:color w:val="174174"/>
          <w:spacing w:val="-14"/>
          <w:sz w:val="24"/>
          <w:szCs w:val="24"/>
        </w:rPr>
        <w:t>Weak Link</w:t>
      </w:r>
    </w:p>
    <w:p w14:paraId="75837933">
      <w:pPr>
        <w:pStyle w:val="4"/>
        <w:spacing w:before="32" w:line="231" w:lineRule="auto"/>
        <w:ind w:left="2658"/>
        <w:outlineLvl w:val="1"/>
        <w:rPr>
          <w:sz w:val="20"/>
          <w:szCs w:val="20"/>
        </w:rPr>
      </w:pPr>
      <w:r>
        <w:rPr>
          <w:color w:val="333333"/>
          <w:spacing w:val="-12"/>
          <w:sz w:val="20"/>
          <w:szCs w:val="20"/>
        </w:rPr>
        <w:t>Argentina &amp; LatAm - Downstream Country &amp; Industry Risk/Reward Index</w:t>
      </w:r>
    </w:p>
    <w:p w14:paraId="35710912">
      <w:pPr>
        <w:spacing w:before="97" w:line="4500" w:lineRule="exact"/>
        <w:ind w:firstLine="1862"/>
      </w:pPr>
      <w:r>
        <w:rPr>
          <w:position w:val="-89"/>
        </w:rPr>
        <w:drawing>
          <wp:inline distT="0" distB="0" distL="0" distR="0">
            <wp:extent cx="4572000" cy="2856865"/>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146"/>
                    <a:stretch>
                      <a:fillRect/>
                    </a:stretch>
                  </pic:blipFill>
                  <pic:spPr>
                    <a:xfrm>
                      <a:off x="0" y="0"/>
                      <a:ext cx="4572000" cy="2857499"/>
                    </a:xfrm>
                    <a:prstGeom prst="rect">
                      <a:avLst/>
                    </a:prstGeom>
                  </pic:spPr>
                </pic:pic>
              </a:graphicData>
            </a:graphic>
          </wp:inline>
        </w:drawing>
      </w:r>
    </w:p>
    <w:p w14:paraId="700431FA">
      <w:pPr>
        <w:pStyle w:val="4"/>
        <w:spacing w:before="149" w:line="177" w:lineRule="exact"/>
        <w:ind w:left="1874"/>
        <w:rPr>
          <w:sz w:val="15"/>
          <w:szCs w:val="15"/>
        </w:rPr>
      </w:pPr>
      <w:r>
        <w:drawing>
          <wp:anchor distT="0" distB="0" distL="0" distR="0" simplePos="0" relativeHeight="251910144"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5"/>
          <w:position w:val="1"/>
          <w:sz w:val="15"/>
          <w:szCs w:val="15"/>
        </w:rPr>
        <w:t>Note: Scores out</w:t>
      </w:r>
      <w:r>
        <w:rPr>
          <w:i/>
          <w:iCs/>
          <w:color w:val="333333"/>
          <w:spacing w:val="-10"/>
          <w:position w:val="1"/>
          <w:sz w:val="15"/>
          <w:szCs w:val="15"/>
        </w:rPr>
        <w:t xml:space="preserve"> </w:t>
      </w:r>
      <w:r>
        <w:rPr>
          <w:i/>
          <w:iCs/>
          <w:color w:val="333333"/>
          <w:spacing w:val="-5"/>
          <w:w w:val="95"/>
          <w:position w:val="1"/>
          <w:sz w:val="15"/>
          <w:szCs w:val="15"/>
        </w:rPr>
        <w:t>of</w:t>
      </w:r>
      <w:r>
        <w:rPr>
          <w:i/>
          <w:iCs/>
          <w:color w:val="333333"/>
          <w:spacing w:val="-11"/>
          <w:position w:val="1"/>
          <w:sz w:val="15"/>
          <w:szCs w:val="15"/>
        </w:rPr>
        <w:t xml:space="preserve"> </w:t>
      </w:r>
      <w:r>
        <w:rPr>
          <w:i/>
          <w:iCs/>
          <w:color w:val="333333"/>
          <w:spacing w:val="-5"/>
          <w:w w:val="95"/>
          <w:position w:val="1"/>
          <w:sz w:val="15"/>
          <w:szCs w:val="15"/>
        </w:rPr>
        <w:t>100, lower</w:t>
      </w:r>
      <w:r>
        <w:rPr>
          <w:i/>
          <w:iCs/>
          <w:color w:val="333333"/>
          <w:spacing w:val="-19"/>
          <w:position w:val="1"/>
          <w:sz w:val="15"/>
          <w:szCs w:val="15"/>
        </w:rPr>
        <w:t xml:space="preserve"> </w:t>
      </w:r>
      <w:r>
        <w:rPr>
          <w:i/>
          <w:iCs/>
          <w:color w:val="333333"/>
          <w:spacing w:val="-5"/>
          <w:w w:val="95"/>
          <w:position w:val="1"/>
          <w:sz w:val="15"/>
          <w:szCs w:val="15"/>
        </w:rPr>
        <w:t>sc</w:t>
      </w:r>
      <w:r>
        <w:rPr>
          <w:i/>
          <w:iCs/>
          <w:color w:val="333333"/>
          <w:spacing w:val="-6"/>
          <w:w w:val="95"/>
          <w:position w:val="1"/>
          <w:sz w:val="15"/>
          <w:szCs w:val="15"/>
        </w:rPr>
        <w:t>ore = more attractive market. Source: BMI Downstream Risk/Reward Index</w:t>
      </w:r>
    </w:p>
    <w:p w14:paraId="35AB8A9C">
      <w:pPr>
        <w:spacing w:line="177" w:lineRule="exact"/>
        <w:rPr>
          <w:sz w:val="15"/>
          <w:szCs w:val="15"/>
        </w:rPr>
        <w:sectPr>
          <w:footerReference r:id="rId66" w:type="default"/>
          <w:pgSz w:w="11906" w:h="16838"/>
          <w:pgMar w:top="400" w:right="490" w:bottom="883" w:left="490" w:header="0" w:footer="0" w:gutter="0"/>
          <w:cols w:space="720" w:num="1"/>
        </w:sectPr>
      </w:pPr>
    </w:p>
    <w:p w14:paraId="5C6E760D">
      <w:pPr>
        <w:pStyle w:val="4"/>
        <w:spacing w:before="73" w:line="241" w:lineRule="auto"/>
        <w:ind w:left="7372"/>
        <w:rPr>
          <w:sz w:val="20"/>
          <w:szCs w:val="20"/>
        </w:rPr>
      </w:pPr>
      <w:r>
        <w:drawing>
          <wp:anchor distT="0" distB="0" distL="0" distR="0" simplePos="0" relativeHeight="25191321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14240" behindDoc="0" locked="0" layoutInCell="0" allowOverlap="1">
            <wp:simplePos x="0" y="0"/>
            <wp:positionH relativeFrom="page">
              <wp:posOffset>311150</wp:posOffset>
            </wp:positionH>
            <wp:positionV relativeFrom="page">
              <wp:posOffset>0</wp:posOffset>
            </wp:positionV>
            <wp:extent cx="19050" cy="814070"/>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E99FBA6">
      <w:pPr>
        <w:pStyle w:val="4"/>
        <w:spacing w:line="278" w:lineRule="auto"/>
      </w:pPr>
    </w:p>
    <w:p w14:paraId="4BA4967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DB8ED4C">
      <w:pPr>
        <w:pStyle w:val="4"/>
        <w:spacing w:line="374" w:lineRule="auto"/>
      </w:pPr>
    </w:p>
    <w:p w14:paraId="72D1FBB7">
      <w:pPr>
        <w:pStyle w:val="4"/>
        <w:spacing w:before="126" w:line="581" w:lineRule="exact"/>
        <w:ind w:left="395"/>
        <w:outlineLvl w:val="0"/>
        <w:rPr>
          <w:sz w:val="44"/>
          <w:szCs w:val="44"/>
        </w:rPr>
      </w:pPr>
      <w:bookmarkStart w:id="26" w:name="bookmark39"/>
      <w:bookmarkEnd w:id="26"/>
      <w:bookmarkStart w:id="27" w:name="bookmark19"/>
      <w:bookmarkEnd w:id="27"/>
      <w:bookmarkStart w:id="28" w:name="bookmark20"/>
      <w:bookmarkEnd w:id="28"/>
      <w:r>
        <w:rPr>
          <w:color w:val="174174"/>
          <w:spacing w:val="-22"/>
          <w:position w:val="2"/>
          <w:sz w:val="44"/>
          <w:szCs w:val="44"/>
        </w:rPr>
        <w:t>Market Overview</w:t>
      </w:r>
    </w:p>
    <w:p w14:paraId="0C6B55AC">
      <w:pPr>
        <w:pStyle w:val="4"/>
        <w:spacing w:before="58" w:line="394" w:lineRule="exact"/>
        <w:ind w:left="374"/>
        <w:outlineLvl w:val="0"/>
        <w:rPr>
          <w:sz w:val="30"/>
          <w:szCs w:val="30"/>
        </w:rPr>
      </w:pPr>
      <w:bookmarkStart w:id="29" w:name="bookmark40"/>
      <w:bookmarkEnd w:id="29"/>
      <w:r>
        <w:rPr>
          <w:color w:val="2A8ABF"/>
          <w:spacing w:val="-18"/>
          <w:position w:val="1"/>
          <w:sz w:val="30"/>
          <w:szCs w:val="30"/>
        </w:rPr>
        <w:t>Oil &amp; Gas Market Overview</w:t>
      </w:r>
    </w:p>
    <w:p w14:paraId="4DCB5446">
      <w:pPr>
        <w:pStyle w:val="4"/>
        <w:spacing w:before="267" w:line="231" w:lineRule="auto"/>
        <w:ind w:left="359"/>
        <w:rPr>
          <w:sz w:val="20"/>
          <w:szCs w:val="20"/>
        </w:rPr>
      </w:pPr>
      <w:r>
        <w:rPr>
          <w:color w:val="57585A"/>
          <w:spacing w:val="-10"/>
          <w:sz w:val="20"/>
          <w:szCs w:val="20"/>
        </w:rPr>
        <w:t>After a challenging period following high levels of</w:t>
      </w:r>
      <w:r>
        <w:rPr>
          <w:color w:val="57585A"/>
          <w:spacing w:val="-4"/>
          <w:sz w:val="20"/>
          <w:szCs w:val="20"/>
        </w:rPr>
        <w:t xml:space="preserve"> </w:t>
      </w:r>
      <w:r>
        <w:rPr>
          <w:color w:val="57585A"/>
          <w:spacing w:val="-10"/>
          <w:sz w:val="20"/>
          <w:szCs w:val="20"/>
        </w:rPr>
        <w:t>state intervention and a</w:t>
      </w:r>
      <w:r>
        <w:rPr>
          <w:color w:val="57585A"/>
          <w:spacing w:val="-15"/>
          <w:sz w:val="20"/>
          <w:szCs w:val="20"/>
        </w:rPr>
        <w:t xml:space="preserve"> </w:t>
      </w:r>
      <w:r>
        <w:rPr>
          <w:color w:val="57585A"/>
          <w:spacing w:val="-10"/>
          <w:sz w:val="20"/>
          <w:szCs w:val="20"/>
        </w:rPr>
        <w:t>wide economic downturn</w:t>
      </w:r>
      <w:r>
        <w:rPr>
          <w:color w:val="57585A"/>
          <w:spacing w:val="-16"/>
          <w:sz w:val="20"/>
          <w:szCs w:val="20"/>
        </w:rPr>
        <w:t xml:space="preserve"> </w:t>
      </w:r>
      <w:r>
        <w:rPr>
          <w:color w:val="57585A"/>
          <w:spacing w:val="-10"/>
          <w:sz w:val="20"/>
          <w:szCs w:val="20"/>
        </w:rPr>
        <w:t>which eroded foreign</w:t>
      </w:r>
    </w:p>
    <w:p w14:paraId="2BBC586A">
      <w:pPr>
        <w:pStyle w:val="4"/>
        <w:spacing w:before="59" w:line="279" w:lineRule="auto"/>
        <w:ind w:left="361" w:right="663" w:firstLine="10"/>
        <w:rPr>
          <w:sz w:val="20"/>
          <w:szCs w:val="20"/>
        </w:rPr>
      </w:pPr>
      <w:r>
        <w:rPr>
          <w:color w:val="57585A"/>
          <w:spacing w:val="-10"/>
          <w:sz w:val="20"/>
          <w:szCs w:val="20"/>
        </w:rPr>
        <w:t>investment in</w:t>
      </w:r>
      <w:r>
        <w:rPr>
          <w:color w:val="57585A"/>
          <w:spacing w:val="-15"/>
          <w:sz w:val="20"/>
          <w:szCs w:val="20"/>
        </w:rPr>
        <w:t xml:space="preserve"> </w:t>
      </w:r>
      <w:r>
        <w:rPr>
          <w:color w:val="57585A"/>
          <w:spacing w:val="-10"/>
          <w:sz w:val="20"/>
          <w:szCs w:val="20"/>
        </w:rPr>
        <w:t>Argentina, the oil and gas sector saw</w:t>
      </w:r>
      <w:r>
        <w:rPr>
          <w:color w:val="57585A"/>
          <w:spacing w:val="-11"/>
          <w:sz w:val="20"/>
          <w:szCs w:val="20"/>
        </w:rPr>
        <w:t xml:space="preserve"> an uptick in foreign direct investment in 2018, including a small but growing</w:t>
      </w:r>
      <w:r>
        <w:rPr>
          <w:color w:val="57585A"/>
          <w:sz w:val="20"/>
          <w:szCs w:val="20"/>
        </w:rPr>
        <w:t xml:space="preserve"> </w:t>
      </w:r>
      <w:r>
        <w:rPr>
          <w:color w:val="57585A"/>
          <w:spacing w:val="-11"/>
          <w:sz w:val="20"/>
          <w:szCs w:val="20"/>
        </w:rPr>
        <w:t>cadre of international and NOCs seeking to gain early-mover advantage to tap pote</w:t>
      </w:r>
      <w:r>
        <w:rPr>
          <w:color w:val="57585A"/>
          <w:spacing w:val="-12"/>
          <w:sz w:val="20"/>
          <w:szCs w:val="20"/>
        </w:rPr>
        <w:t>ntially game-changing shale resources in the</w:t>
      </w:r>
      <w:r>
        <w:rPr>
          <w:color w:val="57585A"/>
          <w:sz w:val="20"/>
          <w:szCs w:val="20"/>
        </w:rPr>
        <w:t xml:space="preserve"> </w:t>
      </w:r>
      <w:r>
        <w:rPr>
          <w:color w:val="57585A"/>
          <w:spacing w:val="-11"/>
          <w:sz w:val="20"/>
          <w:szCs w:val="20"/>
        </w:rPr>
        <w:t>Vaca Muerta formation.</w:t>
      </w:r>
      <w:r>
        <w:rPr>
          <w:color w:val="57585A"/>
          <w:spacing w:val="3"/>
          <w:sz w:val="20"/>
          <w:szCs w:val="20"/>
        </w:rPr>
        <w:t xml:space="preserve"> </w:t>
      </w:r>
      <w:r>
        <w:rPr>
          <w:color w:val="57585A"/>
          <w:spacing w:val="-11"/>
          <w:sz w:val="20"/>
          <w:szCs w:val="20"/>
        </w:rPr>
        <w:t>The market experienced some investment over 2019-2024, although lingering macroeconomic risks</w:t>
      </w:r>
    </w:p>
    <w:p w14:paraId="7FB0DDBB">
      <w:pPr>
        <w:pStyle w:val="4"/>
        <w:spacing w:before="37" w:line="273" w:lineRule="auto"/>
        <w:ind w:left="372" w:right="865" w:hanging="13"/>
        <w:rPr>
          <w:sz w:val="20"/>
          <w:szCs w:val="20"/>
        </w:rPr>
      </w:pPr>
      <w:r>
        <w:rPr>
          <w:color w:val="57585A"/>
          <w:spacing w:val="-11"/>
          <w:sz w:val="20"/>
          <w:szCs w:val="20"/>
        </w:rPr>
        <w:t>weighted on the sentiment. The election of</w:t>
      </w:r>
      <w:r>
        <w:rPr>
          <w:color w:val="57585A"/>
          <w:spacing w:val="-22"/>
          <w:sz w:val="20"/>
          <w:szCs w:val="20"/>
        </w:rPr>
        <w:t xml:space="preserve"> </w:t>
      </w:r>
      <w:r>
        <w:rPr>
          <w:color w:val="57585A"/>
          <w:spacing w:val="-11"/>
          <w:sz w:val="20"/>
          <w:szCs w:val="20"/>
        </w:rPr>
        <w:t>Javier Milei in late 2023 boosts upside risks for upstream market due to his market</w:t>
      </w:r>
      <w:r>
        <w:rPr>
          <w:color w:val="57585A"/>
          <w:sz w:val="20"/>
          <w:szCs w:val="20"/>
        </w:rPr>
        <w:t xml:space="preserve"> </w:t>
      </w:r>
      <w:r>
        <w:rPr>
          <w:color w:val="57585A"/>
          <w:spacing w:val="-11"/>
          <w:sz w:val="20"/>
          <w:szCs w:val="20"/>
        </w:rPr>
        <w:t>liberalisation stance; however, we highlight lingering regulatory risks.</w:t>
      </w:r>
    </w:p>
    <w:p w14:paraId="1DCEEEE0">
      <w:pPr>
        <w:pStyle w:val="4"/>
        <w:spacing w:line="303" w:lineRule="auto"/>
      </w:pPr>
    </w:p>
    <w:p w14:paraId="102213DE">
      <w:pPr>
        <w:pStyle w:val="4"/>
        <w:spacing w:line="304" w:lineRule="auto"/>
      </w:pPr>
    </w:p>
    <w:p w14:paraId="72877F6D">
      <w:pPr>
        <w:pStyle w:val="4"/>
        <w:spacing w:before="69" w:line="324" w:lineRule="exact"/>
        <w:ind w:left="370"/>
        <w:outlineLvl w:val="2"/>
        <w:rPr>
          <w:sz w:val="24"/>
          <w:szCs w:val="24"/>
        </w:rPr>
      </w:pPr>
      <w:r>
        <w:rPr>
          <w:b/>
          <w:bCs/>
          <w:color w:val="174174"/>
          <w:spacing w:val="-6"/>
          <w:position w:val="1"/>
          <w:sz w:val="24"/>
          <w:szCs w:val="24"/>
        </w:rPr>
        <w:t>Overview/State Role</w:t>
      </w:r>
    </w:p>
    <w:p w14:paraId="28685432">
      <w:pPr>
        <w:pStyle w:val="4"/>
        <w:spacing w:line="299" w:lineRule="auto"/>
      </w:pPr>
    </w:p>
    <w:p w14:paraId="199E8D37">
      <w:pPr>
        <w:pStyle w:val="4"/>
        <w:spacing w:before="58" w:line="283" w:lineRule="auto"/>
        <w:ind w:left="365" w:right="684" w:hanging="6"/>
        <w:rPr>
          <w:sz w:val="20"/>
          <w:szCs w:val="20"/>
        </w:rPr>
      </w:pPr>
      <w:r>
        <w:rPr>
          <w:color w:val="57585A"/>
          <w:spacing w:val="-10"/>
          <w:sz w:val="20"/>
          <w:szCs w:val="20"/>
        </w:rPr>
        <w:t>Argentina's oil sector had been</w:t>
      </w:r>
      <w:r>
        <w:rPr>
          <w:color w:val="57585A"/>
          <w:spacing w:val="-11"/>
          <w:sz w:val="20"/>
          <w:szCs w:val="20"/>
        </w:rPr>
        <w:t xml:space="preserve"> completely privatised until the October 2004</w:t>
      </w:r>
      <w:r>
        <w:rPr>
          <w:color w:val="57585A"/>
          <w:spacing w:val="-16"/>
          <w:sz w:val="20"/>
          <w:szCs w:val="20"/>
        </w:rPr>
        <w:t xml:space="preserve"> </w:t>
      </w:r>
      <w:r>
        <w:rPr>
          <w:color w:val="57585A"/>
          <w:spacing w:val="-11"/>
          <w:sz w:val="20"/>
          <w:szCs w:val="20"/>
        </w:rPr>
        <w:t>with the creation of new state entity, Enersa. The</w:t>
      </w:r>
      <w:r>
        <w:rPr>
          <w:color w:val="57585A"/>
          <w:sz w:val="20"/>
          <w:szCs w:val="20"/>
        </w:rPr>
        <w:t xml:space="preserve">   </w:t>
      </w:r>
      <w:r>
        <w:rPr>
          <w:color w:val="57585A"/>
          <w:spacing w:val="-13"/>
          <w:sz w:val="20"/>
          <w:szCs w:val="20"/>
        </w:rPr>
        <w:t>largest upstream and downstream operator is YPF, which</w:t>
      </w:r>
      <w:r>
        <w:rPr>
          <w:color w:val="57585A"/>
          <w:spacing w:val="-15"/>
          <w:sz w:val="20"/>
          <w:szCs w:val="20"/>
        </w:rPr>
        <w:t xml:space="preserve"> </w:t>
      </w:r>
      <w:r>
        <w:rPr>
          <w:color w:val="57585A"/>
          <w:spacing w:val="-13"/>
          <w:sz w:val="20"/>
          <w:szCs w:val="20"/>
        </w:rPr>
        <w:t>was re-nationali</w:t>
      </w:r>
      <w:r>
        <w:rPr>
          <w:color w:val="57585A"/>
          <w:spacing w:val="-14"/>
          <w:sz w:val="20"/>
          <w:szCs w:val="20"/>
        </w:rPr>
        <w:t>sed from Repsol in 2012. Five companies, namely YPF,</w:t>
      </w:r>
      <w:r>
        <w:rPr>
          <w:color w:val="57585A"/>
          <w:sz w:val="20"/>
          <w:szCs w:val="20"/>
        </w:rPr>
        <w:t xml:space="preserve"> </w:t>
      </w:r>
      <w:r>
        <w:rPr>
          <w:color w:val="57585A"/>
          <w:spacing w:val="-11"/>
          <w:sz w:val="20"/>
          <w:szCs w:val="20"/>
        </w:rPr>
        <w:t xml:space="preserve">PAE, Chevron, Pluspetrol and Sinopec </w:t>
      </w:r>
      <w:r>
        <w:rPr>
          <w:color w:val="57585A"/>
          <w:spacing w:val="-12"/>
          <w:sz w:val="20"/>
          <w:szCs w:val="20"/>
        </w:rPr>
        <w:t>account for nearly three quarters ofthe market's oil production. The market's gas sector is</w:t>
      </w:r>
      <w:r>
        <w:rPr>
          <w:color w:val="57585A"/>
          <w:sz w:val="20"/>
          <w:szCs w:val="20"/>
        </w:rPr>
        <w:t xml:space="preserve"> </w:t>
      </w:r>
      <w:r>
        <w:rPr>
          <w:color w:val="57585A"/>
          <w:spacing w:val="-12"/>
          <w:sz w:val="20"/>
          <w:szCs w:val="20"/>
        </w:rPr>
        <w:t>slightly more diverse,</w:t>
      </w:r>
      <w:r>
        <w:rPr>
          <w:color w:val="57585A"/>
          <w:spacing w:val="-15"/>
          <w:sz w:val="20"/>
          <w:szCs w:val="20"/>
        </w:rPr>
        <w:t xml:space="preserve"> </w:t>
      </w:r>
      <w:r>
        <w:rPr>
          <w:color w:val="57585A"/>
          <w:spacing w:val="-12"/>
          <w:sz w:val="20"/>
          <w:szCs w:val="20"/>
        </w:rPr>
        <w:t>with</w:t>
      </w:r>
      <w:r>
        <w:rPr>
          <w:color w:val="57585A"/>
          <w:spacing w:val="-16"/>
          <w:sz w:val="20"/>
          <w:szCs w:val="20"/>
        </w:rPr>
        <w:t xml:space="preserve"> </w:t>
      </w:r>
      <w:r>
        <w:rPr>
          <w:color w:val="57585A"/>
          <w:spacing w:val="-12"/>
          <w:sz w:val="20"/>
          <w:szCs w:val="20"/>
        </w:rPr>
        <w:t>YPF, PAE and TotalEnergies accounting for approximately two th</w:t>
      </w:r>
      <w:r>
        <w:rPr>
          <w:color w:val="57585A"/>
          <w:spacing w:val="-13"/>
          <w:sz w:val="20"/>
          <w:szCs w:val="20"/>
        </w:rPr>
        <w:t>irds of</w:t>
      </w:r>
      <w:r>
        <w:rPr>
          <w:color w:val="57585A"/>
          <w:spacing w:val="-15"/>
          <w:sz w:val="20"/>
          <w:szCs w:val="20"/>
        </w:rPr>
        <w:t xml:space="preserve"> </w:t>
      </w:r>
      <w:r>
        <w:rPr>
          <w:color w:val="57585A"/>
          <w:spacing w:val="-13"/>
          <w:sz w:val="20"/>
          <w:szCs w:val="20"/>
        </w:rPr>
        <w:t>output.</w:t>
      </w:r>
    </w:p>
    <w:p w14:paraId="67CC2743">
      <w:pPr>
        <w:pStyle w:val="4"/>
        <w:spacing w:line="266" w:lineRule="auto"/>
      </w:pPr>
    </w:p>
    <w:p w14:paraId="23C07E65">
      <w:pPr>
        <w:pStyle w:val="4"/>
        <w:spacing w:before="59" w:line="279" w:lineRule="auto"/>
        <w:ind w:left="373" w:right="534" w:hanging="7"/>
        <w:rPr>
          <w:sz w:val="20"/>
          <w:szCs w:val="20"/>
        </w:rPr>
      </w:pPr>
      <w:r>
        <w:rPr>
          <w:color w:val="57585A"/>
          <w:spacing w:val="-13"/>
          <w:sz w:val="20"/>
          <w:szCs w:val="20"/>
        </w:rPr>
        <w:t>Since 2012, Chevron, ExxonMobil, Shell, Total and Petrobras have been act</w:t>
      </w:r>
      <w:r>
        <w:rPr>
          <w:color w:val="57585A"/>
          <w:spacing w:val="-14"/>
          <w:sz w:val="20"/>
          <w:szCs w:val="20"/>
        </w:rPr>
        <w:t>ive in the Vaca Muerta play. Chevron</w:t>
      </w:r>
      <w:r>
        <w:rPr>
          <w:color w:val="57585A"/>
          <w:spacing w:val="-4"/>
          <w:sz w:val="20"/>
          <w:szCs w:val="20"/>
        </w:rPr>
        <w:t xml:space="preserve"> </w:t>
      </w:r>
      <w:r>
        <w:rPr>
          <w:color w:val="57585A"/>
          <w:spacing w:val="-14"/>
          <w:sz w:val="20"/>
          <w:szCs w:val="20"/>
        </w:rPr>
        <w:t>is</w:t>
      </w:r>
      <w:r>
        <w:rPr>
          <w:color w:val="57585A"/>
          <w:spacing w:val="-2"/>
          <w:sz w:val="20"/>
          <w:szCs w:val="20"/>
        </w:rPr>
        <w:t xml:space="preserve"> </w:t>
      </w:r>
      <w:r>
        <w:rPr>
          <w:color w:val="57585A"/>
          <w:spacing w:val="-14"/>
          <w:sz w:val="20"/>
          <w:szCs w:val="20"/>
        </w:rPr>
        <w:t>now the fourth-</w:t>
      </w:r>
      <w:r>
        <w:rPr>
          <w:color w:val="57585A"/>
          <w:sz w:val="20"/>
          <w:szCs w:val="20"/>
        </w:rPr>
        <w:t xml:space="preserve">  </w:t>
      </w:r>
      <w:r>
        <w:rPr>
          <w:color w:val="57585A"/>
          <w:spacing w:val="-11"/>
          <w:sz w:val="20"/>
          <w:szCs w:val="20"/>
        </w:rPr>
        <w:t>largest producer of oil in the market,</w:t>
      </w:r>
      <w:r>
        <w:rPr>
          <w:color w:val="57585A"/>
          <w:spacing w:val="-15"/>
          <w:sz w:val="20"/>
          <w:szCs w:val="20"/>
        </w:rPr>
        <w:t xml:space="preserve"> </w:t>
      </w:r>
      <w:r>
        <w:rPr>
          <w:color w:val="57585A"/>
          <w:spacing w:val="-11"/>
          <w:sz w:val="20"/>
          <w:szCs w:val="20"/>
        </w:rPr>
        <w:t>with concessions in th</w:t>
      </w:r>
      <w:r>
        <w:rPr>
          <w:color w:val="57585A"/>
          <w:spacing w:val="-12"/>
          <w:sz w:val="20"/>
          <w:szCs w:val="20"/>
        </w:rPr>
        <w:t>e Neuquén Basin. ExxonMobil holds interests in approximately 900,000</w:t>
      </w:r>
      <w:r>
        <w:rPr>
          <w:color w:val="57585A"/>
          <w:sz w:val="20"/>
          <w:szCs w:val="20"/>
        </w:rPr>
        <w:t xml:space="preserve"> </w:t>
      </w:r>
      <w:r>
        <w:rPr>
          <w:color w:val="57585A"/>
          <w:spacing w:val="-12"/>
          <w:sz w:val="20"/>
          <w:szCs w:val="20"/>
        </w:rPr>
        <w:t>net acres in the same basin. Furthermore,</w:t>
      </w:r>
      <w:r>
        <w:rPr>
          <w:color w:val="57585A"/>
          <w:spacing w:val="-10"/>
          <w:sz w:val="20"/>
          <w:szCs w:val="20"/>
        </w:rPr>
        <w:t xml:space="preserve"> </w:t>
      </w:r>
      <w:r>
        <w:rPr>
          <w:color w:val="57585A"/>
          <w:spacing w:val="-12"/>
          <w:sz w:val="20"/>
          <w:szCs w:val="20"/>
        </w:rPr>
        <w:t>YPF signed a series of memorandums</w:t>
      </w:r>
      <w:r>
        <w:rPr>
          <w:color w:val="57585A"/>
          <w:spacing w:val="-15"/>
          <w:sz w:val="20"/>
          <w:szCs w:val="20"/>
        </w:rPr>
        <w:t xml:space="preserve"> </w:t>
      </w:r>
      <w:r>
        <w:rPr>
          <w:color w:val="57585A"/>
          <w:spacing w:val="-12"/>
          <w:sz w:val="20"/>
          <w:szCs w:val="20"/>
        </w:rPr>
        <w:t>with major international and regional oil</w:t>
      </w:r>
    </w:p>
    <w:p w14:paraId="480188E8">
      <w:pPr>
        <w:pStyle w:val="4"/>
        <w:spacing w:before="37" w:line="231" w:lineRule="auto"/>
        <w:ind w:left="369"/>
        <w:rPr>
          <w:sz w:val="20"/>
          <w:szCs w:val="20"/>
        </w:rPr>
      </w:pPr>
      <w:r>
        <w:rPr>
          <w:color w:val="57585A"/>
          <w:spacing w:val="-13"/>
          <w:sz w:val="20"/>
          <w:szCs w:val="20"/>
        </w:rPr>
        <w:t>companies, including Sinopec, Pemex and Petrobr</w:t>
      </w:r>
      <w:r>
        <w:rPr>
          <w:color w:val="57585A"/>
          <w:spacing w:val="-14"/>
          <w:sz w:val="20"/>
          <w:szCs w:val="20"/>
        </w:rPr>
        <w:t>as.</w:t>
      </w:r>
    </w:p>
    <w:p w14:paraId="7B87E3B5">
      <w:pPr>
        <w:pStyle w:val="4"/>
        <w:spacing w:line="287" w:lineRule="auto"/>
      </w:pPr>
    </w:p>
    <w:p w14:paraId="4AE32410">
      <w:pPr>
        <w:pStyle w:val="4"/>
        <w:spacing w:before="57" w:line="273" w:lineRule="auto"/>
        <w:ind w:left="368" w:right="401" w:hanging="8"/>
        <w:rPr>
          <w:sz w:val="20"/>
          <w:szCs w:val="20"/>
        </w:rPr>
      </w:pPr>
      <w:r>
        <w:rPr>
          <w:color w:val="57585A"/>
          <w:spacing w:val="-11"/>
          <w:sz w:val="20"/>
          <w:szCs w:val="20"/>
        </w:rPr>
        <w:t>Transportadora de Gas d</w:t>
      </w:r>
      <w:r>
        <w:rPr>
          <w:color w:val="57585A"/>
          <w:spacing w:val="-12"/>
          <w:sz w:val="20"/>
          <w:szCs w:val="20"/>
        </w:rPr>
        <w:t>el Sur is the market's largest pipeline company, delivering two thirds of</w:t>
      </w:r>
      <w:r>
        <w:rPr>
          <w:color w:val="57585A"/>
          <w:spacing w:val="-21"/>
          <w:sz w:val="20"/>
          <w:szCs w:val="20"/>
        </w:rPr>
        <w:t xml:space="preserve"> </w:t>
      </w:r>
      <w:r>
        <w:rPr>
          <w:color w:val="57585A"/>
          <w:spacing w:val="-12"/>
          <w:sz w:val="20"/>
          <w:szCs w:val="20"/>
        </w:rPr>
        <w:t>total gas consumption, and is largely</w:t>
      </w:r>
      <w:r>
        <w:rPr>
          <w:color w:val="57585A"/>
          <w:sz w:val="20"/>
          <w:szCs w:val="20"/>
        </w:rPr>
        <w:t xml:space="preserve"> </w:t>
      </w:r>
      <w:r>
        <w:rPr>
          <w:color w:val="57585A"/>
          <w:spacing w:val="-12"/>
          <w:sz w:val="20"/>
          <w:szCs w:val="20"/>
        </w:rPr>
        <w:t>owned by Pampa Energia. Transportadora de Gas del Norte, operating in the north and centre of</w:t>
      </w:r>
      <w:r>
        <w:rPr>
          <w:color w:val="57585A"/>
          <w:spacing w:val="-13"/>
          <w:sz w:val="20"/>
          <w:szCs w:val="20"/>
        </w:rPr>
        <w:t xml:space="preserve"> </w:t>
      </w:r>
      <w:r>
        <w:rPr>
          <w:color w:val="57585A"/>
          <w:spacing w:val="-12"/>
          <w:sz w:val="20"/>
          <w:szCs w:val="20"/>
        </w:rPr>
        <w:t>the market, is the other key gas</w:t>
      </w:r>
    </w:p>
    <w:p w14:paraId="1F40533F">
      <w:pPr>
        <w:pStyle w:val="4"/>
        <w:spacing w:before="37" w:line="231" w:lineRule="auto"/>
        <w:ind w:left="366"/>
        <w:rPr>
          <w:sz w:val="20"/>
          <w:szCs w:val="20"/>
        </w:rPr>
      </w:pPr>
      <w:r>
        <w:rPr>
          <w:color w:val="57585A"/>
          <w:spacing w:val="-14"/>
          <w:sz w:val="20"/>
          <w:szCs w:val="20"/>
        </w:rPr>
        <w:t>supplier. Its shareholders include Techint, Compania General de Combustibles (CGC), TotalEnergies and Petronas of Malaysia.</w:t>
      </w:r>
    </w:p>
    <w:p w14:paraId="70ACB3EC">
      <w:pPr>
        <w:pStyle w:val="4"/>
        <w:spacing w:line="314" w:lineRule="auto"/>
      </w:pPr>
    </w:p>
    <w:p w14:paraId="78074F27">
      <w:pPr>
        <w:pStyle w:val="4"/>
        <w:spacing w:line="314" w:lineRule="auto"/>
      </w:pPr>
    </w:p>
    <w:p w14:paraId="18C802E1">
      <w:pPr>
        <w:pStyle w:val="4"/>
        <w:spacing w:before="70" w:line="241" w:lineRule="auto"/>
        <w:ind w:left="370"/>
        <w:outlineLvl w:val="2"/>
        <w:rPr>
          <w:sz w:val="24"/>
          <w:szCs w:val="24"/>
        </w:rPr>
      </w:pPr>
      <w:r>
        <w:rPr>
          <w:b/>
          <w:bCs/>
          <w:color w:val="174174"/>
          <w:spacing w:val="-11"/>
          <w:sz w:val="24"/>
          <w:szCs w:val="24"/>
        </w:rPr>
        <w:t>Government Policy</w:t>
      </w:r>
    </w:p>
    <w:p w14:paraId="36E2AC0E">
      <w:pPr>
        <w:pStyle w:val="4"/>
        <w:spacing w:line="349" w:lineRule="auto"/>
      </w:pPr>
    </w:p>
    <w:p w14:paraId="7BDFA3C3">
      <w:pPr>
        <w:pStyle w:val="4"/>
        <w:spacing w:before="58" w:line="279" w:lineRule="auto"/>
        <w:ind w:left="369" w:right="364"/>
        <w:rPr>
          <w:sz w:val="20"/>
          <w:szCs w:val="20"/>
        </w:rPr>
      </w:pPr>
      <w:r>
        <w:rPr>
          <w:color w:val="57585A"/>
          <w:spacing w:val="-12"/>
          <w:sz w:val="20"/>
          <w:szCs w:val="20"/>
        </w:rPr>
        <w:t>Oil &amp; gas licencing works on a concessionaire regime as royalty and tax. Depending on the location of</w:t>
      </w:r>
      <w:r>
        <w:rPr>
          <w:color w:val="57585A"/>
          <w:spacing w:val="-22"/>
          <w:sz w:val="20"/>
          <w:szCs w:val="20"/>
        </w:rPr>
        <w:t xml:space="preserve"> </w:t>
      </w:r>
      <w:r>
        <w:rPr>
          <w:color w:val="57585A"/>
          <w:spacing w:val="-12"/>
          <w:sz w:val="20"/>
          <w:szCs w:val="20"/>
        </w:rPr>
        <w:t>the license area, resourc</w:t>
      </w:r>
      <w:r>
        <w:rPr>
          <w:color w:val="57585A"/>
          <w:spacing w:val="-13"/>
          <w:sz w:val="20"/>
          <w:szCs w:val="20"/>
        </w:rPr>
        <w:t>e are</w:t>
      </w:r>
      <w:r>
        <w:rPr>
          <w:color w:val="57585A"/>
          <w:sz w:val="20"/>
          <w:szCs w:val="20"/>
        </w:rPr>
        <w:t xml:space="preserve"> </w:t>
      </w:r>
      <w:r>
        <w:rPr>
          <w:color w:val="57585A"/>
          <w:spacing w:val="-10"/>
          <w:sz w:val="20"/>
          <w:szCs w:val="20"/>
        </w:rPr>
        <w:t>owned by the province or the federal government,</w:t>
      </w:r>
      <w:r>
        <w:rPr>
          <w:color w:val="57585A"/>
          <w:spacing w:val="-15"/>
          <w:sz w:val="20"/>
          <w:szCs w:val="20"/>
        </w:rPr>
        <w:t xml:space="preserve"> </w:t>
      </w:r>
      <w:r>
        <w:rPr>
          <w:color w:val="57585A"/>
          <w:spacing w:val="-10"/>
          <w:sz w:val="20"/>
          <w:szCs w:val="20"/>
        </w:rPr>
        <w:t>with the federal government holding</w:t>
      </w:r>
      <w:r>
        <w:rPr>
          <w:color w:val="57585A"/>
          <w:spacing w:val="-18"/>
          <w:sz w:val="20"/>
          <w:szCs w:val="20"/>
        </w:rPr>
        <w:t xml:space="preserve"> </w:t>
      </w:r>
      <w:r>
        <w:rPr>
          <w:color w:val="57585A"/>
          <w:spacing w:val="-10"/>
          <w:sz w:val="20"/>
          <w:szCs w:val="20"/>
        </w:rPr>
        <w:t>jurisdic</w:t>
      </w:r>
      <w:r>
        <w:rPr>
          <w:color w:val="57585A"/>
          <w:spacing w:val="-11"/>
          <w:sz w:val="20"/>
          <w:szCs w:val="20"/>
        </w:rPr>
        <w:t>tion over offshore areas greater</w:t>
      </w:r>
      <w:r>
        <w:rPr>
          <w:color w:val="57585A"/>
          <w:spacing w:val="-12"/>
          <w:sz w:val="20"/>
          <w:szCs w:val="20"/>
        </w:rPr>
        <w:t xml:space="preserve"> </w:t>
      </w:r>
      <w:r>
        <w:rPr>
          <w:color w:val="57585A"/>
          <w:spacing w:val="-11"/>
          <w:sz w:val="20"/>
          <w:szCs w:val="20"/>
        </w:rPr>
        <w:t>than</w:t>
      </w:r>
      <w:r>
        <w:rPr>
          <w:color w:val="57585A"/>
          <w:sz w:val="20"/>
          <w:szCs w:val="20"/>
        </w:rPr>
        <w:t xml:space="preserve"> </w:t>
      </w:r>
      <w:r>
        <w:rPr>
          <w:color w:val="57585A"/>
          <w:spacing w:val="-10"/>
          <w:sz w:val="20"/>
          <w:szCs w:val="20"/>
        </w:rPr>
        <w:t>12 miles but</w:t>
      </w:r>
      <w:r>
        <w:rPr>
          <w:color w:val="57585A"/>
          <w:spacing w:val="-16"/>
          <w:sz w:val="20"/>
          <w:szCs w:val="20"/>
        </w:rPr>
        <w:t xml:space="preserve"> </w:t>
      </w:r>
      <w:r>
        <w:rPr>
          <w:color w:val="57585A"/>
          <w:spacing w:val="-10"/>
          <w:sz w:val="20"/>
          <w:szCs w:val="20"/>
        </w:rPr>
        <w:t>within territorial</w:t>
      </w:r>
      <w:r>
        <w:rPr>
          <w:color w:val="57585A"/>
          <w:spacing w:val="-15"/>
          <w:sz w:val="20"/>
          <w:szCs w:val="20"/>
        </w:rPr>
        <w:t xml:space="preserve"> </w:t>
      </w:r>
      <w:r>
        <w:rPr>
          <w:color w:val="57585A"/>
          <w:spacing w:val="-10"/>
          <w:sz w:val="20"/>
          <w:szCs w:val="20"/>
        </w:rPr>
        <w:t>waters. Rights to exploration and production ar</w:t>
      </w:r>
      <w:r>
        <w:rPr>
          <w:color w:val="57585A"/>
          <w:spacing w:val="-11"/>
          <w:sz w:val="20"/>
          <w:szCs w:val="20"/>
        </w:rPr>
        <w:t>e granted by the applicable province or federal</w:t>
      </w:r>
    </w:p>
    <w:p w14:paraId="5FBC55E9">
      <w:pPr>
        <w:pStyle w:val="4"/>
        <w:spacing w:before="37" w:line="231" w:lineRule="auto"/>
        <w:ind w:left="367"/>
        <w:rPr>
          <w:sz w:val="20"/>
          <w:szCs w:val="20"/>
        </w:rPr>
      </w:pPr>
      <w:r>
        <w:rPr>
          <w:color w:val="57585A"/>
          <w:spacing w:val="-10"/>
          <w:sz w:val="20"/>
          <w:szCs w:val="20"/>
        </w:rPr>
        <w:t>government through a bidding process as</w:t>
      </w:r>
      <w:r>
        <w:rPr>
          <w:color w:val="57585A"/>
          <w:spacing w:val="-16"/>
          <w:sz w:val="20"/>
          <w:szCs w:val="20"/>
        </w:rPr>
        <w:t xml:space="preserve"> </w:t>
      </w:r>
      <w:r>
        <w:rPr>
          <w:color w:val="57585A"/>
          <w:spacing w:val="-11"/>
          <w:sz w:val="20"/>
          <w:szCs w:val="20"/>
        </w:rPr>
        <w:t>well as any enforcement by the governing authority.</w:t>
      </w:r>
    </w:p>
    <w:p w14:paraId="05288251">
      <w:pPr>
        <w:pStyle w:val="4"/>
        <w:spacing w:line="287" w:lineRule="auto"/>
      </w:pPr>
    </w:p>
    <w:p w14:paraId="76BCA406">
      <w:pPr>
        <w:pStyle w:val="4"/>
        <w:spacing w:before="58" w:line="273" w:lineRule="auto"/>
        <w:ind w:left="367" w:right="560" w:hanging="7"/>
        <w:rPr>
          <w:sz w:val="20"/>
          <w:szCs w:val="20"/>
        </w:rPr>
      </w:pPr>
      <w:r>
        <w:rPr>
          <w:color w:val="57585A"/>
          <w:spacing w:val="-11"/>
          <w:sz w:val="20"/>
          <w:szCs w:val="20"/>
        </w:rPr>
        <w:t>The federal regulatory authority for oil and gas sector is Secr</w:t>
      </w:r>
      <w:r>
        <w:rPr>
          <w:color w:val="57585A"/>
          <w:spacing w:val="-12"/>
          <w:sz w:val="20"/>
          <w:szCs w:val="20"/>
        </w:rPr>
        <w:t>etariat de Hidrocarburos. There are</w:t>
      </w:r>
      <w:r>
        <w:rPr>
          <w:color w:val="57585A"/>
          <w:spacing w:val="-16"/>
          <w:sz w:val="20"/>
          <w:szCs w:val="20"/>
        </w:rPr>
        <w:t xml:space="preserve"> </w:t>
      </w:r>
      <w:r>
        <w:rPr>
          <w:color w:val="57585A"/>
          <w:spacing w:val="-12"/>
          <w:sz w:val="20"/>
          <w:szCs w:val="20"/>
        </w:rPr>
        <w:t>various laws regulating the oil and</w:t>
      </w:r>
      <w:r>
        <w:rPr>
          <w:color w:val="57585A"/>
          <w:sz w:val="20"/>
          <w:szCs w:val="20"/>
        </w:rPr>
        <w:t xml:space="preserve"> </w:t>
      </w:r>
      <w:r>
        <w:rPr>
          <w:color w:val="57585A"/>
          <w:spacing w:val="-11"/>
          <w:sz w:val="20"/>
          <w:szCs w:val="20"/>
        </w:rPr>
        <w:t>gas sector</w:t>
      </w:r>
      <w:r>
        <w:rPr>
          <w:color w:val="57585A"/>
          <w:spacing w:val="-16"/>
          <w:sz w:val="20"/>
          <w:szCs w:val="20"/>
        </w:rPr>
        <w:t xml:space="preserve"> </w:t>
      </w:r>
      <w:r>
        <w:rPr>
          <w:color w:val="57585A"/>
          <w:spacing w:val="-11"/>
          <w:sz w:val="20"/>
          <w:szCs w:val="20"/>
        </w:rPr>
        <w:t xml:space="preserve">with the laws governing the oil and gas exploration and production </w:t>
      </w:r>
      <w:r>
        <w:rPr>
          <w:color w:val="57585A"/>
          <w:spacing w:val="-12"/>
          <w:sz w:val="20"/>
          <w:szCs w:val="20"/>
        </w:rPr>
        <w:t>as follows:</w:t>
      </w:r>
    </w:p>
    <w:p w14:paraId="33346DA0">
      <w:pPr>
        <w:pStyle w:val="4"/>
        <w:spacing w:line="262" w:lineRule="auto"/>
      </w:pPr>
    </w:p>
    <w:p w14:paraId="38F0C678">
      <w:pPr>
        <w:pStyle w:val="4"/>
        <w:spacing w:before="57" w:line="241" w:lineRule="auto"/>
        <w:ind w:left="357"/>
        <w:rPr>
          <w:sz w:val="20"/>
          <w:szCs w:val="20"/>
        </w:rPr>
      </w:pPr>
      <w:r>
        <w:rPr>
          <w:color w:val="33CCFF"/>
          <w:spacing w:val="-10"/>
          <w:sz w:val="20"/>
          <w:szCs w:val="20"/>
        </w:rPr>
        <w:t xml:space="preserve">•   </w:t>
      </w:r>
      <w:r>
        <w:rPr>
          <w:b/>
          <w:bCs/>
          <w:color w:val="57585A"/>
          <w:spacing w:val="-10"/>
          <w:sz w:val="20"/>
          <w:szCs w:val="20"/>
        </w:rPr>
        <w:t xml:space="preserve">1967: </w:t>
      </w:r>
      <w:r>
        <w:rPr>
          <w:color w:val="57585A"/>
          <w:spacing w:val="-10"/>
          <w:sz w:val="20"/>
          <w:szCs w:val="20"/>
        </w:rPr>
        <w:t>Law 17,319 creates the legal framework for the o</w:t>
      </w:r>
      <w:r>
        <w:rPr>
          <w:color w:val="57585A"/>
          <w:spacing w:val="-11"/>
          <w:sz w:val="20"/>
          <w:szCs w:val="20"/>
        </w:rPr>
        <w:t>il &amp; gas industry</w:t>
      </w:r>
    </w:p>
    <w:p w14:paraId="7179F17D">
      <w:pPr>
        <w:pStyle w:val="4"/>
        <w:spacing w:before="50" w:line="241" w:lineRule="auto"/>
        <w:ind w:left="357"/>
        <w:rPr>
          <w:sz w:val="20"/>
          <w:szCs w:val="20"/>
        </w:rPr>
      </w:pPr>
      <w:r>
        <w:rPr>
          <w:color w:val="33CCFF"/>
          <w:spacing w:val="-10"/>
          <w:sz w:val="20"/>
          <w:szCs w:val="20"/>
        </w:rPr>
        <w:t xml:space="preserve">•   </w:t>
      </w:r>
      <w:r>
        <w:rPr>
          <w:b/>
          <w:bCs/>
          <w:color w:val="57585A"/>
          <w:spacing w:val="-10"/>
          <w:sz w:val="20"/>
          <w:szCs w:val="20"/>
        </w:rPr>
        <w:t xml:space="preserve">2007: </w:t>
      </w:r>
      <w:r>
        <w:rPr>
          <w:color w:val="57585A"/>
          <w:spacing w:val="-10"/>
          <w:sz w:val="20"/>
          <w:szCs w:val="20"/>
        </w:rPr>
        <w:t>Law 26,197 transfers H/C ownership to provin</w:t>
      </w:r>
      <w:r>
        <w:rPr>
          <w:color w:val="57585A"/>
          <w:spacing w:val="-11"/>
          <w:sz w:val="20"/>
          <w:szCs w:val="20"/>
        </w:rPr>
        <w:t>ces for onshore &amp; offshore (12miles)</w:t>
      </w:r>
    </w:p>
    <w:p w14:paraId="51DC27D0">
      <w:pPr>
        <w:pStyle w:val="4"/>
        <w:spacing w:before="49" w:line="241" w:lineRule="auto"/>
        <w:ind w:left="357"/>
        <w:rPr>
          <w:sz w:val="20"/>
          <w:szCs w:val="20"/>
        </w:rPr>
      </w:pPr>
      <w:r>
        <w:rPr>
          <w:color w:val="33CCFF"/>
          <w:spacing w:val="-10"/>
          <w:sz w:val="20"/>
          <w:szCs w:val="20"/>
        </w:rPr>
        <w:t xml:space="preserve">•   </w:t>
      </w:r>
      <w:r>
        <w:rPr>
          <w:b/>
          <w:bCs/>
          <w:color w:val="57585A"/>
          <w:spacing w:val="-10"/>
          <w:sz w:val="20"/>
          <w:szCs w:val="20"/>
        </w:rPr>
        <w:t xml:space="preserve">2014: </w:t>
      </w:r>
      <w:r>
        <w:rPr>
          <w:color w:val="57585A"/>
          <w:spacing w:val="-10"/>
          <w:sz w:val="20"/>
          <w:szCs w:val="20"/>
        </w:rPr>
        <w:t>Law 27,007 establishes frame</w:t>
      </w:r>
      <w:r>
        <w:rPr>
          <w:color w:val="57585A"/>
          <w:spacing w:val="-16"/>
          <w:sz w:val="20"/>
          <w:szCs w:val="20"/>
        </w:rPr>
        <w:t xml:space="preserve"> </w:t>
      </w:r>
      <w:r>
        <w:rPr>
          <w:color w:val="57585A"/>
          <w:spacing w:val="-10"/>
          <w:sz w:val="20"/>
          <w:szCs w:val="20"/>
        </w:rPr>
        <w:t>work mainly for Unconven</w:t>
      </w:r>
      <w:r>
        <w:rPr>
          <w:color w:val="57585A"/>
          <w:spacing w:val="-11"/>
          <w:sz w:val="20"/>
          <w:szCs w:val="20"/>
        </w:rPr>
        <w:t>tionals</w:t>
      </w:r>
    </w:p>
    <w:p w14:paraId="16FD8B2F">
      <w:pPr>
        <w:pStyle w:val="4"/>
        <w:spacing w:line="281" w:lineRule="auto"/>
      </w:pPr>
    </w:p>
    <w:p w14:paraId="78B622B6">
      <w:pPr>
        <w:pStyle w:val="4"/>
        <w:spacing w:before="57" w:line="231" w:lineRule="auto"/>
        <w:ind w:left="376"/>
        <w:rPr>
          <w:sz w:val="20"/>
          <w:szCs w:val="20"/>
        </w:rPr>
      </w:pPr>
      <w:r>
        <w:rPr>
          <w:color w:val="57585A"/>
          <w:spacing w:val="-11"/>
          <w:sz w:val="20"/>
          <w:szCs w:val="20"/>
        </w:rPr>
        <w:t>In October 2014,</w:t>
      </w:r>
      <w:r>
        <w:rPr>
          <w:color w:val="57585A"/>
          <w:spacing w:val="-15"/>
          <w:sz w:val="20"/>
          <w:szCs w:val="20"/>
        </w:rPr>
        <w:t xml:space="preserve"> </w:t>
      </w:r>
      <w:r>
        <w:rPr>
          <w:color w:val="57585A"/>
          <w:spacing w:val="-11"/>
          <w:sz w:val="20"/>
          <w:szCs w:val="20"/>
        </w:rPr>
        <w:t>Argentina's government passed a bil</w:t>
      </w:r>
      <w:r>
        <w:rPr>
          <w:color w:val="57585A"/>
          <w:spacing w:val="-12"/>
          <w:sz w:val="20"/>
          <w:szCs w:val="20"/>
        </w:rPr>
        <w:t>l amending the market's hydrocarbons law. The amendments hoped to</w:t>
      </w:r>
    </w:p>
    <w:p w14:paraId="78AE900F">
      <w:pPr>
        <w:pStyle w:val="4"/>
        <w:spacing w:before="58" w:line="294" w:lineRule="auto"/>
        <w:ind w:left="369" w:right="446" w:firstLine="2"/>
        <w:rPr>
          <w:sz w:val="20"/>
          <w:szCs w:val="20"/>
        </w:rPr>
      </w:pPr>
      <w:r>
        <w:rPr>
          <w:color w:val="57585A"/>
          <w:spacing w:val="-11"/>
          <w:sz w:val="20"/>
          <w:szCs w:val="20"/>
        </w:rPr>
        <w:t>improve fiscal and regulatory stability and increase investment inflow</w:t>
      </w:r>
      <w:r>
        <w:rPr>
          <w:color w:val="57585A"/>
          <w:spacing w:val="-12"/>
          <w:sz w:val="20"/>
          <w:szCs w:val="20"/>
        </w:rPr>
        <w:t>s into</w:t>
      </w:r>
      <w:r>
        <w:rPr>
          <w:color w:val="57585A"/>
          <w:spacing w:val="-15"/>
          <w:sz w:val="20"/>
          <w:szCs w:val="20"/>
        </w:rPr>
        <w:t xml:space="preserve"> </w:t>
      </w:r>
      <w:r>
        <w:rPr>
          <w:color w:val="57585A"/>
          <w:spacing w:val="-12"/>
          <w:sz w:val="20"/>
          <w:szCs w:val="20"/>
        </w:rPr>
        <w:t>Argentina's emergent shale sector. The key changes are</w:t>
      </w:r>
      <w:r>
        <w:rPr>
          <w:color w:val="57585A"/>
          <w:sz w:val="20"/>
          <w:szCs w:val="20"/>
        </w:rPr>
        <w:t xml:space="preserve"> </w:t>
      </w:r>
      <w:r>
        <w:rPr>
          <w:color w:val="57585A"/>
          <w:spacing w:val="-12"/>
          <w:sz w:val="20"/>
          <w:szCs w:val="20"/>
        </w:rPr>
        <w:t>described here.</w:t>
      </w:r>
    </w:p>
    <w:p w14:paraId="668E6928">
      <w:pPr>
        <w:spacing w:line="294" w:lineRule="auto"/>
        <w:rPr>
          <w:sz w:val="20"/>
          <w:szCs w:val="20"/>
        </w:rPr>
        <w:sectPr>
          <w:footerReference r:id="rId67" w:type="default"/>
          <w:pgSz w:w="11906" w:h="16838"/>
          <w:pgMar w:top="400" w:right="490" w:bottom="883" w:left="490" w:header="0" w:footer="0" w:gutter="0"/>
          <w:cols w:space="720" w:num="1"/>
        </w:sectPr>
      </w:pPr>
    </w:p>
    <w:p w14:paraId="7423E488">
      <w:pPr>
        <w:pStyle w:val="4"/>
        <w:spacing w:before="73" w:line="241" w:lineRule="auto"/>
        <w:ind w:left="7372"/>
        <w:rPr>
          <w:sz w:val="20"/>
          <w:szCs w:val="20"/>
        </w:rPr>
      </w:pPr>
      <w:r>
        <w:drawing>
          <wp:anchor distT="0" distB="0" distL="0" distR="0" simplePos="0" relativeHeight="25191526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16288" behindDoc="0" locked="0" layoutInCell="0" allowOverlap="1">
            <wp:simplePos x="0" y="0"/>
            <wp:positionH relativeFrom="page">
              <wp:posOffset>311150</wp:posOffset>
            </wp:positionH>
            <wp:positionV relativeFrom="page">
              <wp:posOffset>0</wp:posOffset>
            </wp:positionV>
            <wp:extent cx="19050" cy="814070"/>
            <wp:effectExtent l="0" t="0" r="0" b="0"/>
            <wp:wrapNone/>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942B049">
      <w:pPr>
        <w:pStyle w:val="4"/>
        <w:spacing w:line="278" w:lineRule="auto"/>
      </w:pPr>
    </w:p>
    <w:p w14:paraId="56ACCB9F">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2C40922">
      <w:pPr>
        <w:pStyle w:val="4"/>
        <w:spacing w:line="467" w:lineRule="auto"/>
      </w:pPr>
    </w:p>
    <w:p w14:paraId="39BA2B10">
      <w:pPr>
        <w:pStyle w:val="4"/>
        <w:spacing w:before="57" w:line="241" w:lineRule="auto"/>
        <w:ind w:left="375"/>
        <w:rPr>
          <w:sz w:val="20"/>
          <w:szCs w:val="20"/>
        </w:rPr>
      </w:pPr>
      <w:r>
        <w:rPr>
          <w:b/>
          <w:bCs/>
          <w:color w:val="57585A"/>
          <w:spacing w:val="-11"/>
          <w:sz w:val="20"/>
          <w:szCs w:val="20"/>
        </w:rPr>
        <w:t>Licencing</w:t>
      </w:r>
      <w:r>
        <w:rPr>
          <w:b/>
          <w:bCs/>
          <w:color w:val="57585A"/>
          <w:spacing w:val="-5"/>
          <w:sz w:val="20"/>
          <w:szCs w:val="20"/>
        </w:rPr>
        <w:t xml:space="preserve"> </w:t>
      </w:r>
      <w:r>
        <w:rPr>
          <w:b/>
          <w:bCs/>
          <w:color w:val="57585A"/>
          <w:spacing w:val="-11"/>
          <w:sz w:val="20"/>
          <w:szCs w:val="20"/>
        </w:rPr>
        <w:t>Terms</w:t>
      </w:r>
    </w:p>
    <w:p w14:paraId="19BBA9F1">
      <w:pPr>
        <w:pStyle w:val="4"/>
        <w:spacing w:line="281" w:lineRule="auto"/>
      </w:pPr>
    </w:p>
    <w:p w14:paraId="26E8B0A4">
      <w:pPr>
        <w:pStyle w:val="4"/>
        <w:spacing w:before="57" w:line="273" w:lineRule="auto"/>
        <w:ind w:left="362" w:right="403" w:hanging="2"/>
        <w:rPr>
          <w:sz w:val="20"/>
          <w:szCs w:val="20"/>
        </w:rPr>
      </w:pPr>
      <w:r>
        <w:rPr>
          <w:color w:val="57585A"/>
          <w:spacing w:val="-11"/>
          <w:sz w:val="20"/>
          <w:szCs w:val="20"/>
        </w:rPr>
        <w:t xml:space="preserve">The federal and provincial states grant exploration permits and production concessions. The </w:t>
      </w:r>
      <w:r>
        <w:rPr>
          <w:color w:val="57585A"/>
          <w:spacing w:val="-12"/>
          <w:sz w:val="20"/>
          <w:szCs w:val="20"/>
        </w:rPr>
        <w:t>exploration permits are usually granted</w:t>
      </w:r>
      <w:r>
        <w:rPr>
          <w:color w:val="57585A"/>
          <w:sz w:val="20"/>
          <w:szCs w:val="20"/>
        </w:rPr>
        <w:t xml:space="preserve"> </w:t>
      </w:r>
      <w:r>
        <w:rPr>
          <w:color w:val="57585A"/>
          <w:spacing w:val="-10"/>
          <w:sz w:val="20"/>
          <w:szCs w:val="20"/>
        </w:rPr>
        <w:t>to a company that offers the most amount of investment in the</w:t>
      </w:r>
      <w:r>
        <w:rPr>
          <w:color w:val="57585A"/>
          <w:spacing w:val="3"/>
          <w:sz w:val="20"/>
          <w:szCs w:val="20"/>
        </w:rPr>
        <w:t xml:space="preserve"> </w:t>
      </w:r>
      <w:r>
        <w:rPr>
          <w:color w:val="57585A"/>
          <w:spacing w:val="-10"/>
          <w:sz w:val="20"/>
          <w:szCs w:val="20"/>
        </w:rPr>
        <w:t>area</w:t>
      </w:r>
      <w:r>
        <w:rPr>
          <w:color w:val="57585A"/>
          <w:spacing w:val="-13"/>
          <w:sz w:val="20"/>
          <w:szCs w:val="20"/>
        </w:rPr>
        <w:t xml:space="preserve"> </w:t>
      </w:r>
      <w:r>
        <w:rPr>
          <w:color w:val="57585A"/>
          <w:spacing w:val="-10"/>
          <w:sz w:val="20"/>
          <w:szCs w:val="20"/>
        </w:rPr>
        <w:t>through</w:t>
      </w:r>
      <w:r>
        <w:rPr>
          <w:color w:val="57585A"/>
          <w:spacing w:val="-7"/>
          <w:sz w:val="20"/>
          <w:szCs w:val="20"/>
        </w:rPr>
        <w:t xml:space="preserve"> </w:t>
      </w:r>
      <w:r>
        <w:rPr>
          <w:color w:val="57585A"/>
          <w:spacing w:val="-10"/>
          <w:sz w:val="20"/>
          <w:szCs w:val="20"/>
        </w:rPr>
        <w:t>a public</w:t>
      </w:r>
      <w:r>
        <w:rPr>
          <w:color w:val="57585A"/>
          <w:spacing w:val="-13"/>
          <w:sz w:val="20"/>
          <w:szCs w:val="20"/>
        </w:rPr>
        <w:t xml:space="preserve"> </w:t>
      </w:r>
      <w:r>
        <w:rPr>
          <w:color w:val="57585A"/>
          <w:spacing w:val="-10"/>
          <w:sz w:val="20"/>
          <w:szCs w:val="20"/>
        </w:rPr>
        <w:t>tender (a bidding round).</w:t>
      </w:r>
    </w:p>
    <w:p w14:paraId="4DE88F9D">
      <w:pPr>
        <w:pStyle w:val="4"/>
        <w:spacing w:line="265" w:lineRule="auto"/>
      </w:pPr>
    </w:p>
    <w:p w14:paraId="7ED33FAB">
      <w:pPr>
        <w:pStyle w:val="4"/>
        <w:spacing w:before="58" w:line="231" w:lineRule="auto"/>
        <w:ind w:left="376"/>
        <w:rPr>
          <w:sz w:val="20"/>
          <w:szCs w:val="20"/>
        </w:rPr>
      </w:pPr>
      <w:r>
        <w:rPr>
          <w:color w:val="57585A"/>
          <w:spacing w:val="-13"/>
          <w:sz w:val="20"/>
          <w:szCs w:val="20"/>
        </w:rPr>
        <w:t>Legal Framework for Exploration Permits and Exploitation Concessions for Fede</w:t>
      </w:r>
      <w:r>
        <w:rPr>
          <w:color w:val="57585A"/>
          <w:spacing w:val="-14"/>
          <w:sz w:val="20"/>
          <w:szCs w:val="20"/>
        </w:rPr>
        <w:t>ral</w:t>
      </w:r>
      <w:r>
        <w:rPr>
          <w:color w:val="57585A"/>
          <w:sz w:val="20"/>
          <w:szCs w:val="20"/>
        </w:rPr>
        <w:t xml:space="preserve"> </w:t>
      </w:r>
      <w:r>
        <w:rPr>
          <w:color w:val="57585A"/>
          <w:spacing w:val="-14"/>
          <w:sz w:val="20"/>
          <w:szCs w:val="20"/>
        </w:rPr>
        <w:t>Licensing:</w:t>
      </w:r>
    </w:p>
    <w:p w14:paraId="1F2BC6AF">
      <w:pPr>
        <w:pStyle w:val="4"/>
        <w:spacing w:line="287" w:lineRule="auto"/>
      </w:pPr>
    </w:p>
    <w:p w14:paraId="73F1065B">
      <w:pPr>
        <w:pStyle w:val="4"/>
        <w:spacing w:before="58" w:line="231" w:lineRule="auto"/>
        <w:ind w:left="360"/>
        <w:rPr>
          <w:sz w:val="20"/>
          <w:szCs w:val="20"/>
        </w:rPr>
      </w:pPr>
      <w:r>
        <w:rPr>
          <w:color w:val="57585A"/>
          <w:spacing w:val="-10"/>
          <w:sz w:val="20"/>
          <w:szCs w:val="20"/>
        </w:rPr>
        <w:t>The terms of</w:t>
      </w:r>
      <w:r>
        <w:rPr>
          <w:color w:val="57585A"/>
          <w:spacing w:val="-21"/>
          <w:sz w:val="20"/>
          <w:szCs w:val="20"/>
        </w:rPr>
        <w:t xml:space="preserve"> </w:t>
      </w:r>
      <w:r>
        <w:rPr>
          <w:color w:val="57585A"/>
          <w:spacing w:val="-10"/>
          <w:sz w:val="20"/>
          <w:szCs w:val="20"/>
        </w:rPr>
        <w:t>the exploration permits</w:t>
      </w:r>
      <w:r>
        <w:rPr>
          <w:color w:val="57585A"/>
          <w:spacing w:val="-15"/>
          <w:sz w:val="20"/>
          <w:szCs w:val="20"/>
        </w:rPr>
        <w:t xml:space="preserve"> </w:t>
      </w:r>
      <w:r>
        <w:rPr>
          <w:color w:val="57585A"/>
          <w:spacing w:val="-10"/>
          <w:sz w:val="20"/>
          <w:szCs w:val="20"/>
        </w:rPr>
        <w:t>will be set in each tender, according to the</w:t>
      </w:r>
      <w:r>
        <w:rPr>
          <w:color w:val="57585A"/>
          <w:spacing w:val="-11"/>
          <w:sz w:val="20"/>
          <w:szCs w:val="20"/>
        </w:rPr>
        <w:t xml:space="preserve"> time limits regulated by the hydrocarbons law.</w:t>
      </w:r>
    </w:p>
    <w:p w14:paraId="24D5C8B4">
      <w:pPr>
        <w:pStyle w:val="4"/>
        <w:spacing w:line="284" w:lineRule="auto"/>
      </w:pPr>
    </w:p>
    <w:p w14:paraId="6FA6B850">
      <w:pPr>
        <w:pStyle w:val="4"/>
        <w:spacing w:before="58" w:line="233" w:lineRule="exact"/>
        <w:ind w:left="375"/>
        <w:rPr>
          <w:sz w:val="20"/>
          <w:szCs w:val="20"/>
        </w:rPr>
      </w:pPr>
      <w:r>
        <w:rPr>
          <w:b/>
          <w:bCs/>
          <w:color w:val="57585A"/>
          <w:spacing w:val="-8"/>
          <w:position w:val="2"/>
          <w:sz w:val="20"/>
          <w:szCs w:val="20"/>
        </w:rPr>
        <w:t>Exploration Permits</w:t>
      </w:r>
    </w:p>
    <w:p w14:paraId="61C71A90">
      <w:pPr>
        <w:pStyle w:val="4"/>
        <w:spacing w:line="277" w:lineRule="auto"/>
      </w:pPr>
    </w:p>
    <w:p w14:paraId="1B9D11C2">
      <w:pPr>
        <w:pStyle w:val="4"/>
        <w:spacing w:before="59" w:line="234" w:lineRule="auto"/>
        <w:ind w:left="357"/>
        <w:rPr>
          <w:sz w:val="20"/>
          <w:szCs w:val="20"/>
        </w:rPr>
      </w:pPr>
      <w:r>
        <w:rPr>
          <w:color w:val="33CCFF"/>
          <w:spacing w:val="-10"/>
          <w:sz w:val="20"/>
          <w:szCs w:val="20"/>
        </w:rPr>
        <w:t xml:space="preserve">•   </w:t>
      </w:r>
      <w:r>
        <w:rPr>
          <w:color w:val="57585A"/>
          <w:spacing w:val="-10"/>
          <w:sz w:val="20"/>
          <w:szCs w:val="20"/>
        </w:rPr>
        <w:t>Conventional exploration</w:t>
      </w:r>
      <w:r>
        <w:rPr>
          <w:color w:val="57585A"/>
          <w:spacing w:val="-16"/>
          <w:sz w:val="20"/>
          <w:szCs w:val="20"/>
        </w:rPr>
        <w:t xml:space="preserve"> </w:t>
      </w:r>
      <w:r>
        <w:rPr>
          <w:color w:val="57585A"/>
          <w:spacing w:val="-10"/>
          <w:sz w:val="20"/>
          <w:szCs w:val="20"/>
        </w:rPr>
        <w:t>– two three-year periods</w:t>
      </w:r>
      <w:r>
        <w:rPr>
          <w:color w:val="57585A"/>
          <w:spacing w:val="-16"/>
          <w:sz w:val="20"/>
          <w:szCs w:val="20"/>
        </w:rPr>
        <w:t xml:space="preserve"> </w:t>
      </w:r>
      <w:r>
        <w:rPr>
          <w:color w:val="57585A"/>
          <w:spacing w:val="-10"/>
          <w:sz w:val="20"/>
          <w:szCs w:val="20"/>
        </w:rPr>
        <w:t>with an extensi</w:t>
      </w:r>
      <w:r>
        <w:rPr>
          <w:color w:val="57585A"/>
          <w:spacing w:val="-11"/>
          <w:sz w:val="20"/>
          <w:szCs w:val="20"/>
        </w:rPr>
        <w:t>on up to five</w:t>
      </w:r>
      <w:r>
        <w:rPr>
          <w:color w:val="57585A"/>
          <w:spacing w:val="-15"/>
          <w:sz w:val="20"/>
          <w:szCs w:val="20"/>
        </w:rPr>
        <w:t xml:space="preserve"> </w:t>
      </w:r>
      <w:r>
        <w:rPr>
          <w:color w:val="57585A"/>
          <w:spacing w:val="-11"/>
          <w:sz w:val="20"/>
          <w:szCs w:val="20"/>
        </w:rPr>
        <w:t>years (3+3+5)</w:t>
      </w:r>
    </w:p>
    <w:p w14:paraId="0CB5CC7E">
      <w:pPr>
        <w:pStyle w:val="4"/>
        <w:spacing w:before="55" w:line="262" w:lineRule="auto"/>
        <w:ind w:left="604" w:right="527" w:hanging="247"/>
        <w:rPr>
          <w:sz w:val="20"/>
          <w:szCs w:val="20"/>
        </w:rPr>
      </w:pPr>
      <w:r>
        <w:rPr>
          <w:color w:val="33CCFF"/>
          <w:spacing w:val="-11"/>
          <w:sz w:val="20"/>
          <w:szCs w:val="20"/>
        </w:rPr>
        <w:t xml:space="preserve">•   </w:t>
      </w:r>
      <w:r>
        <w:rPr>
          <w:color w:val="57585A"/>
          <w:spacing w:val="-11"/>
          <w:sz w:val="20"/>
          <w:szCs w:val="20"/>
        </w:rPr>
        <w:t>Unconventional and offshore exploration</w:t>
      </w:r>
      <w:r>
        <w:rPr>
          <w:color w:val="57585A"/>
          <w:spacing w:val="1"/>
          <w:sz w:val="20"/>
          <w:szCs w:val="20"/>
        </w:rPr>
        <w:t xml:space="preserve"> </w:t>
      </w:r>
      <w:r>
        <w:rPr>
          <w:color w:val="57585A"/>
          <w:spacing w:val="-11"/>
          <w:sz w:val="20"/>
          <w:szCs w:val="20"/>
        </w:rPr>
        <w:t>– two four-year periods,</w:t>
      </w:r>
      <w:r>
        <w:rPr>
          <w:color w:val="57585A"/>
          <w:spacing w:val="-16"/>
          <w:sz w:val="20"/>
          <w:szCs w:val="20"/>
        </w:rPr>
        <w:t xml:space="preserve"> </w:t>
      </w:r>
      <w:r>
        <w:rPr>
          <w:color w:val="57585A"/>
          <w:spacing w:val="-11"/>
          <w:sz w:val="20"/>
          <w:szCs w:val="20"/>
        </w:rPr>
        <w:t>with an extension up to five</w:t>
      </w:r>
      <w:r>
        <w:rPr>
          <w:color w:val="57585A"/>
          <w:spacing w:val="-15"/>
          <w:sz w:val="20"/>
          <w:szCs w:val="20"/>
        </w:rPr>
        <w:t xml:space="preserve"> </w:t>
      </w:r>
      <w:r>
        <w:rPr>
          <w:color w:val="57585A"/>
          <w:spacing w:val="-11"/>
          <w:sz w:val="20"/>
          <w:szCs w:val="20"/>
        </w:rPr>
        <w:t>years (4+4+5). Except for shallow</w:t>
      </w:r>
      <w:r>
        <w:rPr>
          <w:color w:val="57585A"/>
          <w:sz w:val="20"/>
          <w:szCs w:val="20"/>
        </w:rPr>
        <w:t xml:space="preserve"> </w:t>
      </w:r>
      <w:r>
        <w:rPr>
          <w:color w:val="57585A"/>
          <w:spacing w:val="-13"/>
          <w:sz w:val="20"/>
          <w:szCs w:val="20"/>
        </w:rPr>
        <w:t>waters (Austral Basin) where 4+3+4.</w:t>
      </w:r>
    </w:p>
    <w:p w14:paraId="3D196873">
      <w:pPr>
        <w:pStyle w:val="4"/>
        <w:spacing w:line="284" w:lineRule="auto"/>
      </w:pPr>
    </w:p>
    <w:p w14:paraId="6EA50096">
      <w:pPr>
        <w:pStyle w:val="4"/>
        <w:spacing w:before="58" w:line="241" w:lineRule="auto"/>
        <w:ind w:left="375"/>
        <w:rPr>
          <w:sz w:val="20"/>
          <w:szCs w:val="20"/>
        </w:rPr>
      </w:pPr>
      <w:r>
        <w:rPr>
          <w:b/>
          <w:bCs/>
          <w:color w:val="57585A"/>
          <w:spacing w:val="-9"/>
          <w:sz w:val="20"/>
          <w:szCs w:val="20"/>
        </w:rPr>
        <w:t>Production Concession (extensions a</w:t>
      </w:r>
      <w:r>
        <w:rPr>
          <w:b/>
          <w:bCs/>
          <w:color w:val="57585A"/>
          <w:spacing w:val="-10"/>
          <w:sz w:val="20"/>
          <w:szCs w:val="20"/>
        </w:rPr>
        <w:t>pply)</w:t>
      </w:r>
    </w:p>
    <w:p w14:paraId="11F72939">
      <w:pPr>
        <w:pStyle w:val="4"/>
        <w:spacing w:line="280" w:lineRule="auto"/>
      </w:pPr>
    </w:p>
    <w:p w14:paraId="7217D675">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25</w:t>
      </w:r>
      <w:r>
        <w:rPr>
          <w:color w:val="57585A"/>
          <w:spacing w:val="-4"/>
          <w:sz w:val="20"/>
          <w:szCs w:val="20"/>
        </w:rPr>
        <w:t xml:space="preserve"> </w:t>
      </w:r>
      <w:r>
        <w:rPr>
          <w:color w:val="57585A"/>
          <w:spacing w:val="-10"/>
          <w:sz w:val="20"/>
          <w:szCs w:val="20"/>
        </w:rPr>
        <w:t>years for conventional concession,</w:t>
      </w:r>
    </w:p>
    <w:p w14:paraId="02722B5A">
      <w:pPr>
        <w:pStyle w:val="4"/>
        <w:spacing w:before="56" w:line="234" w:lineRule="auto"/>
        <w:ind w:left="357"/>
        <w:rPr>
          <w:sz w:val="20"/>
          <w:szCs w:val="20"/>
        </w:rPr>
      </w:pPr>
      <w:r>
        <w:rPr>
          <w:color w:val="33CCFF"/>
          <w:spacing w:val="-9"/>
          <w:sz w:val="20"/>
          <w:szCs w:val="20"/>
        </w:rPr>
        <w:t xml:space="preserve">•   </w:t>
      </w:r>
      <w:r>
        <w:rPr>
          <w:color w:val="57585A"/>
          <w:spacing w:val="-9"/>
          <w:sz w:val="20"/>
          <w:szCs w:val="20"/>
        </w:rPr>
        <w:t>35</w:t>
      </w:r>
      <w:r>
        <w:rPr>
          <w:color w:val="57585A"/>
          <w:spacing w:val="-16"/>
          <w:sz w:val="20"/>
          <w:szCs w:val="20"/>
        </w:rPr>
        <w:t xml:space="preserve"> </w:t>
      </w:r>
      <w:r>
        <w:rPr>
          <w:color w:val="57585A"/>
          <w:spacing w:val="-9"/>
          <w:sz w:val="20"/>
          <w:szCs w:val="20"/>
        </w:rPr>
        <w:t>years for non-conv</w:t>
      </w:r>
      <w:r>
        <w:rPr>
          <w:color w:val="57585A"/>
          <w:spacing w:val="-10"/>
          <w:sz w:val="20"/>
          <w:szCs w:val="20"/>
        </w:rPr>
        <w:t>entional concession,</w:t>
      </w:r>
    </w:p>
    <w:p w14:paraId="4B41353F">
      <w:pPr>
        <w:pStyle w:val="4"/>
        <w:spacing w:before="55" w:line="234" w:lineRule="auto"/>
        <w:ind w:left="357"/>
        <w:rPr>
          <w:sz w:val="20"/>
          <w:szCs w:val="20"/>
        </w:rPr>
      </w:pPr>
      <w:r>
        <w:rPr>
          <w:color w:val="33CCFF"/>
          <w:spacing w:val="-9"/>
          <w:sz w:val="20"/>
          <w:szCs w:val="20"/>
        </w:rPr>
        <w:t xml:space="preserve">•   </w:t>
      </w:r>
      <w:r>
        <w:rPr>
          <w:color w:val="57585A"/>
          <w:spacing w:val="-9"/>
          <w:sz w:val="20"/>
          <w:szCs w:val="20"/>
        </w:rPr>
        <w:t>30</w:t>
      </w:r>
      <w:r>
        <w:rPr>
          <w:color w:val="57585A"/>
          <w:spacing w:val="-16"/>
          <w:sz w:val="20"/>
          <w:szCs w:val="20"/>
        </w:rPr>
        <w:t xml:space="preserve"> </w:t>
      </w:r>
      <w:r>
        <w:rPr>
          <w:color w:val="57585A"/>
          <w:spacing w:val="-9"/>
          <w:sz w:val="20"/>
          <w:szCs w:val="20"/>
        </w:rPr>
        <w:t>years for off</w:t>
      </w:r>
      <w:r>
        <w:rPr>
          <w:color w:val="57585A"/>
          <w:spacing w:val="-10"/>
          <w:sz w:val="20"/>
          <w:szCs w:val="20"/>
        </w:rPr>
        <w:t>shore concession.</w:t>
      </w:r>
    </w:p>
    <w:p w14:paraId="79521114">
      <w:pPr>
        <w:pStyle w:val="4"/>
        <w:spacing w:line="285" w:lineRule="auto"/>
      </w:pPr>
    </w:p>
    <w:p w14:paraId="3F07094E">
      <w:pPr>
        <w:pStyle w:val="4"/>
        <w:spacing w:before="58" w:line="231" w:lineRule="auto"/>
        <w:ind w:left="376"/>
        <w:rPr>
          <w:sz w:val="20"/>
          <w:szCs w:val="20"/>
        </w:rPr>
      </w:pPr>
      <w:r>
        <w:rPr>
          <w:color w:val="57585A"/>
          <w:spacing w:val="-12"/>
          <w:sz w:val="20"/>
          <w:szCs w:val="20"/>
        </w:rPr>
        <w:t>Fiscal regime consists of</w:t>
      </w:r>
      <w:r>
        <w:rPr>
          <w:color w:val="57585A"/>
          <w:spacing w:val="-21"/>
          <w:sz w:val="20"/>
          <w:szCs w:val="20"/>
        </w:rPr>
        <w:t xml:space="preserve"> </w:t>
      </w:r>
      <w:r>
        <w:rPr>
          <w:color w:val="57585A"/>
          <w:spacing w:val="-13"/>
          <w:sz w:val="20"/>
          <w:szCs w:val="20"/>
        </w:rPr>
        <w:t>federal and provincial taxes. Selected rates:</w:t>
      </w:r>
    </w:p>
    <w:p w14:paraId="7BD30AB2">
      <w:pPr>
        <w:pStyle w:val="4"/>
        <w:spacing w:line="284" w:lineRule="auto"/>
      </w:pPr>
    </w:p>
    <w:p w14:paraId="22F1F811">
      <w:pPr>
        <w:pStyle w:val="4"/>
        <w:spacing w:before="58" w:line="241" w:lineRule="auto"/>
        <w:ind w:left="375"/>
        <w:rPr>
          <w:sz w:val="20"/>
          <w:szCs w:val="20"/>
        </w:rPr>
      </w:pPr>
      <w:r>
        <w:rPr>
          <w:b/>
          <w:bCs/>
          <w:color w:val="57585A"/>
          <w:spacing w:val="-11"/>
          <w:sz w:val="20"/>
          <w:szCs w:val="20"/>
        </w:rPr>
        <w:t xml:space="preserve">Royalty Regime: </w:t>
      </w:r>
      <w:r>
        <w:rPr>
          <w:color w:val="57585A"/>
          <w:spacing w:val="-11"/>
          <w:sz w:val="20"/>
          <w:szCs w:val="20"/>
        </w:rPr>
        <w:t>5-12%</w:t>
      </w:r>
    </w:p>
    <w:p w14:paraId="4629EFA6">
      <w:pPr>
        <w:pStyle w:val="4"/>
        <w:spacing w:line="278" w:lineRule="auto"/>
      </w:pPr>
    </w:p>
    <w:p w14:paraId="5932D1A2">
      <w:pPr>
        <w:pStyle w:val="4"/>
        <w:spacing w:before="57" w:line="234" w:lineRule="exact"/>
        <w:ind w:left="368"/>
        <w:rPr>
          <w:sz w:val="20"/>
          <w:szCs w:val="20"/>
        </w:rPr>
      </w:pPr>
      <w:r>
        <w:rPr>
          <w:b/>
          <w:bCs/>
          <w:color w:val="57585A"/>
          <w:spacing w:val="-10"/>
          <w:position w:val="2"/>
          <w:sz w:val="20"/>
          <w:szCs w:val="20"/>
        </w:rPr>
        <w:t>Corporate Income</w:t>
      </w:r>
      <w:r>
        <w:rPr>
          <w:b/>
          <w:bCs/>
          <w:color w:val="57585A"/>
          <w:spacing w:val="-15"/>
          <w:position w:val="2"/>
          <w:sz w:val="20"/>
          <w:szCs w:val="20"/>
        </w:rPr>
        <w:t xml:space="preserve"> </w:t>
      </w:r>
      <w:r>
        <w:rPr>
          <w:b/>
          <w:bCs/>
          <w:color w:val="57585A"/>
          <w:spacing w:val="-10"/>
          <w:position w:val="2"/>
          <w:sz w:val="20"/>
          <w:szCs w:val="20"/>
        </w:rPr>
        <w:t xml:space="preserve">Tax: </w:t>
      </w:r>
      <w:r>
        <w:rPr>
          <w:color w:val="57585A"/>
          <w:spacing w:val="-10"/>
          <w:position w:val="2"/>
          <w:sz w:val="20"/>
          <w:szCs w:val="20"/>
        </w:rPr>
        <w:t>25-</w:t>
      </w:r>
      <w:r>
        <w:rPr>
          <w:color w:val="57585A"/>
          <w:spacing w:val="-11"/>
          <w:position w:val="2"/>
          <w:sz w:val="20"/>
          <w:szCs w:val="20"/>
        </w:rPr>
        <w:t>30%</w:t>
      </w:r>
    </w:p>
    <w:p w14:paraId="50B46244">
      <w:pPr>
        <w:pStyle w:val="4"/>
        <w:spacing w:line="278" w:lineRule="auto"/>
      </w:pPr>
    </w:p>
    <w:p w14:paraId="32F0C371">
      <w:pPr>
        <w:pStyle w:val="4"/>
        <w:spacing w:before="58" w:line="231" w:lineRule="auto"/>
        <w:ind w:left="376"/>
        <w:rPr>
          <w:sz w:val="20"/>
          <w:szCs w:val="20"/>
        </w:rPr>
      </w:pPr>
      <w:r>
        <w:rPr>
          <w:color w:val="57585A"/>
          <w:spacing w:val="-11"/>
          <w:sz w:val="20"/>
          <w:szCs w:val="20"/>
        </w:rPr>
        <w:t>Environmental regulations set</w:t>
      </w:r>
      <w:r>
        <w:rPr>
          <w:color w:val="57585A"/>
          <w:spacing w:val="-12"/>
          <w:sz w:val="20"/>
          <w:szCs w:val="20"/>
        </w:rPr>
        <w:t xml:space="preserve"> by Federal Government and specific legislation set by provinces.</w:t>
      </w:r>
    </w:p>
    <w:p w14:paraId="5B153641">
      <w:pPr>
        <w:pStyle w:val="4"/>
        <w:spacing w:line="287" w:lineRule="auto"/>
      </w:pPr>
    </w:p>
    <w:p w14:paraId="5D489319">
      <w:pPr>
        <w:pStyle w:val="4"/>
        <w:spacing w:before="57" w:line="273" w:lineRule="auto"/>
        <w:ind w:left="368" w:right="921" w:hanging="8"/>
        <w:rPr>
          <w:sz w:val="20"/>
          <w:szCs w:val="20"/>
        </w:rPr>
      </w:pPr>
      <w:r>
        <w:rPr>
          <w:color w:val="57585A"/>
          <w:spacing w:val="-10"/>
          <w:sz w:val="20"/>
          <w:szCs w:val="20"/>
        </w:rPr>
        <w:t>There are specific re</w:t>
      </w:r>
      <w:r>
        <w:rPr>
          <w:color w:val="57585A"/>
          <w:spacing w:val="-11"/>
          <w:sz w:val="20"/>
          <w:szCs w:val="20"/>
        </w:rPr>
        <w:t>gulations, encouraging investments in the non-conventional reservoirs in the Neuquén basin or offshore</w:t>
      </w:r>
      <w:r>
        <w:rPr>
          <w:color w:val="57585A"/>
          <w:sz w:val="20"/>
          <w:szCs w:val="20"/>
        </w:rPr>
        <w:t xml:space="preserve"> </w:t>
      </w:r>
      <w:r>
        <w:rPr>
          <w:color w:val="57585A"/>
          <w:spacing w:val="-10"/>
          <w:sz w:val="20"/>
          <w:szCs w:val="20"/>
        </w:rPr>
        <w:t>(Resolution No. 46-E/2017 and Resolu</w:t>
      </w:r>
      <w:r>
        <w:rPr>
          <w:color w:val="57585A"/>
          <w:spacing w:val="-11"/>
          <w:sz w:val="20"/>
          <w:szCs w:val="20"/>
        </w:rPr>
        <w:t>tion No. 65/2018).</w:t>
      </w:r>
    </w:p>
    <w:p w14:paraId="59DA8898">
      <w:pPr>
        <w:pStyle w:val="4"/>
        <w:spacing w:line="276" w:lineRule="auto"/>
      </w:pPr>
    </w:p>
    <w:p w14:paraId="38E0C46D">
      <w:pPr>
        <w:pStyle w:val="4"/>
        <w:spacing w:line="276" w:lineRule="auto"/>
      </w:pPr>
    </w:p>
    <w:p w14:paraId="198BB72B">
      <w:pPr>
        <w:pStyle w:val="4"/>
        <w:spacing w:before="58" w:line="231" w:lineRule="auto"/>
        <w:ind w:left="369"/>
        <w:rPr>
          <w:sz w:val="20"/>
          <w:szCs w:val="20"/>
        </w:rPr>
      </w:pPr>
      <w:r>
        <w:rPr>
          <w:color w:val="57585A"/>
          <w:spacing w:val="-11"/>
          <w:sz w:val="20"/>
          <w:szCs w:val="20"/>
        </w:rPr>
        <w:t>On a fundamental basis,</w:t>
      </w:r>
      <w:r>
        <w:rPr>
          <w:color w:val="57585A"/>
          <w:spacing w:val="-15"/>
          <w:sz w:val="20"/>
          <w:szCs w:val="20"/>
        </w:rPr>
        <w:t xml:space="preserve"> </w:t>
      </w:r>
      <w:r>
        <w:rPr>
          <w:color w:val="57585A"/>
          <w:spacing w:val="-11"/>
          <w:sz w:val="20"/>
          <w:szCs w:val="20"/>
        </w:rPr>
        <w:t>we see the risks in</w:t>
      </w:r>
      <w:r>
        <w:rPr>
          <w:color w:val="57585A"/>
          <w:spacing w:val="-16"/>
          <w:sz w:val="20"/>
          <w:szCs w:val="20"/>
        </w:rPr>
        <w:t xml:space="preserve"> </w:t>
      </w:r>
      <w:r>
        <w:rPr>
          <w:color w:val="57585A"/>
          <w:spacing w:val="-11"/>
          <w:sz w:val="20"/>
          <w:szCs w:val="20"/>
        </w:rPr>
        <w:t>Argentina as</w:t>
      </w:r>
      <w:r>
        <w:rPr>
          <w:color w:val="57585A"/>
          <w:spacing w:val="-15"/>
          <w:sz w:val="20"/>
          <w:szCs w:val="20"/>
        </w:rPr>
        <w:t xml:space="preserve"> </w:t>
      </w:r>
      <w:r>
        <w:rPr>
          <w:color w:val="57585A"/>
          <w:spacing w:val="-11"/>
          <w:sz w:val="20"/>
          <w:szCs w:val="20"/>
        </w:rPr>
        <w:t>very different to risks in highly frontier marke</w:t>
      </w:r>
      <w:r>
        <w:rPr>
          <w:color w:val="57585A"/>
          <w:spacing w:val="-12"/>
          <w:sz w:val="20"/>
          <w:szCs w:val="20"/>
        </w:rPr>
        <w:t>ts</w:t>
      </w:r>
      <w:r>
        <w:rPr>
          <w:color w:val="57585A"/>
          <w:spacing w:val="-16"/>
          <w:sz w:val="20"/>
          <w:szCs w:val="20"/>
        </w:rPr>
        <w:t xml:space="preserve"> </w:t>
      </w:r>
      <w:r>
        <w:rPr>
          <w:color w:val="57585A"/>
          <w:spacing w:val="-12"/>
          <w:sz w:val="20"/>
          <w:szCs w:val="20"/>
        </w:rPr>
        <w:t>with harsh operating</w:t>
      </w:r>
    </w:p>
    <w:p w14:paraId="3BD543E7">
      <w:pPr>
        <w:pStyle w:val="4"/>
        <w:spacing w:before="58" w:line="273" w:lineRule="auto"/>
        <w:ind w:left="363" w:right="370" w:firstLine="6"/>
        <w:rPr>
          <w:sz w:val="20"/>
          <w:szCs w:val="20"/>
        </w:rPr>
      </w:pPr>
      <w:r>
        <w:rPr>
          <w:color w:val="57585A"/>
          <w:spacing w:val="-10"/>
          <w:sz w:val="20"/>
          <w:szCs w:val="20"/>
        </w:rPr>
        <w:t>environments. While frontier markets face significant challenges</w:t>
      </w:r>
      <w:r>
        <w:rPr>
          <w:color w:val="57585A"/>
          <w:spacing w:val="-16"/>
          <w:sz w:val="20"/>
          <w:szCs w:val="20"/>
        </w:rPr>
        <w:t xml:space="preserve"> </w:t>
      </w:r>
      <w:r>
        <w:rPr>
          <w:color w:val="57585A"/>
          <w:spacing w:val="-10"/>
          <w:sz w:val="20"/>
          <w:szCs w:val="20"/>
        </w:rPr>
        <w:t xml:space="preserve">with </w:t>
      </w:r>
      <w:r>
        <w:rPr>
          <w:color w:val="57585A"/>
          <w:spacing w:val="-11"/>
          <w:sz w:val="20"/>
          <w:szCs w:val="20"/>
        </w:rPr>
        <w:t>respect to security and a lack of infrastructure,</w:t>
      </w:r>
      <w:r>
        <w:rPr>
          <w:color w:val="57585A"/>
          <w:spacing w:val="-12"/>
          <w:sz w:val="20"/>
          <w:szCs w:val="20"/>
        </w:rPr>
        <w:t xml:space="preserve"> </w:t>
      </w:r>
      <w:r>
        <w:rPr>
          <w:color w:val="57585A"/>
          <w:spacing w:val="-11"/>
          <w:sz w:val="20"/>
          <w:szCs w:val="20"/>
        </w:rPr>
        <w:t>the relationship</w:t>
      </w:r>
      <w:r>
        <w:rPr>
          <w:color w:val="57585A"/>
          <w:sz w:val="20"/>
          <w:szCs w:val="20"/>
        </w:rPr>
        <w:t xml:space="preserve"> </w:t>
      </w:r>
      <w:r>
        <w:rPr>
          <w:color w:val="57585A"/>
          <w:spacing w:val="-10"/>
          <w:sz w:val="20"/>
          <w:szCs w:val="20"/>
        </w:rPr>
        <w:t>that foreign players often have</w:t>
      </w:r>
      <w:r>
        <w:rPr>
          <w:color w:val="57585A"/>
          <w:spacing w:val="-14"/>
          <w:sz w:val="20"/>
          <w:szCs w:val="20"/>
        </w:rPr>
        <w:t xml:space="preserve"> </w:t>
      </w:r>
      <w:r>
        <w:rPr>
          <w:color w:val="57585A"/>
          <w:spacing w:val="-10"/>
          <w:sz w:val="20"/>
          <w:szCs w:val="20"/>
        </w:rPr>
        <w:t>with the governments in these markets has been qualitatively different to the relationship in</w:t>
      </w:r>
    </w:p>
    <w:p w14:paraId="526A6415">
      <w:pPr>
        <w:pStyle w:val="4"/>
        <w:spacing w:before="37" w:line="273" w:lineRule="auto"/>
        <w:ind w:left="372" w:right="906" w:hanging="13"/>
        <w:rPr>
          <w:sz w:val="20"/>
          <w:szCs w:val="20"/>
        </w:rPr>
      </w:pPr>
      <w:r>
        <w:rPr>
          <w:color w:val="57585A"/>
          <w:spacing w:val="-11"/>
          <w:sz w:val="20"/>
          <w:szCs w:val="20"/>
        </w:rPr>
        <w:t>Argentina. In highly frontier and risky markets, foreign companies can have signific</w:t>
      </w:r>
      <w:r>
        <w:rPr>
          <w:color w:val="57585A"/>
          <w:spacing w:val="-12"/>
          <w:sz w:val="20"/>
          <w:szCs w:val="20"/>
        </w:rPr>
        <w:t>ant leverage over the government and are,</w:t>
      </w:r>
      <w:r>
        <w:rPr>
          <w:color w:val="57585A"/>
          <w:sz w:val="20"/>
          <w:szCs w:val="20"/>
        </w:rPr>
        <w:t xml:space="preserve"> </w:t>
      </w:r>
      <w:r>
        <w:rPr>
          <w:color w:val="57585A"/>
          <w:spacing w:val="-11"/>
          <w:sz w:val="20"/>
          <w:szCs w:val="20"/>
        </w:rPr>
        <w:t>broadly speaking, able to negotiate from</w:t>
      </w:r>
      <w:r>
        <w:rPr>
          <w:color w:val="57585A"/>
          <w:spacing w:val="5"/>
          <w:sz w:val="20"/>
          <w:szCs w:val="20"/>
        </w:rPr>
        <w:t xml:space="preserve"> </w:t>
      </w:r>
      <w:r>
        <w:rPr>
          <w:color w:val="57585A"/>
          <w:spacing w:val="-11"/>
          <w:sz w:val="20"/>
          <w:szCs w:val="20"/>
        </w:rPr>
        <w:t>a</w:t>
      </w:r>
      <w:r>
        <w:rPr>
          <w:color w:val="57585A"/>
          <w:spacing w:val="-9"/>
          <w:sz w:val="20"/>
          <w:szCs w:val="20"/>
        </w:rPr>
        <w:t xml:space="preserve"> </w:t>
      </w:r>
      <w:r>
        <w:rPr>
          <w:color w:val="57585A"/>
          <w:spacing w:val="-11"/>
          <w:sz w:val="20"/>
          <w:szCs w:val="20"/>
        </w:rPr>
        <w:t>stronger position.</w:t>
      </w:r>
    </w:p>
    <w:p w14:paraId="5AD2E928">
      <w:pPr>
        <w:pStyle w:val="4"/>
        <w:spacing w:line="266" w:lineRule="auto"/>
      </w:pPr>
    </w:p>
    <w:p w14:paraId="3F7D5B9B">
      <w:pPr>
        <w:pStyle w:val="4"/>
        <w:spacing w:before="58" w:line="280" w:lineRule="auto"/>
        <w:ind w:left="359" w:right="515" w:firstLine="16"/>
        <w:jc w:val="both"/>
        <w:rPr>
          <w:sz w:val="20"/>
          <w:szCs w:val="20"/>
        </w:rPr>
      </w:pPr>
      <w:r>
        <w:rPr>
          <w:color w:val="57585A"/>
          <w:spacing w:val="-10"/>
          <w:sz w:val="20"/>
          <w:szCs w:val="20"/>
        </w:rPr>
        <w:t>In</w:t>
      </w:r>
      <w:r>
        <w:rPr>
          <w:color w:val="57585A"/>
          <w:spacing w:val="-7"/>
          <w:sz w:val="20"/>
          <w:szCs w:val="20"/>
        </w:rPr>
        <w:t xml:space="preserve"> </w:t>
      </w:r>
      <w:r>
        <w:rPr>
          <w:color w:val="57585A"/>
          <w:spacing w:val="-10"/>
          <w:sz w:val="20"/>
          <w:szCs w:val="20"/>
        </w:rPr>
        <w:t>Argentina, this relationship has traditionally been inverted,</w:t>
      </w:r>
      <w:r>
        <w:rPr>
          <w:color w:val="57585A"/>
          <w:spacing w:val="-15"/>
          <w:sz w:val="20"/>
          <w:szCs w:val="20"/>
        </w:rPr>
        <w:t xml:space="preserve"> </w:t>
      </w:r>
      <w:r>
        <w:rPr>
          <w:color w:val="57585A"/>
          <w:spacing w:val="-10"/>
          <w:sz w:val="20"/>
          <w:szCs w:val="20"/>
        </w:rPr>
        <w:t>with the foreign companies invited to the negotiating table attending</w:t>
      </w:r>
      <w:r>
        <w:rPr>
          <w:color w:val="57585A"/>
          <w:sz w:val="20"/>
          <w:szCs w:val="20"/>
        </w:rPr>
        <w:t xml:space="preserve"> </w:t>
      </w:r>
      <w:r>
        <w:rPr>
          <w:color w:val="57585A"/>
          <w:spacing w:val="-11"/>
          <w:sz w:val="20"/>
          <w:szCs w:val="20"/>
        </w:rPr>
        <w:t>with a significant disadvantage and government policies largely design</w:t>
      </w:r>
      <w:r>
        <w:rPr>
          <w:color w:val="57585A"/>
          <w:spacing w:val="-12"/>
          <w:sz w:val="20"/>
          <w:szCs w:val="20"/>
        </w:rPr>
        <w:t>ed to favour local players over foreign ones. Those specific</w:t>
      </w:r>
      <w:r>
        <w:rPr>
          <w:color w:val="57585A"/>
          <w:sz w:val="20"/>
          <w:szCs w:val="20"/>
        </w:rPr>
        <w:t xml:space="preserve"> </w:t>
      </w:r>
      <w:r>
        <w:rPr>
          <w:color w:val="57585A"/>
          <w:spacing w:val="-9"/>
          <w:sz w:val="20"/>
          <w:szCs w:val="20"/>
        </w:rPr>
        <w:t xml:space="preserve">policies had included limits on profit repatriation and strict local </w:t>
      </w:r>
      <w:r>
        <w:rPr>
          <w:color w:val="57585A"/>
          <w:spacing w:val="-10"/>
          <w:sz w:val="20"/>
          <w:szCs w:val="20"/>
        </w:rPr>
        <w:t>content requirements.</w:t>
      </w:r>
    </w:p>
    <w:p w14:paraId="13F3B891">
      <w:pPr>
        <w:pStyle w:val="4"/>
        <w:spacing w:line="263" w:lineRule="auto"/>
      </w:pPr>
    </w:p>
    <w:p w14:paraId="7F5C4BC0">
      <w:pPr>
        <w:pStyle w:val="4"/>
        <w:spacing w:before="58" w:line="273" w:lineRule="auto"/>
        <w:ind w:left="371" w:right="896" w:firstLine="4"/>
        <w:rPr>
          <w:sz w:val="20"/>
          <w:szCs w:val="20"/>
        </w:rPr>
      </w:pPr>
      <w:r>
        <w:rPr>
          <w:color w:val="57585A"/>
          <w:spacing w:val="-11"/>
          <w:sz w:val="20"/>
          <w:szCs w:val="20"/>
        </w:rPr>
        <w:t>In October 2014,</w:t>
      </w:r>
      <w:r>
        <w:rPr>
          <w:color w:val="57585A"/>
          <w:spacing w:val="-16"/>
          <w:sz w:val="20"/>
          <w:szCs w:val="20"/>
        </w:rPr>
        <w:t xml:space="preserve"> </w:t>
      </w:r>
      <w:r>
        <w:rPr>
          <w:color w:val="57585A"/>
          <w:spacing w:val="-11"/>
          <w:sz w:val="20"/>
          <w:szCs w:val="20"/>
        </w:rPr>
        <w:t>Argentina's government pas</w:t>
      </w:r>
      <w:r>
        <w:rPr>
          <w:color w:val="57585A"/>
          <w:spacing w:val="-12"/>
          <w:sz w:val="20"/>
          <w:szCs w:val="20"/>
        </w:rPr>
        <w:t>sed a bill amending the market's hydrocarbons law. The amendments hoped to</w:t>
      </w:r>
      <w:r>
        <w:rPr>
          <w:color w:val="57585A"/>
          <w:sz w:val="20"/>
          <w:szCs w:val="20"/>
        </w:rPr>
        <w:t xml:space="preserve"> </w:t>
      </w:r>
      <w:r>
        <w:rPr>
          <w:color w:val="57585A"/>
          <w:spacing w:val="-10"/>
          <w:sz w:val="20"/>
          <w:szCs w:val="20"/>
        </w:rPr>
        <w:t>improve fiscal and regulatory s</w:t>
      </w:r>
      <w:r>
        <w:rPr>
          <w:color w:val="57585A"/>
          <w:spacing w:val="-11"/>
          <w:sz w:val="20"/>
          <w:szCs w:val="20"/>
        </w:rPr>
        <w:t>tability and increase investment inflows into</w:t>
      </w:r>
      <w:r>
        <w:rPr>
          <w:color w:val="57585A"/>
          <w:spacing w:val="-15"/>
          <w:sz w:val="20"/>
          <w:szCs w:val="20"/>
        </w:rPr>
        <w:t xml:space="preserve"> </w:t>
      </w:r>
      <w:r>
        <w:rPr>
          <w:color w:val="57585A"/>
          <w:spacing w:val="-11"/>
          <w:sz w:val="20"/>
          <w:szCs w:val="20"/>
        </w:rPr>
        <w:t>Argentina's emergent shale sector.</w:t>
      </w:r>
    </w:p>
    <w:p w14:paraId="3E8AD4D2">
      <w:pPr>
        <w:spacing w:line="273" w:lineRule="auto"/>
        <w:rPr>
          <w:sz w:val="20"/>
          <w:szCs w:val="20"/>
        </w:rPr>
        <w:sectPr>
          <w:footerReference r:id="rId68" w:type="default"/>
          <w:pgSz w:w="11906" w:h="16838"/>
          <w:pgMar w:top="400" w:right="490" w:bottom="883" w:left="490" w:header="0" w:footer="0" w:gutter="0"/>
          <w:cols w:space="720" w:num="1"/>
        </w:sectPr>
      </w:pPr>
    </w:p>
    <w:p w14:paraId="64F4A2DA">
      <w:pPr>
        <w:pStyle w:val="4"/>
        <w:spacing w:before="73" w:line="241" w:lineRule="auto"/>
        <w:ind w:left="7372"/>
        <w:rPr>
          <w:sz w:val="20"/>
          <w:szCs w:val="20"/>
        </w:rPr>
      </w:pPr>
      <w:r>
        <w:drawing>
          <wp:anchor distT="0" distB="0" distL="0" distR="0" simplePos="0" relativeHeight="25191833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19360" behindDoc="0" locked="0" layoutInCell="0" allowOverlap="1">
            <wp:simplePos x="0" y="0"/>
            <wp:positionH relativeFrom="page">
              <wp:posOffset>311150</wp:posOffset>
            </wp:positionH>
            <wp:positionV relativeFrom="page">
              <wp:posOffset>0</wp:posOffset>
            </wp:positionV>
            <wp:extent cx="19050" cy="814070"/>
            <wp:effectExtent l="0" t="0" r="0" b="0"/>
            <wp:wrapNone/>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56972A9">
      <w:pPr>
        <w:pStyle w:val="4"/>
        <w:spacing w:line="278" w:lineRule="auto"/>
      </w:pPr>
    </w:p>
    <w:p w14:paraId="3267B83E">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8D6A29C">
      <w:pPr>
        <w:pStyle w:val="4"/>
        <w:spacing w:line="311" w:lineRule="auto"/>
      </w:pPr>
    </w:p>
    <w:p w14:paraId="0133FF2E">
      <w:pPr>
        <w:pStyle w:val="4"/>
        <w:spacing w:line="312" w:lineRule="auto"/>
      </w:pPr>
    </w:p>
    <w:p w14:paraId="6C19C6E6">
      <w:pPr>
        <w:pStyle w:val="4"/>
        <w:spacing w:before="69" w:line="234" w:lineRule="auto"/>
        <w:ind w:left="420"/>
        <w:rPr>
          <w:sz w:val="24"/>
          <w:szCs w:val="24"/>
        </w:rPr>
      </w:pPr>
      <w:r>
        <w:rPr>
          <w:color w:val="174174"/>
          <w:spacing w:val="-9"/>
          <w:sz w:val="24"/>
          <w:szCs w:val="24"/>
        </w:rPr>
        <w:t>2014Amended Hydrocarbons Law</w:t>
      </w:r>
    </w:p>
    <w:p w14:paraId="2E76AA7A">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2283"/>
        <w:gridCol w:w="7921"/>
      </w:tblGrid>
      <w:tr w14:paraId="4CBE177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2283" w:type="dxa"/>
            <w:tcBorders>
              <w:left w:val="nil"/>
            </w:tcBorders>
            <w:vAlign w:val="top"/>
          </w:tcPr>
          <w:p w14:paraId="488F42A6">
            <w:pPr>
              <w:pStyle w:val="8"/>
              <w:spacing w:before="114" w:line="181" w:lineRule="auto"/>
              <w:ind w:left="13"/>
            </w:pPr>
            <w:r>
              <w:rPr>
                <w:b/>
                <w:bCs/>
                <w:color w:val="5F6A72"/>
                <w:spacing w:val="-11"/>
              </w:rPr>
              <w:t>Key</w:t>
            </w:r>
            <w:r>
              <w:rPr>
                <w:b/>
                <w:bCs/>
                <w:color w:val="5F6A72"/>
                <w:spacing w:val="-14"/>
              </w:rPr>
              <w:t xml:space="preserve"> </w:t>
            </w:r>
            <w:r>
              <w:rPr>
                <w:b/>
                <w:bCs/>
                <w:color w:val="5F6A72"/>
                <w:spacing w:val="-11"/>
              </w:rPr>
              <w:t>Terms</w:t>
            </w:r>
          </w:p>
        </w:tc>
        <w:tc>
          <w:tcPr>
            <w:tcW w:w="7921" w:type="dxa"/>
            <w:tcBorders>
              <w:right w:val="nil"/>
            </w:tcBorders>
            <w:vAlign w:val="top"/>
          </w:tcPr>
          <w:p w14:paraId="7F89DDCB">
            <w:pPr>
              <w:pStyle w:val="8"/>
              <w:spacing w:before="111" w:line="187" w:lineRule="auto"/>
              <w:ind w:left="80"/>
            </w:pPr>
            <w:r>
              <w:rPr>
                <w:b/>
                <w:bCs/>
                <w:color w:val="5F6A72"/>
                <w:spacing w:val="-6"/>
              </w:rPr>
              <w:t>Content</w:t>
            </w:r>
          </w:p>
        </w:tc>
      </w:tr>
      <w:tr w14:paraId="6658256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836" w:hRule="atLeast"/>
        </w:trPr>
        <w:tc>
          <w:tcPr>
            <w:tcW w:w="2283" w:type="dxa"/>
            <w:tcBorders>
              <w:left w:val="nil"/>
            </w:tcBorders>
            <w:vAlign w:val="top"/>
          </w:tcPr>
          <w:p w14:paraId="139D0E50">
            <w:pPr>
              <w:pStyle w:val="8"/>
              <w:spacing w:before="65" w:line="236" w:lineRule="auto"/>
              <w:ind w:left="18"/>
            </w:pPr>
            <w:r>
              <w:rPr>
                <w:color w:val="2A8ABF"/>
                <w:spacing w:val="-6"/>
              </w:rPr>
              <w:t>Extended production licen</w:t>
            </w:r>
            <w:r>
              <w:rPr>
                <w:color w:val="2A8ABF"/>
                <w:spacing w:val="-7"/>
              </w:rPr>
              <w:t>ces</w:t>
            </w:r>
          </w:p>
        </w:tc>
        <w:tc>
          <w:tcPr>
            <w:tcW w:w="7921" w:type="dxa"/>
            <w:tcBorders>
              <w:right w:val="nil"/>
            </w:tcBorders>
            <w:vAlign w:val="top"/>
          </w:tcPr>
          <w:p w14:paraId="54787549">
            <w:pPr>
              <w:pStyle w:val="8"/>
              <w:spacing w:before="64" w:line="271" w:lineRule="auto"/>
              <w:ind w:left="85" w:right="280" w:firstLine="1"/>
            </w:pPr>
            <w:r>
              <w:rPr>
                <w:color w:val="5F6A72"/>
                <w:spacing w:val="-7"/>
              </w:rPr>
              <w:t>Unconventional and offshore production licences</w:t>
            </w:r>
            <w:r>
              <w:rPr>
                <w:color w:val="5F6A72"/>
                <w:spacing w:val="-13"/>
              </w:rPr>
              <w:t xml:space="preserve"> </w:t>
            </w:r>
            <w:r>
              <w:rPr>
                <w:color w:val="5F6A72"/>
                <w:spacing w:val="-7"/>
              </w:rPr>
              <w:t>will be extended by 10</w:t>
            </w:r>
            <w:r>
              <w:rPr>
                <w:color w:val="5F6A72"/>
                <w:spacing w:val="-14"/>
              </w:rPr>
              <w:t xml:space="preserve"> </w:t>
            </w:r>
            <w:r>
              <w:rPr>
                <w:color w:val="5F6A72"/>
                <w:spacing w:val="-7"/>
              </w:rPr>
              <w:t>years, to 35</w:t>
            </w:r>
            <w:r>
              <w:rPr>
                <w:color w:val="5F6A72"/>
                <w:spacing w:val="-14"/>
              </w:rPr>
              <w:t xml:space="preserve"> </w:t>
            </w:r>
            <w:r>
              <w:rPr>
                <w:color w:val="5F6A72"/>
                <w:spacing w:val="-7"/>
              </w:rPr>
              <w:t>years and 30</w:t>
            </w:r>
            <w:r>
              <w:rPr>
                <w:color w:val="5F6A72"/>
                <w:spacing w:val="-14"/>
              </w:rPr>
              <w:t xml:space="preserve"> </w:t>
            </w:r>
            <w:r>
              <w:rPr>
                <w:color w:val="5F6A72"/>
                <w:spacing w:val="-7"/>
              </w:rPr>
              <w:t>years</w:t>
            </w:r>
            <w:r>
              <w:rPr>
                <w:color w:val="5F6A72"/>
              </w:rPr>
              <w:t xml:space="preserve"> </w:t>
            </w:r>
            <w:r>
              <w:rPr>
                <w:color w:val="5F6A72"/>
                <w:spacing w:val="-7"/>
              </w:rPr>
              <w:t>respectively. Companies can also apply for 10-year extensions, if</w:t>
            </w:r>
            <w:r>
              <w:rPr>
                <w:color w:val="5F6A72"/>
                <w:spacing w:val="-5"/>
              </w:rPr>
              <w:t xml:space="preserve"> </w:t>
            </w:r>
            <w:r>
              <w:rPr>
                <w:color w:val="5F6A72"/>
                <w:spacing w:val="-7"/>
              </w:rPr>
              <w:t>they meet their investment</w:t>
            </w:r>
          </w:p>
          <w:p w14:paraId="0CC20515">
            <w:pPr>
              <w:pStyle w:val="8"/>
              <w:spacing w:before="33" w:line="234" w:lineRule="auto"/>
              <w:ind w:left="81"/>
            </w:pPr>
            <w:r>
              <w:rPr>
                <w:color w:val="5F6A72"/>
                <w:spacing w:val="-7"/>
              </w:rPr>
              <w:t>commitments. Royalty rates</w:t>
            </w:r>
            <w:r>
              <w:rPr>
                <w:color w:val="5F6A72"/>
                <w:spacing w:val="-14"/>
              </w:rPr>
              <w:t xml:space="preserve"> </w:t>
            </w:r>
            <w:r>
              <w:rPr>
                <w:color w:val="5F6A72"/>
                <w:spacing w:val="-7"/>
              </w:rPr>
              <w:t>will increase by 3.0%</w:t>
            </w:r>
            <w:r>
              <w:rPr>
                <w:color w:val="5F6A72"/>
                <w:spacing w:val="-14"/>
              </w:rPr>
              <w:t xml:space="preserve"> </w:t>
            </w:r>
            <w:r>
              <w:rPr>
                <w:color w:val="5F6A72"/>
                <w:spacing w:val="-7"/>
              </w:rPr>
              <w:t>with every extension, to a</w:t>
            </w:r>
            <w:r>
              <w:rPr>
                <w:color w:val="5F6A72"/>
                <w:spacing w:val="-8"/>
              </w:rPr>
              <w:t xml:space="preserve"> maximum of 18%.</w:t>
            </w:r>
          </w:p>
        </w:tc>
      </w:tr>
      <w:tr w14:paraId="7E1BE1C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283" w:type="dxa"/>
            <w:tcBorders>
              <w:left w:val="nil"/>
            </w:tcBorders>
            <w:shd w:val="clear" w:color="auto" w:fill="EAF9FF"/>
            <w:vAlign w:val="top"/>
          </w:tcPr>
          <w:p w14:paraId="105D8F21">
            <w:pPr>
              <w:pStyle w:val="8"/>
              <w:spacing w:before="65" w:line="236" w:lineRule="auto"/>
              <w:ind w:left="3"/>
            </w:pPr>
            <w:r>
              <w:rPr>
                <w:color w:val="2A8ABF"/>
                <w:spacing w:val="-6"/>
              </w:rPr>
              <w:t>Amended exploration licenc</w:t>
            </w:r>
            <w:r>
              <w:rPr>
                <w:color w:val="2A8ABF"/>
                <w:spacing w:val="-7"/>
              </w:rPr>
              <w:t>es</w:t>
            </w:r>
          </w:p>
        </w:tc>
        <w:tc>
          <w:tcPr>
            <w:tcW w:w="7921" w:type="dxa"/>
            <w:tcBorders>
              <w:right w:val="nil"/>
            </w:tcBorders>
            <w:shd w:val="clear" w:color="auto" w:fill="EAF9FF"/>
            <w:vAlign w:val="top"/>
          </w:tcPr>
          <w:p w14:paraId="74067B5E">
            <w:pPr>
              <w:pStyle w:val="8"/>
              <w:spacing w:before="64" w:line="271" w:lineRule="auto"/>
              <w:ind w:left="85" w:right="248" w:firstLine="2"/>
            </w:pPr>
            <w:r>
              <w:rPr>
                <w:color w:val="5F6A72"/>
                <w:spacing w:val="-7"/>
              </w:rPr>
              <w:t>Exploration licences</w:t>
            </w:r>
            <w:r>
              <w:rPr>
                <w:color w:val="5F6A72"/>
                <w:spacing w:val="-14"/>
              </w:rPr>
              <w:t xml:space="preserve"> </w:t>
            </w:r>
            <w:r>
              <w:rPr>
                <w:color w:val="5F6A72"/>
                <w:spacing w:val="-7"/>
              </w:rPr>
              <w:t>will be standardised, across all provinces.</w:t>
            </w:r>
            <w:r>
              <w:rPr>
                <w:color w:val="5F6A72"/>
                <w:spacing w:val="-14"/>
              </w:rPr>
              <w:t xml:space="preserve"> </w:t>
            </w:r>
            <w:r>
              <w:rPr>
                <w:color w:val="5F6A72"/>
                <w:spacing w:val="-7"/>
              </w:rPr>
              <w:t>Work commitments an</w:t>
            </w:r>
            <w:r>
              <w:rPr>
                <w:color w:val="5F6A72"/>
                <w:spacing w:val="-8"/>
              </w:rPr>
              <w:t>d terms for licence</w:t>
            </w:r>
            <w:r>
              <w:rPr>
                <w:color w:val="5F6A72"/>
              </w:rPr>
              <w:t xml:space="preserve"> </w:t>
            </w:r>
            <w:r>
              <w:rPr>
                <w:color w:val="5F6A72"/>
                <w:spacing w:val="-5"/>
              </w:rPr>
              <w:t>renewal</w:t>
            </w:r>
            <w:r>
              <w:rPr>
                <w:color w:val="5F6A72"/>
                <w:spacing w:val="-14"/>
              </w:rPr>
              <w:t xml:space="preserve"> </w:t>
            </w:r>
            <w:r>
              <w:rPr>
                <w:color w:val="5F6A72"/>
                <w:spacing w:val="-5"/>
              </w:rPr>
              <w:t xml:space="preserve">will also be tailored </w:t>
            </w:r>
            <w:r>
              <w:rPr>
                <w:color w:val="5F6A72"/>
                <w:spacing w:val="-6"/>
              </w:rPr>
              <w:t>to reflect the type of</w:t>
            </w:r>
            <w:r>
              <w:rPr>
                <w:color w:val="5F6A72"/>
                <w:spacing w:val="-15"/>
              </w:rPr>
              <w:t xml:space="preserve"> </w:t>
            </w:r>
            <w:r>
              <w:rPr>
                <w:color w:val="5F6A72"/>
                <w:spacing w:val="-6"/>
              </w:rPr>
              <w:t>exploration (conventional, unconventional or offshore).</w:t>
            </w:r>
          </w:p>
        </w:tc>
      </w:tr>
      <w:tr w14:paraId="5F30783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283" w:type="dxa"/>
            <w:tcBorders>
              <w:left w:val="nil"/>
            </w:tcBorders>
            <w:vAlign w:val="top"/>
          </w:tcPr>
          <w:p w14:paraId="07B4D6C6">
            <w:pPr>
              <w:pStyle w:val="8"/>
              <w:spacing w:before="65" w:line="234" w:lineRule="auto"/>
              <w:ind w:left="18"/>
            </w:pPr>
            <w:r>
              <w:rPr>
                <w:color w:val="2A8ABF"/>
                <w:spacing w:val="-6"/>
              </w:rPr>
              <w:t>Fiscal uniformity</w:t>
            </w:r>
          </w:p>
        </w:tc>
        <w:tc>
          <w:tcPr>
            <w:tcW w:w="7921" w:type="dxa"/>
            <w:tcBorders>
              <w:right w:val="nil"/>
            </w:tcBorders>
            <w:vAlign w:val="top"/>
          </w:tcPr>
          <w:p w14:paraId="7DFBA65B">
            <w:pPr>
              <w:pStyle w:val="8"/>
              <w:spacing w:before="65" w:line="234" w:lineRule="auto"/>
              <w:ind w:left="87"/>
            </w:pPr>
            <w:r>
              <w:rPr>
                <w:color w:val="5F6A72"/>
                <w:spacing w:val="-7"/>
              </w:rPr>
              <w:t>Royalty rates</w:t>
            </w:r>
            <w:r>
              <w:rPr>
                <w:color w:val="5F6A72"/>
                <w:spacing w:val="-14"/>
              </w:rPr>
              <w:t xml:space="preserve"> </w:t>
            </w:r>
            <w:r>
              <w:rPr>
                <w:color w:val="5F6A72"/>
                <w:spacing w:val="-7"/>
              </w:rPr>
              <w:t xml:space="preserve">will be capped at </w:t>
            </w:r>
            <w:r>
              <w:rPr>
                <w:color w:val="5F6A72"/>
                <w:spacing w:val="-8"/>
              </w:rPr>
              <w:t>a fixed level, across all provinces. Industry taxation</w:t>
            </w:r>
            <w:r>
              <w:rPr>
                <w:color w:val="5F6A72"/>
                <w:spacing w:val="-14"/>
              </w:rPr>
              <w:t xml:space="preserve"> </w:t>
            </w:r>
            <w:r>
              <w:rPr>
                <w:color w:val="5F6A72"/>
                <w:spacing w:val="-8"/>
              </w:rPr>
              <w:t>will also be unified.</w:t>
            </w:r>
          </w:p>
        </w:tc>
      </w:tr>
      <w:tr w14:paraId="136B3D0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283" w:type="dxa"/>
            <w:tcBorders>
              <w:left w:val="nil"/>
            </w:tcBorders>
            <w:shd w:val="clear" w:color="auto" w:fill="EAF9FF"/>
            <w:vAlign w:val="top"/>
          </w:tcPr>
          <w:p w14:paraId="0A842C5F">
            <w:pPr>
              <w:pStyle w:val="8"/>
              <w:spacing w:before="65" w:line="234" w:lineRule="auto"/>
              <w:ind w:left="18"/>
            </w:pPr>
            <w:r>
              <w:rPr>
                <w:color w:val="2A8ABF"/>
                <w:spacing w:val="-8"/>
              </w:rPr>
              <w:t>Federal licencing</w:t>
            </w:r>
          </w:p>
        </w:tc>
        <w:tc>
          <w:tcPr>
            <w:tcW w:w="7921" w:type="dxa"/>
            <w:tcBorders>
              <w:right w:val="nil"/>
            </w:tcBorders>
            <w:shd w:val="clear" w:color="auto" w:fill="EAF9FF"/>
            <w:vAlign w:val="top"/>
          </w:tcPr>
          <w:p w14:paraId="309AC593">
            <w:pPr>
              <w:pStyle w:val="8"/>
              <w:spacing w:before="65" w:line="234" w:lineRule="auto"/>
              <w:ind w:left="87"/>
            </w:pPr>
            <w:r>
              <w:rPr>
                <w:color w:val="5F6A72"/>
                <w:spacing w:val="-7"/>
              </w:rPr>
              <w:t>Licences</w:t>
            </w:r>
            <w:r>
              <w:rPr>
                <w:color w:val="5F6A72"/>
                <w:spacing w:val="-9"/>
              </w:rPr>
              <w:t xml:space="preserve"> </w:t>
            </w:r>
            <w:r>
              <w:rPr>
                <w:color w:val="5F6A72"/>
                <w:spacing w:val="-7"/>
              </w:rPr>
              <w:t>will be awarded</w:t>
            </w:r>
            <w:r>
              <w:rPr>
                <w:color w:val="5F6A72"/>
                <w:spacing w:val="-14"/>
              </w:rPr>
              <w:t xml:space="preserve"> </w:t>
            </w:r>
            <w:r>
              <w:rPr>
                <w:color w:val="5F6A72"/>
                <w:spacing w:val="-7"/>
              </w:rPr>
              <w:t>via a competitive bidding process, at the federal and not provincial level.</w:t>
            </w:r>
          </w:p>
        </w:tc>
      </w:tr>
      <w:tr w14:paraId="61D1B77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79" w:hRule="atLeast"/>
        </w:trPr>
        <w:tc>
          <w:tcPr>
            <w:tcW w:w="2283" w:type="dxa"/>
            <w:tcBorders>
              <w:left w:val="nil"/>
              <w:bottom w:val="nil"/>
            </w:tcBorders>
            <w:vAlign w:val="top"/>
          </w:tcPr>
          <w:p w14:paraId="4B40DCDB">
            <w:pPr>
              <w:pStyle w:val="8"/>
              <w:spacing w:before="65" w:line="238" w:lineRule="exact"/>
              <w:ind w:left="5"/>
            </w:pPr>
            <w:r>
              <w:rPr>
                <w:color w:val="2A8ABF"/>
                <w:spacing w:val="-9"/>
                <w:position w:val="1"/>
              </w:rPr>
              <w:t>Tax incentives</w:t>
            </w:r>
          </w:p>
        </w:tc>
        <w:tc>
          <w:tcPr>
            <w:tcW w:w="7921" w:type="dxa"/>
            <w:tcBorders>
              <w:bottom w:val="nil"/>
              <w:right w:val="nil"/>
            </w:tcBorders>
            <w:vAlign w:val="top"/>
          </w:tcPr>
          <w:p w14:paraId="6CDF2F94">
            <w:pPr>
              <w:pStyle w:val="8"/>
              <w:spacing w:before="65" w:line="234" w:lineRule="auto"/>
              <w:ind w:left="81"/>
            </w:pPr>
            <w:r>
              <w:rPr>
                <w:color w:val="5F6A72"/>
                <w:spacing w:val="-6"/>
              </w:rPr>
              <w:t>Companies</w:t>
            </w:r>
            <w:r>
              <w:rPr>
                <w:color w:val="5F6A72"/>
                <w:spacing w:val="-14"/>
              </w:rPr>
              <w:t xml:space="preserve"> </w:t>
            </w:r>
            <w:r>
              <w:rPr>
                <w:color w:val="5F6A72"/>
                <w:spacing w:val="-6"/>
              </w:rPr>
              <w:t>will be allowed to export up to 20% of</w:t>
            </w:r>
            <w:r>
              <w:rPr>
                <w:color w:val="5F6A72"/>
                <w:spacing w:val="-15"/>
              </w:rPr>
              <w:t xml:space="preserve"> </w:t>
            </w:r>
            <w:r>
              <w:rPr>
                <w:color w:val="5F6A72"/>
                <w:spacing w:val="-6"/>
              </w:rPr>
              <w:t>oil to international markets duty free;</w:t>
            </w:r>
            <w:r>
              <w:rPr>
                <w:color w:val="5F6A72"/>
                <w:spacing w:val="-11"/>
              </w:rPr>
              <w:t xml:space="preserve"> </w:t>
            </w:r>
            <w:r>
              <w:rPr>
                <w:color w:val="5F6A72"/>
                <w:spacing w:val="-6"/>
              </w:rPr>
              <w:t>the</w:t>
            </w:r>
            <w:r>
              <w:rPr>
                <w:color w:val="5F6A72"/>
                <w:spacing w:val="-7"/>
              </w:rPr>
              <w:t>y</w:t>
            </w:r>
            <w:r>
              <w:rPr>
                <w:color w:val="5F6A72"/>
                <w:spacing w:val="-14"/>
              </w:rPr>
              <w:t xml:space="preserve"> </w:t>
            </w:r>
            <w:r>
              <w:rPr>
                <w:color w:val="5F6A72"/>
                <w:spacing w:val="-7"/>
              </w:rPr>
              <w:t>will also be</w:t>
            </w:r>
          </w:p>
          <w:p w14:paraId="4FF07573">
            <w:pPr>
              <w:pStyle w:val="8"/>
              <w:spacing w:before="48" w:line="277" w:lineRule="auto"/>
              <w:ind w:left="76" w:right="126" w:firstLine="3"/>
            </w:pPr>
            <w:r>
              <w:rPr>
                <w:color w:val="5F6A72"/>
                <w:spacing w:val="-6"/>
              </w:rPr>
              <w:t>allowed to hold a part of the export revenue outside</w:t>
            </w:r>
            <w:r>
              <w:rPr>
                <w:color w:val="5F6A72"/>
                <w:spacing w:val="-14"/>
              </w:rPr>
              <w:t xml:space="preserve"> </w:t>
            </w:r>
            <w:r>
              <w:rPr>
                <w:color w:val="5F6A72"/>
                <w:spacing w:val="-6"/>
              </w:rPr>
              <w:t>Argentina. Restrictions on the import of</w:t>
            </w:r>
            <w:r>
              <w:rPr>
                <w:color w:val="5F6A72"/>
                <w:spacing w:val="-15"/>
              </w:rPr>
              <w:t xml:space="preserve"> </w:t>
            </w:r>
            <w:r>
              <w:rPr>
                <w:color w:val="5F6A72"/>
                <w:spacing w:val="-6"/>
              </w:rPr>
              <w:t>capital goods</w:t>
            </w:r>
            <w:r>
              <w:rPr>
                <w:color w:val="5F6A72"/>
              </w:rPr>
              <w:t xml:space="preserve"> </w:t>
            </w:r>
            <w:r>
              <w:rPr>
                <w:color w:val="5F6A72"/>
                <w:spacing w:val="-5"/>
              </w:rPr>
              <w:t xml:space="preserve">for use in exploration and </w:t>
            </w:r>
            <w:r>
              <w:rPr>
                <w:color w:val="5F6A72"/>
                <w:spacing w:val="-6"/>
              </w:rPr>
              <w:t>production</w:t>
            </w:r>
            <w:r>
              <w:rPr>
                <w:color w:val="5F6A72"/>
                <w:spacing w:val="-14"/>
              </w:rPr>
              <w:t xml:space="preserve"> </w:t>
            </w:r>
            <w:r>
              <w:rPr>
                <w:color w:val="5F6A72"/>
                <w:spacing w:val="-6"/>
              </w:rPr>
              <w:t>will be eased.</w:t>
            </w:r>
            <w:r>
              <w:rPr>
                <w:color w:val="5F6A72"/>
                <w:spacing w:val="-12"/>
              </w:rPr>
              <w:t xml:space="preserve"> </w:t>
            </w:r>
            <w:r>
              <w:rPr>
                <w:color w:val="5F6A72"/>
                <w:spacing w:val="-6"/>
              </w:rPr>
              <w:t>The minimum investment requirement to qualify for</w:t>
            </w:r>
            <w:r>
              <w:rPr>
                <w:color w:val="5F6A72"/>
              </w:rPr>
              <w:t xml:space="preserve">   </w:t>
            </w:r>
            <w:r>
              <w:rPr>
                <w:color w:val="5F6A72"/>
                <w:spacing w:val="-7"/>
              </w:rPr>
              <w:t>these benefits</w:t>
            </w:r>
            <w:r>
              <w:rPr>
                <w:color w:val="5F6A72"/>
                <w:spacing w:val="-14"/>
              </w:rPr>
              <w:t xml:space="preserve"> </w:t>
            </w:r>
            <w:r>
              <w:rPr>
                <w:color w:val="5F6A72"/>
                <w:spacing w:val="-7"/>
              </w:rPr>
              <w:t>will also be reduced from USD1b</w:t>
            </w:r>
            <w:r>
              <w:rPr>
                <w:color w:val="5F6A72"/>
                <w:spacing w:val="-8"/>
              </w:rPr>
              <w:t>n to USD250mn, over a five-year period.</w:t>
            </w:r>
          </w:p>
        </w:tc>
      </w:tr>
    </w:tbl>
    <w:p w14:paraId="3F5254C4">
      <w:pPr>
        <w:pStyle w:val="4"/>
        <w:spacing w:before="149" w:line="233" w:lineRule="auto"/>
        <w:ind w:left="368"/>
        <w:rPr>
          <w:sz w:val="15"/>
          <w:szCs w:val="15"/>
        </w:rPr>
      </w:pPr>
      <w:r>
        <w:drawing>
          <wp:anchor distT="0" distB="0" distL="0" distR="0" simplePos="0" relativeHeight="251917312"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42"/>
                    <a:stretch>
                      <a:fillRect/>
                    </a:stretch>
                  </pic:blipFill>
                  <pic:spPr>
                    <a:xfrm>
                      <a:off x="0" y="0"/>
                      <a:ext cx="6479999" cy="7143"/>
                    </a:xfrm>
                    <a:prstGeom prst="rect">
                      <a:avLst/>
                    </a:prstGeom>
                  </pic:spPr>
                </pic:pic>
              </a:graphicData>
            </a:graphic>
          </wp:anchor>
        </w:drawing>
      </w:r>
      <w:r>
        <w:rPr>
          <w:i/>
          <w:iCs/>
          <w:color w:val="333333"/>
          <w:spacing w:val="-7"/>
          <w:w w:val="94"/>
          <w:sz w:val="15"/>
          <w:szCs w:val="15"/>
        </w:rPr>
        <w:t>Source: Bloomberg, Reuters, BMI</w:t>
      </w:r>
    </w:p>
    <w:p w14:paraId="288849E8">
      <w:pPr>
        <w:pStyle w:val="4"/>
        <w:spacing w:line="385" w:lineRule="auto"/>
      </w:pPr>
    </w:p>
    <w:p w14:paraId="21D6C1C5">
      <w:pPr>
        <w:pStyle w:val="4"/>
        <w:spacing w:before="58" w:line="273" w:lineRule="auto"/>
        <w:ind w:left="373" w:right="505" w:hanging="12"/>
        <w:rPr>
          <w:sz w:val="20"/>
          <w:szCs w:val="20"/>
        </w:rPr>
      </w:pPr>
      <w:r>
        <w:rPr>
          <w:color w:val="57585A"/>
          <w:spacing w:val="-10"/>
          <w:sz w:val="20"/>
          <w:szCs w:val="20"/>
        </w:rPr>
        <w:t>With the market having endured a tenuous macroeconomic position, further efforts to lure investment back into the country have</w:t>
      </w:r>
      <w:r>
        <w:rPr>
          <w:color w:val="57585A"/>
          <w:spacing w:val="10"/>
          <w:sz w:val="20"/>
          <w:szCs w:val="20"/>
        </w:rPr>
        <w:t xml:space="preserve"> </w:t>
      </w:r>
      <w:r>
        <w:rPr>
          <w:color w:val="57585A"/>
          <w:spacing w:val="-11"/>
          <w:sz w:val="20"/>
          <w:szCs w:val="20"/>
        </w:rPr>
        <w:t>been led by economic reforms pushed through by former President Mauricio Macri. These include</w:t>
      </w:r>
      <w:r>
        <w:rPr>
          <w:color w:val="57585A"/>
          <w:spacing w:val="-12"/>
          <w:sz w:val="20"/>
          <w:szCs w:val="20"/>
        </w:rPr>
        <w:t xml:space="preserve"> the removal of</w:t>
      </w:r>
      <w:r>
        <w:rPr>
          <w:color w:val="57585A"/>
          <w:spacing w:val="-15"/>
          <w:sz w:val="20"/>
          <w:szCs w:val="20"/>
        </w:rPr>
        <w:t xml:space="preserve"> </w:t>
      </w:r>
      <w:r>
        <w:rPr>
          <w:color w:val="57585A"/>
          <w:spacing w:val="-12"/>
          <w:sz w:val="20"/>
          <w:szCs w:val="20"/>
        </w:rPr>
        <w:t>capital</w:t>
      </w:r>
    </w:p>
    <w:p w14:paraId="43DD6CB0">
      <w:pPr>
        <w:pStyle w:val="4"/>
        <w:spacing w:before="37" w:line="231" w:lineRule="auto"/>
        <w:ind w:left="369"/>
        <w:rPr>
          <w:sz w:val="20"/>
          <w:szCs w:val="20"/>
        </w:rPr>
      </w:pPr>
      <w:r>
        <w:rPr>
          <w:color w:val="57585A"/>
          <w:spacing w:val="-12"/>
          <w:sz w:val="20"/>
          <w:szCs w:val="20"/>
        </w:rPr>
        <w:t>controls, as</w:t>
      </w:r>
      <w:r>
        <w:rPr>
          <w:color w:val="57585A"/>
          <w:spacing w:val="-16"/>
          <w:sz w:val="20"/>
          <w:szCs w:val="20"/>
        </w:rPr>
        <w:t xml:space="preserve"> </w:t>
      </w:r>
      <w:r>
        <w:rPr>
          <w:color w:val="57585A"/>
          <w:spacing w:val="-12"/>
          <w:sz w:val="20"/>
          <w:szCs w:val="20"/>
        </w:rPr>
        <w:t>well as a USD5bn settlement with Rep</w:t>
      </w:r>
      <w:r>
        <w:rPr>
          <w:color w:val="57585A"/>
          <w:spacing w:val="-13"/>
          <w:sz w:val="20"/>
          <w:szCs w:val="20"/>
        </w:rPr>
        <w:t>sol agreed upon in 2015.</w:t>
      </w:r>
    </w:p>
    <w:p w14:paraId="7EF918B8">
      <w:pPr>
        <w:pStyle w:val="4"/>
        <w:spacing w:line="287" w:lineRule="auto"/>
      </w:pPr>
    </w:p>
    <w:p w14:paraId="3A0E6CE0">
      <w:pPr>
        <w:pStyle w:val="4"/>
        <w:spacing w:before="58" w:line="231" w:lineRule="auto"/>
        <w:ind w:left="376"/>
        <w:rPr>
          <w:sz w:val="20"/>
          <w:szCs w:val="20"/>
        </w:rPr>
      </w:pPr>
      <w:r>
        <w:rPr>
          <w:color w:val="57585A"/>
          <w:spacing w:val="-11"/>
          <w:sz w:val="20"/>
          <w:szCs w:val="20"/>
        </w:rPr>
        <w:t>Macri also reached a deal</w:t>
      </w:r>
      <w:r>
        <w:rPr>
          <w:color w:val="57585A"/>
          <w:spacing w:val="-1"/>
          <w:sz w:val="20"/>
          <w:szCs w:val="20"/>
        </w:rPr>
        <w:t xml:space="preserve"> </w:t>
      </w:r>
      <w:r>
        <w:rPr>
          <w:color w:val="57585A"/>
          <w:spacing w:val="-11"/>
          <w:sz w:val="20"/>
          <w:szCs w:val="20"/>
        </w:rPr>
        <w:t>with the market's labour unions, chipping away at a long-held source of</w:t>
      </w:r>
      <w:r>
        <w:rPr>
          <w:color w:val="57585A"/>
          <w:spacing w:val="-15"/>
          <w:sz w:val="20"/>
          <w:szCs w:val="20"/>
        </w:rPr>
        <w:t xml:space="preserve"> </w:t>
      </w:r>
      <w:r>
        <w:rPr>
          <w:color w:val="57585A"/>
          <w:spacing w:val="-11"/>
          <w:sz w:val="20"/>
          <w:szCs w:val="20"/>
        </w:rPr>
        <w:t>concern</w:t>
      </w:r>
      <w:r>
        <w:rPr>
          <w:color w:val="57585A"/>
          <w:spacing w:val="-16"/>
          <w:sz w:val="20"/>
          <w:szCs w:val="20"/>
        </w:rPr>
        <w:t xml:space="preserve"> </w:t>
      </w:r>
      <w:r>
        <w:rPr>
          <w:color w:val="57585A"/>
          <w:spacing w:val="-11"/>
          <w:sz w:val="20"/>
          <w:szCs w:val="20"/>
        </w:rPr>
        <w:t>within the industry.</w:t>
      </w:r>
    </w:p>
    <w:p w14:paraId="32847236">
      <w:pPr>
        <w:pStyle w:val="4"/>
        <w:spacing w:before="59" w:line="231" w:lineRule="auto"/>
        <w:ind w:left="359"/>
        <w:rPr>
          <w:sz w:val="20"/>
          <w:szCs w:val="20"/>
        </w:rPr>
      </w:pPr>
      <w:r>
        <w:rPr>
          <w:color w:val="57585A"/>
          <w:spacing w:val="-10"/>
          <w:sz w:val="20"/>
          <w:szCs w:val="20"/>
        </w:rPr>
        <w:t>Argentina has some of</w:t>
      </w:r>
      <w:r>
        <w:rPr>
          <w:color w:val="57585A"/>
          <w:spacing w:val="-21"/>
          <w:sz w:val="20"/>
          <w:szCs w:val="20"/>
        </w:rPr>
        <w:t xml:space="preserve"> </w:t>
      </w:r>
      <w:r>
        <w:rPr>
          <w:color w:val="57585A"/>
          <w:spacing w:val="-10"/>
          <w:sz w:val="20"/>
          <w:szCs w:val="20"/>
        </w:rPr>
        <w:t>the highest labour costs and strongest unions</w:t>
      </w:r>
      <w:r>
        <w:rPr>
          <w:color w:val="57585A"/>
          <w:spacing w:val="-16"/>
          <w:sz w:val="20"/>
          <w:szCs w:val="20"/>
        </w:rPr>
        <w:t xml:space="preserve"> </w:t>
      </w:r>
      <w:r>
        <w:rPr>
          <w:color w:val="57585A"/>
          <w:spacing w:val="-10"/>
          <w:sz w:val="20"/>
          <w:szCs w:val="20"/>
        </w:rPr>
        <w:t>wi</w:t>
      </w:r>
      <w:r>
        <w:rPr>
          <w:color w:val="57585A"/>
          <w:spacing w:val="-11"/>
          <w:sz w:val="20"/>
          <w:szCs w:val="20"/>
        </w:rPr>
        <w:t>thin Latin</w:t>
      </w:r>
      <w:r>
        <w:rPr>
          <w:color w:val="57585A"/>
          <w:spacing w:val="-16"/>
          <w:sz w:val="20"/>
          <w:szCs w:val="20"/>
        </w:rPr>
        <w:t xml:space="preserve"> </w:t>
      </w:r>
      <w:r>
        <w:rPr>
          <w:color w:val="57585A"/>
          <w:spacing w:val="-11"/>
          <w:sz w:val="20"/>
          <w:szCs w:val="20"/>
        </w:rPr>
        <w:t>America, stymieing efforts to reduce upstream</w:t>
      </w:r>
    </w:p>
    <w:p w14:paraId="6A87DDCB">
      <w:pPr>
        <w:pStyle w:val="4"/>
        <w:spacing w:before="60" w:line="279" w:lineRule="auto"/>
        <w:ind w:left="363" w:right="396" w:firstLine="6"/>
        <w:rPr>
          <w:sz w:val="20"/>
          <w:szCs w:val="20"/>
        </w:rPr>
      </w:pPr>
      <w:r>
        <w:rPr>
          <w:color w:val="57585A"/>
          <w:spacing w:val="-11"/>
          <w:sz w:val="20"/>
          <w:szCs w:val="20"/>
        </w:rPr>
        <w:t>costs. In</w:t>
      </w:r>
      <w:r>
        <w:rPr>
          <w:color w:val="57585A"/>
          <w:spacing w:val="-23"/>
          <w:sz w:val="20"/>
          <w:szCs w:val="20"/>
        </w:rPr>
        <w:t xml:space="preserve"> </w:t>
      </w:r>
      <w:r>
        <w:rPr>
          <w:color w:val="57585A"/>
          <w:spacing w:val="-11"/>
          <w:sz w:val="20"/>
          <w:szCs w:val="20"/>
        </w:rPr>
        <w:t>January 2017, the administration reached an agreement</w:t>
      </w:r>
      <w:r>
        <w:rPr>
          <w:color w:val="57585A"/>
          <w:spacing w:val="-16"/>
          <w:sz w:val="20"/>
          <w:szCs w:val="20"/>
        </w:rPr>
        <w:t xml:space="preserve"> </w:t>
      </w:r>
      <w:r>
        <w:rPr>
          <w:color w:val="57585A"/>
          <w:spacing w:val="-11"/>
          <w:sz w:val="20"/>
          <w:szCs w:val="20"/>
        </w:rPr>
        <w:t>with</w:t>
      </w:r>
      <w:r>
        <w:rPr>
          <w:color w:val="57585A"/>
          <w:spacing w:val="-15"/>
          <w:sz w:val="20"/>
          <w:szCs w:val="20"/>
        </w:rPr>
        <w:t xml:space="preserve"> </w:t>
      </w:r>
      <w:r>
        <w:rPr>
          <w:color w:val="57585A"/>
          <w:spacing w:val="-11"/>
          <w:sz w:val="20"/>
          <w:szCs w:val="20"/>
        </w:rPr>
        <w:t>workers</w:t>
      </w:r>
      <w:r>
        <w:rPr>
          <w:color w:val="57585A"/>
          <w:spacing w:val="-12"/>
          <w:sz w:val="20"/>
          <w:szCs w:val="20"/>
        </w:rPr>
        <w:t xml:space="preserve"> in the Vaca Muerta to reduce their benefits and allow</w:t>
      </w:r>
      <w:r>
        <w:rPr>
          <w:color w:val="57585A"/>
          <w:sz w:val="20"/>
          <w:szCs w:val="20"/>
        </w:rPr>
        <w:t xml:space="preserve"> </w:t>
      </w:r>
      <w:r>
        <w:rPr>
          <w:color w:val="57585A"/>
          <w:spacing w:val="-11"/>
          <w:sz w:val="20"/>
          <w:szCs w:val="20"/>
        </w:rPr>
        <w:t>for more flexible cont</w:t>
      </w:r>
      <w:r>
        <w:rPr>
          <w:color w:val="57585A"/>
          <w:spacing w:val="-12"/>
          <w:sz w:val="20"/>
          <w:szCs w:val="20"/>
        </w:rPr>
        <w:t>racts. The province of Neuquén,</w:t>
      </w:r>
      <w:r>
        <w:rPr>
          <w:color w:val="57585A"/>
          <w:spacing w:val="-16"/>
          <w:sz w:val="20"/>
          <w:szCs w:val="20"/>
        </w:rPr>
        <w:t xml:space="preserve"> </w:t>
      </w:r>
      <w:r>
        <w:rPr>
          <w:color w:val="57585A"/>
          <w:spacing w:val="-12"/>
          <w:sz w:val="20"/>
          <w:szCs w:val="20"/>
        </w:rPr>
        <w:t>where the Vaca Muerta is located, also agreed not to raise taxes and to build</w:t>
      </w:r>
      <w:r>
        <w:rPr>
          <w:color w:val="57585A"/>
          <w:sz w:val="20"/>
          <w:szCs w:val="20"/>
        </w:rPr>
        <w:t xml:space="preserve">  </w:t>
      </w:r>
      <w:r>
        <w:rPr>
          <w:color w:val="57585A"/>
          <w:spacing w:val="-10"/>
          <w:sz w:val="20"/>
          <w:szCs w:val="20"/>
        </w:rPr>
        <w:t xml:space="preserve">additional transport infrastructure, improving the attractiveness for participating </w:t>
      </w:r>
      <w:r>
        <w:rPr>
          <w:color w:val="57585A"/>
          <w:spacing w:val="-11"/>
          <w:sz w:val="20"/>
          <w:szCs w:val="20"/>
        </w:rPr>
        <w:t>IOCs.</w:t>
      </w:r>
    </w:p>
    <w:p w14:paraId="31C9EED9">
      <w:pPr>
        <w:pStyle w:val="4"/>
        <w:spacing w:line="265" w:lineRule="auto"/>
      </w:pPr>
    </w:p>
    <w:p w14:paraId="5A8B1A2F">
      <w:pPr>
        <w:pStyle w:val="4"/>
        <w:spacing w:before="58" w:line="273" w:lineRule="auto"/>
        <w:ind w:left="376" w:right="528"/>
        <w:rPr>
          <w:sz w:val="20"/>
          <w:szCs w:val="20"/>
        </w:rPr>
      </w:pPr>
      <w:r>
        <w:rPr>
          <w:color w:val="57585A"/>
          <w:spacing w:val="-11"/>
          <w:sz w:val="20"/>
          <w:szCs w:val="20"/>
        </w:rPr>
        <w:t>In light of plummeting energy pri</w:t>
      </w:r>
      <w:r>
        <w:rPr>
          <w:color w:val="57585A"/>
          <w:spacing w:val="-12"/>
          <w:sz w:val="20"/>
          <w:szCs w:val="20"/>
        </w:rPr>
        <w:t>ces in 2022,  former President</w:t>
      </w:r>
      <w:r>
        <w:rPr>
          <w:color w:val="57585A"/>
          <w:spacing w:val="-16"/>
          <w:sz w:val="20"/>
          <w:szCs w:val="20"/>
        </w:rPr>
        <w:t xml:space="preserve"> </w:t>
      </w:r>
      <w:r>
        <w:rPr>
          <w:color w:val="57585A"/>
          <w:spacing w:val="-12"/>
          <w:sz w:val="20"/>
          <w:szCs w:val="20"/>
        </w:rPr>
        <w:t>Alberto Fernández outlined Plan Gas 4 (also called The Plan for the</w:t>
      </w:r>
      <w:r>
        <w:rPr>
          <w:color w:val="57585A"/>
          <w:sz w:val="20"/>
          <w:szCs w:val="20"/>
        </w:rPr>
        <w:t xml:space="preserve"> </w:t>
      </w:r>
      <w:r>
        <w:rPr>
          <w:color w:val="57585A"/>
          <w:spacing w:val="-11"/>
          <w:sz w:val="20"/>
          <w:szCs w:val="20"/>
        </w:rPr>
        <w:t>Promotion of</w:t>
      </w:r>
      <w:r>
        <w:rPr>
          <w:color w:val="57585A"/>
          <w:spacing w:val="-24"/>
          <w:sz w:val="20"/>
          <w:szCs w:val="20"/>
        </w:rPr>
        <w:t xml:space="preserve"> </w:t>
      </w:r>
      <w:r>
        <w:rPr>
          <w:color w:val="57585A"/>
          <w:spacing w:val="-11"/>
          <w:sz w:val="20"/>
          <w:szCs w:val="20"/>
        </w:rPr>
        <w:t>Argentine Gas Production 2020-2023) during his</w:t>
      </w:r>
      <w:r>
        <w:rPr>
          <w:color w:val="57585A"/>
          <w:spacing w:val="-16"/>
          <w:sz w:val="20"/>
          <w:szCs w:val="20"/>
        </w:rPr>
        <w:t xml:space="preserve"> </w:t>
      </w:r>
      <w:r>
        <w:rPr>
          <w:color w:val="57585A"/>
          <w:spacing w:val="-11"/>
          <w:sz w:val="20"/>
          <w:szCs w:val="20"/>
        </w:rPr>
        <w:t>v</w:t>
      </w:r>
      <w:r>
        <w:rPr>
          <w:color w:val="57585A"/>
          <w:spacing w:val="-12"/>
          <w:sz w:val="20"/>
          <w:szCs w:val="20"/>
        </w:rPr>
        <w:t>isit to one of</w:t>
      </w:r>
      <w:r>
        <w:rPr>
          <w:color w:val="57585A"/>
          <w:spacing w:val="-24"/>
          <w:sz w:val="20"/>
          <w:szCs w:val="20"/>
        </w:rPr>
        <w:t xml:space="preserve"> </w:t>
      </w:r>
      <w:r>
        <w:rPr>
          <w:color w:val="57585A"/>
          <w:spacing w:val="-12"/>
          <w:sz w:val="20"/>
          <w:szCs w:val="20"/>
        </w:rPr>
        <w:t>Argentina's largest shale fields, Loma Campana. The</w:t>
      </w:r>
    </w:p>
    <w:p w14:paraId="01B7AC51">
      <w:pPr>
        <w:pStyle w:val="4"/>
        <w:spacing w:before="37" w:line="231" w:lineRule="auto"/>
        <w:ind w:left="373"/>
        <w:rPr>
          <w:sz w:val="20"/>
          <w:szCs w:val="20"/>
        </w:rPr>
      </w:pPr>
      <w:r>
        <w:rPr>
          <w:color w:val="57585A"/>
          <w:spacing w:val="-10"/>
          <w:sz w:val="20"/>
          <w:szCs w:val="20"/>
        </w:rPr>
        <w:t>key objective of</w:t>
      </w:r>
      <w:r>
        <w:rPr>
          <w:color w:val="57585A"/>
          <w:spacing w:val="-21"/>
          <w:sz w:val="20"/>
          <w:szCs w:val="20"/>
        </w:rPr>
        <w:t xml:space="preserve"> </w:t>
      </w:r>
      <w:r>
        <w:rPr>
          <w:color w:val="57585A"/>
          <w:spacing w:val="-10"/>
          <w:sz w:val="20"/>
          <w:szCs w:val="20"/>
        </w:rPr>
        <w:t>the plan is to spur investment and boost the production of natural ga</w:t>
      </w:r>
      <w:r>
        <w:rPr>
          <w:color w:val="57585A"/>
          <w:spacing w:val="-11"/>
          <w:sz w:val="20"/>
          <w:szCs w:val="20"/>
        </w:rPr>
        <w:t>s in order to satisfy domestic demand and</w:t>
      </w:r>
    </w:p>
    <w:p w14:paraId="62104CD6">
      <w:pPr>
        <w:pStyle w:val="4"/>
        <w:spacing w:before="58" w:line="231" w:lineRule="auto"/>
        <w:ind w:left="366"/>
        <w:rPr>
          <w:sz w:val="20"/>
          <w:szCs w:val="20"/>
        </w:rPr>
      </w:pPr>
      <w:r>
        <w:rPr>
          <w:color w:val="57585A"/>
          <w:spacing w:val="-10"/>
          <w:sz w:val="20"/>
          <w:szCs w:val="20"/>
        </w:rPr>
        <w:t>substitute imports</w:t>
      </w:r>
      <w:r>
        <w:rPr>
          <w:color w:val="57585A"/>
          <w:spacing w:val="-13"/>
          <w:sz w:val="20"/>
          <w:szCs w:val="20"/>
        </w:rPr>
        <w:t xml:space="preserve"> </w:t>
      </w:r>
      <w:r>
        <w:rPr>
          <w:color w:val="57585A"/>
          <w:spacing w:val="-10"/>
          <w:sz w:val="20"/>
          <w:szCs w:val="20"/>
        </w:rPr>
        <w:t>with indigenous production, boost employment, and foster development in producing regions. Under the Plan</w:t>
      </w:r>
    </w:p>
    <w:p w14:paraId="512C6102">
      <w:pPr>
        <w:pStyle w:val="4"/>
        <w:spacing w:before="59" w:line="231" w:lineRule="auto"/>
        <w:ind w:left="369"/>
        <w:rPr>
          <w:sz w:val="20"/>
          <w:szCs w:val="20"/>
        </w:rPr>
      </w:pPr>
      <w:r>
        <w:rPr>
          <w:color w:val="57585A"/>
          <w:spacing w:val="-10"/>
          <w:sz w:val="20"/>
          <w:szCs w:val="20"/>
        </w:rPr>
        <w:t>Gas 4 framework, natural gas producers</w:t>
      </w:r>
      <w:r>
        <w:rPr>
          <w:color w:val="57585A"/>
          <w:spacing w:val="-15"/>
          <w:sz w:val="20"/>
          <w:szCs w:val="20"/>
        </w:rPr>
        <w:t xml:space="preserve"> </w:t>
      </w:r>
      <w:r>
        <w:rPr>
          <w:color w:val="57585A"/>
          <w:spacing w:val="-10"/>
          <w:sz w:val="20"/>
          <w:szCs w:val="20"/>
        </w:rPr>
        <w:t>will h</w:t>
      </w:r>
      <w:r>
        <w:rPr>
          <w:color w:val="57585A"/>
          <w:spacing w:val="-11"/>
          <w:sz w:val="20"/>
          <w:szCs w:val="20"/>
        </w:rPr>
        <w:t>ave the option to offer their output to the market under a tender scheme</w:t>
      </w:r>
      <w:r>
        <w:rPr>
          <w:color w:val="57585A"/>
          <w:spacing w:val="-8"/>
          <w:sz w:val="20"/>
          <w:szCs w:val="20"/>
        </w:rPr>
        <w:t xml:space="preserve"> </w:t>
      </w:r>
      <w:r>
        <w:rPr>
          <w:color w:val="57585A"/>
          <w:spacing w:val="-11"/>
          <w:sz w:val="20"/>
          <w:szCs w:val="20"/>
        </w:rPr>
        <w:t>at</w:t>
      </w:r>
      <w:r>
        <w:rPr>
          <w:color w:val="57585A"/>
          <w:spacing w:val="-8"/>
          <w:sz w:val="20"/>
          <w:szCs w:val="20"/>
        </w:rPr>
        <w:t xml:space="preserve"> </w:t>
      </w:r>
      <w:r>
        <w:rPr>
          <w:color w:val="57585A"/>
          <w:spacing w:val="-11"/>
          <w:sz w:val="20"/>
          <w:szCs w:val="20"/>
        </w:rPr>
        <w:t>a</w:t>
      </w:r>
    </w:p>
    <w:p w14:paraId="00B48CE0">
      <w:pPr>
        <w:pStyle w:val="4"/>
        <w:spacing w:before="59" w:line="231" w:lineRule="auto"/>
        <w:ind w:left="367"/>
        <w:rPr>
          <w:sz w:val="20"/>
          <w:szCs w:val="20"/>
        </w:rPr>
      </w:pPr>
      <w:r>
        <w:rPr>
          <w:color w:val="57585A"/>
          <w:spacing w:val="-11"/>
          <w:sz w:val="20"/>
          <w:szCs w:val="20"/>
        </w:rPr>
        <w:t>guaranteed price up to USD3.70/mnBtu, substantially above the current estimated prices to producers,</w:t>
      </w:r>
      <w:r>
        <w:rPr>
          <w:color w:val="57585A"/>
          <w:spacing w:val="-15"/>
          <w:sz w:val="20"/>
          <w:szCs w:val="20"/>
        </w:rPr>
        <w:t xml:space="preserve"> </w:t>
      </w:r>
      <w:r>
        <w:rPr>
          <w:color w:val="57585A"/>
          <w:spacing w:val="-11"/>
          <w:sz w:val="20"/>
          <w:szCs w:val="20"/>
        </w:rPr>
        <w:t>which averaged</w:t>
      </w:r>
      <w:r>
        <w:rPr>
          <w:color w:val="57585A"/>
          <w:spacing w:val="-12"/>
          <w:sz w:val="20"/>
          <w:szCs w:val="20"/>
        </w:rPr>
        <w:t xml:space="preserve"> at</w:t>
      </w:r>
    </w:p>
    <w:p w14:paraId="2F0CE5D2">
      <w:pPr>
        <w:pStyle w:val="4"/>
        <w:spacing w:before="58" w:line="273" w:lineRule="auto"/>
        <w:ind w:left="367" w:right="473" w:firstLine="7"/>
        <w:rPr>
          <w:sz w:val="20"/>
          <w:szCs w:val="20"/>
        </w:rPr>
      </w:pPr>
      <w:r>
        <w:rPr>
          <w:color w:val="57585A"/>
          <w:spacing w:val="-11"/>
          <w:sz w:val="20"/>
          <w:szCs w:val="20"/>
        </w:rPr>
        <w:t>USD2.50/mnBtu in</w:t>
      </w:r>
      <w:r>
        <w:rPr>
          <w:color w:val="57585A"/>
          <w:spacing w:val="-15"/>
          <w:sz w:val="20"/>
          <w:szCs w:val="20"/>
        </w:rPr>
        <w:t xml:space="preserve"> </w:t>
      </w:r>
      <w:r>
        <w:rPr>
          <w:color w:val="57585A"/>
          <w:spacing w:val="-11"/>
          <w:sz w:val="20"/>
          <w:szCs w:val="20"/>
        </w:rPr>
        <w:t>August 2020, after reaching a nadir of USD1.96/mnBtu in</w:t>
      </w:r>
      <w:r>
        <w:rPr>
          <w:color w:val="57585A"/>
          <w:spacing w:val="-16"/>
          <w:sz w:val="20"/>
          <w:szCs w:val="20"/>
        </w:rPr>
        <w:t xml:space="preserve"> </w:t>
      </w:r>
      <w:r>
        <w:rPr>
          <w:color w:val="57585A"/>
          <w:spacing w:val="-11"/>
          <w:sz w:val="20"/>
          <w:szCs w:val="20"/>
        </w:rPr>
        <w:t>Apri</w:t>
      </w:r>
      <w:r>
        <w:rPr>
          <w:color w:val="57585A"/>
          <w:spacing w:val="-12"/>
          <w:sz w:val="20"/>
          <w:szCs w:val="20"/>
        </w:rPr>
        <w:t>l 2020. The subsidy to producers, covered by the</w:t>
      </w:r>
      <w:r>
        <w:rPr>
          <w:color w:val="57585A"/>
          <w:sz w:val="20"/>
          <w:szCs w:val="20"/>
        </w:rPr>
        <w:t xml:space="preserve"> </w:t>
      </w:r>
      <w:r>
        <w:rPr>
          <w:color w:val="57585A"/>
          <w:spacing w:val="-11"/>
          <w:sz w:val="20"/>
          <w:szCs w:val="20"/>
        </w:rPr>
        <w:t>government, is expected to stimulate investment in the upstream natural gas market reac</w:t>
      </w:r>
      <w:r>
        <w:rPr>
          <w:color w:val="57585A"/>
          <w:spacing w:val="-12"/>
          <w:sz w:val="20"/>
          <w:szCs w:val="20"/>
        </w:rPr>
        <w:t>hing USD5bn. The tender scheme is</w:t>
      </w:r>
    </w:p>
    <w:p w14:paraId="2BA40C80">
      <w:pPr>
        <w:pStyle w:val="4"/>
        <w:spacing w:before="37" w:line="273" w:lineRule="auto"/>
        <w:ind w:left="369" w:right="371"/>
        <w:rPr>
          <w:sz w:val="20"/>
          <w:szCs w:val="20"/>
        </w:rPr>
      </w:pPr>
      <w:r>
        <w:rPr>
          <w:color w:val="57585A"/>
          <w:spacing w:val="-10"/>
          <w:sz w:val="20"/>
          <w:szCs w:val="20"/>
        </w:rPr>
        <w:t>expected to encompass 70mcm/d (approx</w:t>
      </w:r>
      <w:r>
        <w:rPr>
          <w:color w:val="57585A"/>
          <w:spacing w:val="-11"/>
          <w:sz w:val="20"/>
          <w:szCs w:val="20"/>
        </w:rPr>
        <w:t>. 2.17bcm/month),</w:t>
      </w:r>
      <w:r>
        <w:rPr>
          <w:color w:val="57585A"/>
          <w:spacing w:val="-16"/>
          <w:sz w:val="20"/>
          <w:szCs w:val="20"/>
        </w:rPr>
        <w:t xml:space="preserve"> </w:t>
      </w:r>
      <w:r>
        <w:rPr>
          <w:color w:val="57585A"/>
          <w:spacing w:val="-11"/>
          <w:sz w:val="20"/>
          <w:szCs w:val="20"/>
        </w:rPr>
        <w:t>which equals over 55% of</w:t>
      </w:r>
      <w:r>
        <w:rPr>
          <w:color w:val="57585A"/>
          <w:spacing w:val="-21"/>
          <w:sz w:val="20"/>
          <w:szCs w:val="20"/>
        </w:rPr>
        <w:t xml:space="preserve"> </w:t>
      </w:r>
      <w:r>
        <w:rPr>
          <w:color w:val="57585A"/>
          <w:spacing w:val="-11"/>
          <w:sz w:val="20"/>
          <w:szCs w:val="20"/>
        </w:rPr>
        <w:t>total natural gas production in</w:t>
      </w:r>
      <w:r>
        <w:rPr>
          <w:color w:val="57585A"/>
          <w:spacing w:val="-16"/>
          <w:sz w:val="20"/>
          <w:szCs w:val="20"/>
        </w:rPr>
        <w:t xml:space="preserve"> </w:t>
      </w:r>
      <w:r>
        <w:rPr>
          <w:color w:val="57585A"/>
          <w:spacing w:val="-11"/>
          <w:sz w:val="20"/>
          <w:szCs w:val="20"/>
        </w:rPr>
        <w:t>Argentina as</w:t>
      </w:r>
      <w:r>
        <w:rPr>
          <w:color w:val="57585A"/>
          <w:sz w:val="20"/>
          <w:szCs w:val="20"/>
        </w:rPr>
        <w:t xml:space="preserve"> </w:t>
      </w:r>
      <w:r>
        <w:rPr>
          <w:color w:val="57585A"/>
          <w:spacing w:val="-11"/>
          <w:sz w:val="20"/>
          <w:szCs w:val="20"/>
        </w:rPr>
        <w:t>of</w:t>
      </w:r>
      <w:r>
        <w:rPr>
          <w:color w:val="57585A"/>
          <w:spacing w:val="-24"/>
          <w:sz w:val="20"/>
          <w:szCs w:val="20"/>
        </w:rPr>
        <w:t xml:space="preserve"> </w:t>
      </w:r>
      <w:r>
        <w:rPr>
          <w:color w:val="57585A"/>
          <w:spacing w:val="-11"/>
          <w:sz w:val="20"/>
          <w:szCs w:val="20"/>
        </w:rPr>
        <w:t>August 2020. The fiscal cost for</w:t>
      </w:r>
      <w:r>
        <w:rPr>
          <w:color w:val="57585A"/>
          <w:spacing w:val="-12"/>
          <w:sz w:val="20"/>
          <w:szCs w:val="20"/>
        </w:rPr>
        <w:t xml:space="preserve"> </w:t>
      </w:r>
      <w:r>
        <w:rPr>
          <w:color w:val="57585A"/>
          <w:spacing w:val="-11"/>
          <w:sz w:val="20"/>
          <w:szCs w:val="20"/>
        </w:rPr>
        <w:t>the gov</w:t>
      </w:r>
      <w:r>
        <w:rPr>
          <w:color w:val="57585A"/>
          <w:spacing w:val="-12"/>
          <w:sz w:val="20"/>
          <w:szCs w:val="20"/>
        </w:rPr>
        <w:t>ernment is estimated at USD5.1bn,</w:t>
      </w:r>
      <w:r>
        <w:rPr>
          <w:color w:val="57585A"/>
          <w:spacing w:val="-16"/>
          <w:sz w:val="20"/>
          <w:szCs w:val="20"/>
        </w:rPr>
        <w:t xml:space="preserve"> </w:t>
      </w:r>
      <w:r>
        <w:rPr>
          <w:color w:val="57585A"/>
          <w:spacing w:val="-12"/>
          <w:sz w:val="20"/>
          <w:szCs w:val="20"/>
        </w:rPr>
        <w:t>with the fiscal</w:t>
      </w:r>
      <w:r>
        <w:rPr>
          <w:color w:val="57585A"/>
          <w:spacing w:val="-9"/>
          <w:sz w:val="20"/>
          <w:szCs w:val="20"/>
        </w:rPr>
        <w:t xml:space="preserve"> </w:t>
      </w:r>
      <w:r>
        <w:rPr>
          <w:color w:val="57585A"/>
          <w:spacing w:val="-12"/>
          <w:sz w:val="20"/>
          <w:szCs w:val="20"/>
        </w:rPr>
        <w:t>saving estimated at USD2.6bn over</w:t>
      </w:r>
    </w:p>
    <w:p w14:paraId="688CC433">
      <w:pPr>
        <w:pStyle w:val="4"/>
        <w:spacing w:before="37" w:line="231" w:lineRule="auto"/>
        <w:ind w:left="371"/>
        <w:rPr>
          <w:sz w:val="20"/>
          <w:szCs w:val="20"/>
        </w:rPr>
      </w:pPr>
      <w:r>
        <w:rPr>
          <w:color w:val="57585A"/>
          <w:spacing w:val="-10"/>
          <w:sz w:val="20"/>
          <w:szCs w:val="20"/>
        </w:rPr>
        <w:t>2021-2024.</w:t>
      </w:r>
      <w:r>
        <w:rPr>
          <w:color w:val="57585A"/>
          <w:spacing w:val="-15"/>
          <w:sz w:val="20"/>
          <w:szCs w:val="20"/>
        </w:rPr>
        <w:t xml:space="preserve"> </w:t>
      </w:r>
      <w:r>
        <w:rPr>
          <w:color w:val="57585A"/>
          <w:spacing w:val="-10"/>
          <w:sz w:val="20"/>
          <w:szCs w:val="20"/>
        </w:rPr>
        <w:t>The producers</w:t>
      </w:r>
      <w:r>
        <w:rPr>
          <w:color w:val="57585A"/>
          <w:spacing w:val="-16"/>
          <w:sz w:val="20"/>
          <w:szCs w:val="20"/>
        </w:rPr>
        <w:t xml:space="preserve"> </w:t>
      </w:r>
      <w:r>
        <w:rPr>
          <w:color w:val="57585A"/>
          <w:spacing w:val="-10"/>
          <w:sz w:val="20"/>
          <w:szCs w:val="20"/>
        </w:rPr>
        <w:t>who participate in the tender</w:t>
      </w:r>
      <w:r>
        <w:rPr>
          <w:color w:val="57585A"/>
          <w:spacing w:val="-15"/>
          <w:sz w:val="20"/>
          <w:szCs w:val="20"/>
        </w:rPr>
        <w:t xml:space="preserve"> </w:t>
      </w:r>
      <w:r>
        <w:rPr>
          <w:color w:val="57585A"/>
          <w:spacing w:val="-10"/>
          <w:sz w:val="20"/>
          <w:szCs w:val="20"/>
        </w:rPr>
        <w:t>will be</w:t>
      </w:r>
      <w:r>
        <w:rPr>
          <w:color w:val="57585A"/>
          <w:spacing w:val="-11"/>
          <w:sz w:val="20"/>
          <w:szCs w:val="20"/>
        </w:rPr>
        <w:t xml:space="preserve"> expected to maintain or increase production from the May-June</w:t>
      </w:r>
    </w:p>
    <w:p w14:paraId="5814B734">
      <w:pPr>
        <w:pStyle w:val="4"/>
        <w:spacing w:before="58" w:line="294" w:lineRule="auto"/>
        <w:ind w:left="372" w:right="450" w:hanging="1"/>
        <w:rPr>
          <w:sz w:val="20"/>
          <w:szCs w:val="20"/>
        </w:rPr>
      </w:pPr>
      <w:r>
        <w:rPr>
          <w:color w:val="57585A"/>
          <w:spacing w:val="-12"/>
          <w:sz w:val="20"/>
          <w:szCs w:val="20"/>
        </w:rPr>
        <w:t>2020 baseline. In September 2022, the government released an extension of</w:t>
      </w:r>
      <w:r>
        <w:rPr>
          <w:color w:val="57585A"/>
          <w:spacing w:val="-8"/>
          <w:sz w:val="20"/>
          <w:szCs w:val="20"/>
        </w:rPr>
        <w:t xml:space="preserve"> </w:t>
      </w:r>
      <w:r>
        <w:rPr>
          <w:color w:val="57585A"/>
          <w:spacing w:val="-12"/>
          <w:sz w:val="20"/>
          <w:szCs w:val="20"/>
        </w:rPr>
        <w:t>this incentives program - Plan Gas 5,</w:t>
      </w:r>
      <w:r>
        <w:rPr>
          <w:color w:val="57585A"/>
          <w:spacing w:val="-15"/>
          <w:sz w:val="20"/>
          <w:szCs w:val="20"/>
        </w:rPr>
        <w:t xml:space="preserve"> </w:t>
      </w:r>
      <w:r>
        <w:rPr>
          <w:color w:val="57585A"/>
          <w:spacing w:val="-12"/>
          <w:sz w:val="20"/>
          <w:szCs w:val="20"/>
        </w:rPr>
        <w:t>which</w:t>
      </w:r>
      <w:r>
        <w:rPr>
          <w:color w:val="57585A"/>
          <w:spacing w:val="-16"/>
          <w:sz w:val="20"/>
          <w:szCs w:val="20"/>
        </w:rPr>
        <w:t xml:space="preserve"> </w:t>
      </w:r>
      <w:r>
        <w:rPr>
          <w:color w:val="57585A"/>
          <w:spacing w:val="-12"/>
          <w:sz w:val="20"/>
          <w:szCs w:val="20"/>
        </w:rPr>
        <w:t>would last</w:t>
      </w:r>
      <w:r>
        <w:rPr>
          <w:color w:val="57585A"/>
          <w:sz w:val="20"/>
          <w:szCs w:val="20"/>
        </w:rPr>
        <w:t xml:space="preserve"> </w:t>
      </w:r>
      <w:r>
        <w:rPr>
          <w:color w:val="57585A"/>
          <w:spacing w:val="-9"/>
          <w:sz w:val="20"/>
          <w:szCs w:val="20"/>
        </w:rPr>
        <w:t>until 2028.</w:t>
      </w:r>
    </w:p>
    <w:p w14:paraId="57CE76B5">
      <w:pPr>
        <w:spacing w:line="294" w:lineRule="auto"/>
        <w:rPr>
          <w:sz w:val="20"/>
          <w:szCs w:val="20"/>
        </w:rPr>
        <w:sectPr>
          <w:footerReference r:id="rId69" w:type="default"/>
          <w:pgSz w:w="11906" w:h="16838"/>
          <w:pgMar w:top="400" w:right="490" w:bottom="883" w:left="490" w:header="0" w:footer="0" w:gutter="0"/>
          <w:cols w:space="720" w:num="1"/>
        </w:sectPr>
      </w:pPr>
    </w:p>
    <w:p w14:paraId="1278B986">
      <w:pPr>
        <w:pStyle w:val="4"/>
        <w:spacing w:before="73" w:line="241" w:lineRule="auto"/>
        <w:ind w:left="7372"/>
        <w:rPr>
          <w:sz w:val="20"/>
          <w:szCs w:val="20"/>
        </w:rPr>
      </w:pPr>
      <w:r>
        <w:drawing>
          <wp:anchor distT="0" distB="0" distL="0" distR="0" simplePos="0" relativeHeight="25192038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21408" behindDoc="0" locked="0" layoutInCell="0" allowOverlap="1">
            <wp:simplePos x="0" y="0"/>
            <wp:positionH relativeFrom="page">
              <wp:posOffset>311150</wp:posOffset>
            </wp:positionH>
            <wp:positionV relativeFrom="page">
              <wp:posOffset>0</wp:posOffset>
            </wp:positionV>
            <wp:extent cx="19050" cy="814070"/>
            <wp:effectExtent l="0" t="0" r="0" b="0"/>
            <wp:wrapNone/>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1D5F70E">
      <w:pPr>
        <w:pStyle w:val="4"/>
        <w:spacing w:line="278" w:lineRule="auto"/>
      </w:pPr>
    </w:p>
    <w:p w14:paraId="17C672D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00E3607">
      <w:pPr>
        <w:pStyle w:val="4"/>
        <w:spacing w:line="270" w:lineRule="auto"/>
      </w:pPr>
    </w:p>
    <w:p w14:paraId="225CCA2F">
      <w:pPr>
        <w:pStyle w:val="4"/>
        <w:spacing w:line="270" w:lineRule="auto"/>
      </w:pPr>
    </w:p>
    <w:p w14:paraId="5062FB84">
      <w:pPr>
        <w:pStyle w:val="4"/>
        <w:spacing w:line="271" w:lineRule="auto"/>
      </w:pPr>
    </w:p>
    <w:p w14:paraId="13FED447">
      <w:pPr>
        <w:pStyle w:val="4"/>
        <w:spacing w:before="69" w:line="241" w:lineRule="auto"/>
        <w:ind w:left="378"/>
        <w:outlineLvl w:val="2"/>
        <w:rPr>
          <w:sz w:val="24"/>
          <w:szCs w:val="24"/>
        </w:rPr>
      </w:pPr>
      <w:r>
        <w:rPr>
          <w:b/>
          <w:bCs/>
          <w:color w:val="174174"/>
          <w:spacing w:val="-14"/>
          <w:sz w:val="24"/>
          <w:szCs w:val="24"/>
        </w:rPr>
        <w:t>Licencing Rounds</w:t>
      </w:r>
    </w:p>
    <w:p w14:paraId="7DBE74C9">
      <w:pPr>
        <w:pStyle w:val="4"/>
        <w:spacing w:line="348" w:lineRule="auto"/>
      </w:pPr>
    </w:p>
    <w:p w14:paraId="50B834A4">
      <w:pPr>
        <w:pStyle w:val="4"/>
        <w:spacing w:before="57" w:line="231" w:lineRule="auto"/>
        <w:ind w:left="376"/>
        <w:rPr>
          <w:sz w:val="20"/>
          <w:szCs w:val="20"/>
        </w:rPr>
      </w:pPr>
      <w:r>
        <w:rPr>
          <w:color w:val="57585A"/>
          <w:spacing w:val="-10"/>
          <w:sz w:val="20"/>
          <w:szCs w:val="20"/>
        </w:rPr>
        <w:t>In 2007, the third licensing round launche</w:t>
      </w:r>
      <w:r>
        <w:rPr>
          <w:color w:val="57585A"/>
          <w:spacing w:val="-11"/>
          <w:sz w:val="20"/>
          <w:szCs w:val="20"/>
        </w:rPr>
        <w:t>d by Rio Negro province attracted bids from eight companies seeking to explore in the</w:t>
      </w:r>
    </w:p>
    <w:p w14:paraId="2BE18E2B">
      <w:pPr>
        <w:pStyle w:val="4"/>
        <w:spacing w:before="59" w:line="231" w:lineRule="auto"/>
        <w:ind w:left="376"/>
        <w:rPr>
          <w:sz w:val="20"/>
          <w:szCs w:val="20"/>
        </w:rPr>
      </w:pPr>
      <w:r>
        <w:rPr>
          <w:color w:val="57585A"/>
          <w:spacing w:val="-13"/>
          <w:sz w:val="20"/>
          <w:szCs w:val="20"/>
        </w:rPr>
        <w:t>Neuquén basin. Offers for the</w:t>
      </w:r>
      <w:r>
        <w:rPr>
          <w:color w:val="57585A"/>
          <w:spacing w:val="-16"/>
          <w:sz w:val="20"/>
          <w:szCs w:val="20"/>
        </w:rPr>
        <w:t xml:space="preserve"> </w:t>
      </w:r>
      <w:r>
        <w:rPr>
          <w:color w:val="57585A"/>
          <w:spacing w:val="-13"/>
          <w:sz w:val="20"/>
          <w:szCs w:val="20"/>
        </w:rPr>
        <w:t>Angostura block came in from US unit Apache Energía Argentina, regiona</w:t>
      </w:r>
      <w:r>
        <w:rPr>
          <w:color w:val="57585A"/>
          <w:spacing w:val="-14"/>
          <w:sz w:val="20"/>
          <w:szCs w:val="20"/>
        </w:rPr>
        <w:t>l players CGC, Usinas y</w:t>
      </w:r>
    </w:p>
    <w:p w14:paraId="70E30257">
      <w:pPr>
        <w:pStyle w:val="4"/>
        <w:spacing w:before="57" w:line="283" w:lineRule="auto"/>
        <w:ind w:left="362" w:right="444" w:hanging="2"/>
        <w:rPr>
          <w:sz w:val="20"/>
          <w:szCs w:val="20"/>
        </w:rPr>
      </w:pPr>
      <w:r>
        <w:rPr>
          <w:color w:val="57585A"/>
          <w:spacing w:val="-13"/>
          <w:sz w:val="20"/>
          <w:szCs w:val="20"/>
        </w:rPr>
        <w:t>Terminales Eléctricas, and Estrella Servicios Petroleros and Petrolifera Petroleum. The Tres Nidos Sur block attrac</w:t>
      </w:r>
      <w:r>
        <w:rPr>
          <w:color w:val="57585A"/>
          <w:spacing w:val="-14"/>
          <w:sz w:val="20"/>
          <w:szCs w:val="20"/>
        </w:rPr>
        <w:t>ted</w:t>
      </w:r>
      <w:r>
        <w:rPr>
          <w:color w:val="57585A"/>
          <w:spacing w:val="-2"/>
          <w:sz w:val="20"/>
          <w:szCs w:val="20"/>
        </w:rPr>
        <w:t xml:space="preserve"> </w:t>
      </w:r>
      <w:r>
        <w:rPr>
          <w:color w:val="57585A"/>
          <w:spacing w:val="-14"/>
          <w:sz w:val="20"/>
          <w:szCs w:val="20"/>
        </w:rPr>
        <w:t>bids from</w:t>
      </w:r>
      <w:r>
        <w:rPr>
          <w:color w:val="57585A"/>
          <w:spacing w:val="1"/>
          <w:sz w:val="20"/>
          <w:szCs w:val="20"/>
        </w:rPr>
        <w:t xml:space="preserve"> </w:t>
      </w:r>
      <w:r>
        <w:rPr>
          <w:color w:val="57585A"/>
          <w:spacing w:val="-14"/>
          <w:sz w:val="20"/>
          <w:szCs w:val="20"/>
        </w:rPr>
        <w:t>Roch</w:t>
      </w:r>
      <w:r>
        <w:rPr>
          <w:color w:val="57585A"/>
          <w:sz w:val="20"/>
          <w:szCs w:val="20"/>
        </w:rPr>
        <w:t xml:space="preserve"> </w:t>
      </w:r>
      <w:r>
        <w:rPr>
          <w:color w:val="57585A"/>
          <w:spacing w:val="-12"/>
          <w:sz w:val="20"/>
          <w:szCs w:val="20"/>
        </w:rPr>
        <w:t>and Antrim Energy. Geodyne Energy, another Canadian indep</w:t>
      </w:r>
      <w:r>
        <w:rPr>
          <w:color w:val="57585A"/>
          <w:spacing w:val="-13"/>
          <w:sz w:val="20"/>
          <w:szCs w:val="20"/>
        </w:rPr>
        <w:t>endent, submitted bids for the Blanco de los Olivos and Catriel Viejo</w:t>
      </w:r>
      <w:r>
        <w:rPr>
          <w:color w:val="57585A"/>
          <w:sz w:val="20"/>
          <w:szCs w:val="20"/>
        </w:rPr>
        <w:t xml:space="preserve"> </w:t>
      </w:r>
      <w:r>
        <w:rPr>
          <w:color w:val="57585A"/>
          <w:spacing w:val="-12"/>
          <w:sz w:val="20"/>
          <w:szCs w:val="20"/>
        </w:rPr>
        <w:t>Sur blocks. Petrolifera Petroleum also made an offer for the Puesto Guevara block. The round followed the signing of E&amp;P contrac</w:t>
      </w:r>
      <w:r>
        <w:rPr>
          <w:color w:val="57585A"/>
          <w:spacing w:val="-13"/>
          <w:sz w:val="20"/>
          <w:szCs w:val="20"/>
        </w:rPr>
        <w:t>ts</w:t>
      </w:r>
      <w:r>
        <w:rPr>
          <w:color w:val="57585A"/>
          <w:sz w:val="20"/>
          <w:szCs w:val="20"/>
        </w:rPr>
        <w:t xml:space="preserve"> </w:t>
      </w:r>
      <w:r>
        <w:rPr>
          <w:color w:val="57585A"/>
          <w:spacing w:val="-11"/>
          <w:sz w:val="20"/>
          <w:szCs w:val="20"/>
        </w:rPr>
        <w:t>for four blocks in Neuquén Basin offered as part of Rio Negro's second licensing round.</w:t>
      </w:r>
      <w:r>
        <w:rPr>
          <w:color w:val="57585A"/>
          <w:spacing w:val="-16"/>
          <w:sz w:val="20"/>
          <w:szCs w:val="20"/>
        </w:rPr>
        <w:t xml:space="preserve"> </w:t>
      </w:r>
      <w:r>
        <w:rPr>
          <w:color w:val="57585A"/>
          <w:spacing w:val="-11"/>
          <w:sz w:val="20"/>
          <w:szCs w:val="20"/>
        </w:rPr>
        <w:t>According t</w:t>
      </w:r>
      <w:r>
        <w:rPr>
          <w:color w:val="57585A"/>
          <w:spacing w:val="-12"/>
          <w:sz w:val="20"/>
          <w:szCs w:val="20"/>
        </w:rPr>
        <w:t>o the province's Deputy</w:t>
      </w:r>
    </w:p>
    <w:p w14:paraId="12EC1FE2">
      <w:pPr>
        <w:pStyle w:val="4"/>
        <w:spacing w:before="37" w:line="231" w:lineRule="auto"/>
        <w:ind w:left="369"/>
        <w:rPr>
          <w:sz w:val="20"/>
          <w:szCs w:val="20"/>
        </w:rPr>
      </w:pPr>
      <w:r>
        <w:rPr>
          <w:color w:val="57585A"/>
          <w:spacing w:val="-12"/>
          <w:sz w:val="20"/>
          <w:szCs w:val="20"/>
        </w:rPr>
        <w:t>Governor, Mario De Rege, the first two rounds should result in investment of up to USD200mn.</w:t>
      </w:r>
    </w:p>
    <w:p w14:paraId="589FBD3E">
      <w:pPr>
        <w:pStyle w:val="4"/>
        <w:spacing w:line="287" w:lineRule="auto"/>
      </w:pPr>
    </w:p>
    <w:p w14:paraId="1E33B831">
      <w:pPr>
        <w:pStyle w:val="4"/>
        <w:spacing w:before="58" w:line="273" w:lineRule="auto"/>
        <w:ind w:left="372" w:right="622" w:hanging="3"/>
        <w:rPr>
          <w:sz w:val="20"/>
          <w:szCs w:val="20"/>
        </w:rPr>
      </w:pPr>
      <w:r>
        <w:rPr>
          <w:color w:val="57585A"/>
          <w:spacing w:val="-11"/>
          <w:sz w:val="20"/>
          <w:szCs w:val="20"/>
        </w:rPr>
        <w:t>G&amp;P conducted its first two bidding rounds in 2009, awarding 18 exploration licences for low-,</w:t>
      </w:r>
      <w:r>
        <w:rPr>
          <w:color w:val="57585A"/>
          <w:spacing w:val="-12"/>
          <w:sz w:val="20"/>
          <w:szCs w:val="20"/>
        </w:rPr>
        <w:t xml:space="preserve"> medium- and high-risk blocks. The</w:t>
      </w:r>
      <w:r>
        <w:rPr>
          <w:color w:val="57585A"/>
          <w:sz w:val="20"/>
          <w:szCs w:val="20"/>
        </w:rPr>
        <w:t xml:space="preserve"> </w:t>
      </w:r>
      <w:r>
        <w:rPr>
          <w:color w:val="57585A"/>
          <w:spacing w:val="-14"/>
          <w:sz w:val="20"/>
          <w:szCs w:val="20"/>
        </w:rPr>
        <w:t>blocks</w:t>
      </w:r>
      <w:r>
        <w:rPr>
          <w:color w:val="57585A"/>
          <w:spacing w:val="-13"/>
          <w:sz w:val="20"/>
          <w:szCs w:val="20"/>
        </w:rPr>
        <w:t xml:space="preserve"> </w:t>
      </w:r>
      <w:r>
        <w:rPr>
          <w:color w:val="57585A"/>
          <w:spacing w:val="-14"/>
          <w:sz w:val="20"/>
          <w:szCs w:val="20"/>
        </w:rPr>
        <w:t>were awarded</w:t>
      </w:r>
      <w:r>
        <w:rPr>
          <w:color w:val="57585A"/>
          <w:spacing w:val="-13"/>
          <w:sz w:val="20"/>
          <w:szCs w:val="20"/>
        </w:rPr>
        <w:t xml:space="preserve"> </w:t>
      </w:r>
      <w:r>
        <w:rPr>
          <w:color w:val="57585A"/>
          <w:spacing w:val="-14"/>
          <w:sz w:val="20"/>
          <w:szCs w:val="20"/>
        </w:rPr>
        <w:t>to TotalEnergues,</w:t>
      </w:r>
      <w:r>
        <w:rPr>
          <w:color w:val="57585A"/>
          <w:spacing w:val="-16"/>
          <w:sz w:val="20"/>
          <w:szCs w:val="20"/>
        </w:rPr>
        <w:t xml:space="preserve"> </w:t>
      </w:r>
      <w:r>
        <w:rPr>
          <w:color w:val="57585A"/>
          <w:spacing w:val="-14"/>
          <w:sz w:val="20"/>
          <w:szCs w:val="20"/>
        </w:rPr>
        <w:t>YPF and Petrobras and Argentina-based firms Energy Operations, Raiser and Rovella</w:t>
      </w:r>
    </w:p>
    <w:p w14:paraId="5B9C4B84">
      <w:pPr>
        <w:pStyle w:val="4"/>
        <w:spacing w:before="37" w:line="292" w:lineRule="auto"/>
        <w:ind w:left="359" w:right="460" w:firstLine="9"/>
        <w:rPr>
          <w:sz w:val="20"/>
          <w:szCs w:val="20"/>
        </w:rPr>
      </w:pPr>
      <w:r>
        <w:rPr>
          <w:color w:val="57585A"/>
          <w:spacing w:val="-13"/>
          <w:sz w:val="20"/>
          <w:szCs w:val="20"/>
        </w:rPr>
        <w:t>Carranza. G&amp;P'S CEO Ruben Etcheverry said that he expects the compan</w:t>
      </w:r>
      <w:r>
        <w:rPr>
          <w:color w:val="57585A"/>
          <w:spacing w:val="-14"/>
          <w:sz w:val="20"/>
          <w:szCs w:val="20"/>
        </w:rPr>
        <w:t>ies to invest about USD60.9mn over four years and drill 13</w:t>
      </w:r>
      <w:r>
        <w:rPr>
          <w:color w:val="57585A"/>
          <w:sz w:val="20"/>
          <w:szCs w:val="20"/>
        </w:rPr>
        <w:t xml:space="preserve"> </w:t>
      </w:r>
      <w:r>
        <w:rPr>
          <w:color w:val="57585A"/>
          <w:spacing w:val="-12"/>
          <w:sz w:val="20"/>
          <w:szCs w:val="20"/>
        </w:rPr>
        <w:t>wells at the blocks. G&amp;P will take a 15% stake in each</w:t>
      </w:r>
      <w:r>
        <w:rPr>
          <w:color w:val="57585A"/>
          <w:spacing w:val="-13"/>
          <w:sz w:val="20"/>
          <w:szCs w:val="20"/>
        </w:rPr>
        <w:t xml:space="preserve"> of</w:t>
      </w:r>
      <w:r>
        <w:rPr>
          <w:color w:val="57585A"/>
          <w:spacing w:val="-21"/>
          <w:sz w:val="20"/>
          <w:szCs w:val="20"/>
        </w:rPr>
        <w:t xml:space="preserve"> </w:t>
      </w:r>
      <w:r>
        <w:rPr>
          <w:color w:val="57585A"/>
          <w:spacing w:val="-13"/>
          <w:sz w:val="20"/>
          <w:szCs w:val="20"/>
        </w:rPr>
        <w:t>the blocks.</w:t>
      </w:r>
    </w:p>
    <w:p w14:paraId="6F5771EB">
      <w:pPr>
        <w:pStyle w:val="4"/>
        <w:spacing w:before="289" w:line="279" w:lineRule="auto"/>
        <w:ind w:left="372" w:right="612" w:hanging="13"/>
        <w:rPr>
          <w:sz w:val="20"/>
          <w:szCs w:val="20"/>
        </w:rPr>
      </w:pPr>
      <w:r>
        <w:rPr>
          <w:color w:val="57585A"/>
          <w:spacing w:val="-10"/>
          <w:sz w:val="20"/>
          <w:szCs w:val="20"/>
        </w:rPr>
        <w:t>Argentina delayed the launch of</w:t>
      </w:r>
      <w:r>
        <w:rPr>
          <w:color w:val="57585A"/>
          <w:spacing w:val="-17"/>
          <w:sz w:val="20"/>
          <w:szCs w:val="20"/>
        </w:rPr>
        <w:t xml:space="preserve"> </w:t>
      </w:r>
      <w:r>
        <w:rPr>
          <w:color w:val="57585A"/>
          <w:spacing w:val="-10"/>
          <w:sz w:val="20"/>
          <w:szCs w:val="20"/>
        </w:rPr>
        <w:t>a licensing round in 2011 that</w:t>
      </w:r>
      <w:r>
        <w:rPr>
          <w:color w:val="57585A"/>
          <w:spacing w:val="-15"/>
          <w:sz w:val="20"/>
          <w:szCs w:val="20"/>
        </w:rPr>
        <w:t xml:space="preserve"> </w:t>
      </w:r>
      <w:r>
        <w:rPr>
          <w:color w:val="57585A"/>
          <w:spacing w:val="-10"/>
          <w:sz w:val="20"/>
          <w:szCs w:val="20"/>
        </w:rPr>
        <w:t xml:space="preserve">would have put </w:t>
      </w:r>
      <w:r>
        <w:rPr>
          <w:color w:val="57585A"/>
          <w:spacing w:val="-11"/>
          <w:sz w:val="20"/>
          <w:szCs w:val="20"/>
        </w:rPr>
        <w:t>32 offshore blocks up for grabs in the</w:t>
      </w:r>
      <w:r>
        <w:rPr>
          <w:color w:val="57585A"/>
          <w:spacing w:val="-16"/>
          <w:sz w:val="20"/>
          <w:szCs w:val="20"/>
        </w:rPr>
        <w:t xml:space="preserve"> </w:t>
      </w:r>
      <w:r>
        <w:rPr>
          <w:color w:val="57585A"/>
          <w:spacing w:val="-11"/>
          <w:sz w:val="20"/>
          <w:szCs w:val="20"/>
        </w:rPr>
        <w:t>wake of</w:t>
      </w:r>
      <w:r>
        <w:rPr>
          <w:color w:val="57585A"/>
          <w:spacing w:val="-21"/>
          <w:sz w:val="20"/>
          <w:szCs w:val="20"/>
        </w:rPr>
        <w:t xml:space="preserve"> </w:t>
      </w:r>
      <w:r>
        <w:rPr>
          <w:color w:val="57585A"/>
          <w:spacing w:val="-11"/>
          <w:sz w:val="20"/>
          <w:szCs w:val="20"/>
        </w:rPr>
        <w:t>the</w:t>
      </w:r>
      <w:r>
        <w:rPr>
          <w:color w:val="57585A"/>
          <w:sz w:val="20"/>
          <w:szCs w:val="20"/>
        </w:rPr>
        <w:t xml:space="preserve"> </w:t>
      </w:r>
      <w:r>
        <w:rPr>
          <w:color w:val="57585A"/>
          <w:spacing w:val="-11"/>
          <w:sz w:val="20"/>
          <w:szCs w:val="20"/>
        </w:rPr>
        <w:t>US debt rating downgrade</w:t>
      </w:r>
      <w:r>
        <w:rPr>
          <w:color w:val="57585A"/>
          <w:spacing w:val="-12"/>
          <w:sz w:val="20"/>
          <w:szCs w:val="20"/>
        </w:rPr>
        <w:t>, a source at Enarsa told Reuters on</w:t>
      </w:r>
      <w:r>
        <w:rPr>
          <w:color w:val="57585A"/>
          <w:spacing w:val="-15"/>
          <w:sz w:val="20"/>
          <w:szCs w:val="20"/>
        </w:rPr>
        <w:t xml:space="preserve"> </w:t>
      </w:r>
      <w:r>
        <w:rPr>
          <w:color w:val="57585A"/>
          <w:spacing w:val="-12"/>
          <w:sz w:val="20"/>
          <w:szCs w:val="20"/>
        </w:rPr>
        <w:t>August 8 2011.</w:t>
      </w:r>
      <w:r>
        <w:rPr>
          <w:color w:val="57585A"/>
          <w:spacing w:val="-16"/>
          <w:sz w:val="20"/>
          <w:szCs w:val="20"/>
        </w:rPr>
        <w:t xml:space="preserve"> </w:t>
      </w:r>
      <w:r>
        <w:rPr>
          <w:color w:val="57585A"/>
          <w:spacing w:val="-12"/>
          <w:sz w:val="20"/>
          <w:szCs w:val="20"/>
        </w:rPr>
        <w:t>A new international bidding round in the</w:t>
      </w:r>
      <w:r>
        <w:rPr>
          <w:color w:val="57585A"/>
          <w:spacing w:val="1"/>
          <w:sz w:val="20"/>
          <w:szCs w:val="20"/>
        </w:rPr>
        <w:t xml:space="preserve"> </w:t>
      </w:r>
      <w:r>
        <w:rPr>
          <w:color w:val="57585A"/>
          <w:spacing w:val="-12"/>
          <w:sz w:val="20"/>
          <w:szCs w:val="20"/>
        </w:rPr>
        <w:t>Neuquén</w:t>
      </w:r>
      <w:r>
        <w:rPr>
          <w:color w:val="57585A"/>
          <w:sz w:val="20"/>
          <w:szCs w:val="20"/>
        </w:rPr>
        <w:t xml:space="preserve"> </w:t>
      </w:r>
      <w:r>
        <w:rPr>
          <w:color w:val="57585A"/>
          <w:spacing w:val="-11"/>
          <w:sz w:val="20"/>
          <w:szCs w:val="20"/>
        </w:rPr>
        <w:t>province</w:t>
      </w:r>
      <w:r>
        <w:rPr>
          <w:color w:val="57585A"/>
          <w:spacing w:val="-15"/>
          <w:sz w:val="20"/>
          <w:szCs w:val="20"/>
        </w:rPr>
        <w:t xml:space="preserve"> </w:t>
      </w:r>
      <w:r>
        <w:rPr>
          <w:color w:val="57585A"/>
          <w:spacing w:val="-11"/>
          <w:sz w:val="20"/>
          <w:szCs w:val="20"/>
        </w:rPr>
        <w:t>was due to occur in March 2014.</w:t>
      </w:r>
      <w:r>
        <w:rPr>
          <w:color w:val="57585A"/>
          <w:spacing w:val="-12"/>
          <w:sz w:val="20"/>
          <w:szCs w:val="20"/>
        </w:rPr>
        <w:t xml:space="preserve"> The round</w:t>
      </w:r>
      <w:r>
        <w:rPr>
          <w:color w:val="57585A"/>
          <w:spacing w:val="-16"/>
          <w:sz w:val="20"/>
          <w:szCs w:val="20"/>
        </w:rPr>
        <w:t xml:space="preserve"> </w:t>
      </w:r>
      <w:r>
        <w:rPr>
          <w:color w:val="57585A"/>
          <w:spacing w:val="-12"/>
          <w:sz w:val="20"/>
          <w:szCs w:val="20"/>
        </w:rPr>
        <w:t>was rescheduled for Q4 2018. In May 2018, the government called on</w:t>
      </w:r>
    </w:p>
    <w:p w14:paraId="27458EBC">
      <w:pPr>
        <w:pStyle w:val="4"/>
        <w:spacing w:before="37" w:line="231" w:lineRule="auto"/>
        <w:ind w:left="376"/>
        <w:rPr>
          <w:sz w:val="20"/>
          <w:szCs w:val="20"/>
        </w:rPr>
      </w:pPr>
      <w:r>
        <w:rPr>
          <w:color w:val="57585A"/>
          <w:spacing w:val="-12"/>
          <w:sz w:val="20"/>
          <w:szCs w:val="20"/>
        </w:rPr>
        <w:t>IOCs to submit proposals for 38 offshore exploration areas. Oil companies, including Shell and Equinor, sai</w:t>
      </w:r>
      <w:r>
        <w:rPr>
          <w:color w:val="57585A"/>
          <w:spacing w:val="-13"/>
          <w:sz w:val="20"/>
          <w:szCs w:val="20"/>
        </w:rPr>
        <w:t>d they were mulling</w:t>
      </w:r>
    </w:p>
    <w:p w14:paraId="0CB54E4F">
      <w:pPr>
        <w:pStyle w:val="4"/>
        <w:spacing w:before="58" w:line="273" w:lineRule="auto"/>
        <w:ind w:left="375" w:right="571" w:hanging="2"/>
        <w:rPr>
          <w:sz w:val="20"/>
          <w:szCs w:val="20"/>
        </w:rPr>
      </w:pPr>
      <w:r>
        <w:rPr>
          <w:color w:val="57585A"/>
          <w:spacing w:val="-11"/>
          <w:sz w:val="20"/>
          <w:szCs w:val="20"/>
        </w:rPr>
        <w:t>bidding in auctions</w:t>
      </w:r>
      <w:r>
        <w:rPr>
          <w:color w:val="57585A"/>
          <w:spacing w:val="-15"/>
          <w:sz w:val="20"/>
          <w:szCs w:val="20"/>
        </w:rPr>
        <w:t xml:space="preserve"> </w:t>
      </w:r>
      <w:r>
        <w:rPr>
          <w:color w:val="57585A"/>
          <w:spacing w:val="-11"/>
          <w:sz w:val="20"/>
          <w:szCs w:val="20"/>
        </w:rPr>
        <w:t>w</w:t>
      </w:r>
      <w:r>
        <w:rPr>
          <w:color w:val="57585A"/>
          <w:spacing w:val="-12"/>
          <w:sz w:val="20"/>
          <w:szCs w:val="20"/>
        </w:rPr>
        <w:t>hich</w:t>
      </w:r>
      <w:r>
        <w:rPr>
          <w:color w:val="57585A"/>
          <w:spacing w:val="-16"/>
          <w:sz w:val="20"/>
          <w:szCs w:val="20"/>
        </w:rPr>
        <w:t xml:space="preserve"> </w:t>
      </w:r>
      <w:r>
        <w:rPr>
          <w:color w:val="57585A"/>
          <w:spacing w:val="-12"/>
          <w:sz w:val="20"/>
          <w:szCs w:val="20"/>
        </w:rPr>
        <w:t>were tendered in October 2018. In</w:t>
      </w:r>
      <w:r>
        <w:rPr>
          <w:color w:val="57585A"/>
          <w:spacing w:val="-15"/>
          <w:sz w:val="20"/>
          <w:szCs w:val="20"/>
        </w:rPr>
        <w:t xml:space="preserve"> </w:t>
      </w:r>
      <w:r>
        <w:rPr>
          <w:color w:val="57585A"/>
          <w:spacing w:val="-12"/>
          <w:sz w:val="20"/>
          <w:szCs w:val="20"/>
        </w:rPr>
        <w:t>April 2019, these companies, along</w:t>
      </w:r>
      <w:r>
        <w:rPr>
          <w:color w:val="57585A"/>
          <w:spacing w:val="-16"/>
          <w:sz w:val="20"/>
          <w:szCs w:val="20"/>
        </w:rPr>
        <w:t xml:space="preserve"> </w:t>
      </w:r>
      <w:r>
        <w:rPr>
          <w:color w:val="57585A"/>
          <w:spacing w:val="-12"/>
          <w:sz w:val="20"/>
          <w:szCs w:val="20"/>
        </w:rPr>
        <w:t>with ExxonMobil, Total and Qatar</w:t>
      </w:r>
      <w:r>
        <w:rPr>
          <w:color w:val="57585A"/>
          <w:sz w:val="20"/>
          <w:szCs w:val="20"/>
        </w:rPr>
        <w:t xml:space="preserve"> </w:t>
      </w:r>
      <w:r>
        <w:rPr>
          <w:color w:val="57585A"/>
          <w:spacing w:val="-12"/>
          <w:sz w:val="20"/>
          <w:szCs w:val="20"/>
        </w:rPr>
        <w:t>Petroleum,</w:t>
      </w:r>
      <w:r>
        <w:rPr>
          <w:color w:val="57585A"/>
          <w:spacing w:val="-15"/>
          <w:sz w:val="20"/>
          <w:szCs w:val="20"/>
        </w:rPr>
        <w:t xml:space="preserve"> </w:t>
      </w:r>
      <w:r>
        <w:rPr>
          <w:color w:val="57585A"/>
          <w:spacing w:val="-12"/>
          <w:sz w:val="20"/>
          <w:szCs w:val="20"/>
        </w:rPr>
        <w:t>were awarded offshore exploration blocks in the Malvinas basin, approximately 320km offshore Tierra d</w:t>
      </w:r>
      <w:r>
        <w:rPr>
          <w:color w:val="57585A"/>
          <w:spacing w:val="-13"/>
          <w:sz w:val="20"/>
          <w:szCs w:val="20"/>
        </w:rPr>
        <w:t>el Fuego.</w:t>
      </w:r>
    </w:p>
    <w:p w14:paraId="6C9D55C2">
      <w:pPr>
        <w:pStyle w:val="4"/>
        <w:spacing w:line="274" w:lineRule="auto"/>
      </w:pPr>
    </w:p>
    <w:p w14:paraId="2A64CC80">
      <w:pPr>
        <w:pStyle w:val="4"/>
        <w:spacing w:line="274" w:lineRule="auto"/>
      </w:pPr>
    </w:p>
    <w:p w14:paraId="497F1FBA">
      <w:pPr>
        <w:pStyle w:val="4"/>
        <w:spacing w:before="59" w:line="241" w:lineRule="auto"/>
        <w:ind w:left="368"/>
        <w:rPr>
          <w:sz w:val="20"/>
          <w:szCs w:val="20"/>
        </w:rPr>
      </w:pPr>
      <w:r>
        <w:rPr>
          <w:b/>
          <w:bCs/>
          <w:color w:val="57585A"/>
          <w:spacing w:val="-9"/>
          <w:sz w:val="20"/>
          <w:szCs w:val="20"/>
        </w:rPr>
        <w:t>Changes Under Milei Government</w:t>
      </w:r>
    </w:p>
    <w:p w14:paraId="3EFE64D2">
      <w:pPr>
        <w:pStyle w:val="4"/>
        <w:spacing w:line="281" w:lineRule="auto"/>
      </w:pPr>
    </w:p>
    <w:p w14:paraId="40B35CA3">
      <w:pPr>
        <w:pStyle w:val="4"/>
        <w:spacing w:before="57" w:line="231" w:lineRule="auto"/>
        <w:ind w:left="376"/>
        <w:rPr>
          <w:sz w:val="20"/>
          <w:szCs w:val="20"/>
        </w:rPr>
      </w:pPr>
      <w:r>
        <w:rPr>
          <w:color w:val="57585A"/>
          <w:spacing w:val="-10"/>
          <w:sz w:val="20"/>
          <w:szCs w:val="20"/>
        </w:rPr>
        <w:t>Initial proposals from the government of</w:t>
      </w:r>
      <w:r>
        <w:rPr>
          <w:color w:val="57585A"/>
          <w:spacing w:val="-32"/>
          <w:sz w:val="20"/>
          <w:szCs w:val="20"/>
        </w:rPr>
        <w:t xml:space="preserve"> </w:t>
      </w:r>
      <w:r>
        <w:rPr>
          <w:color w:val="57585A"/>
          <w:spacing w:val="-10"/>
          <w:sz w:val="20"/>
          <w:szCs w:val="20"/>
        </w:rPr>
        <w:t>Javier Milei,</w:t>
      </w:r>
      <w:r>
        <w:rPr>
          <w:color w:val="57585A"/>
          <w:spacing w:val="-16"/>
          <w:sz w:val="20"/>
          <w:szCs w:val="20"/>
        </w:rPr>
        <w:t xml:space="preserve"> </w:t>
      </w:r>
      <w:r>
        <w:rPr>
          <w:color w:val="57585A"/>
          <w:spacing w:val="-10"/>
          <w:sz w:val="20"/>
          <w:szCs w:val="20"/>
        </w:rPr>
        <w:t>who took ov</w:t>
      </w:r>
      <w:r>
        <w:rPr>
          <w:color w:val="57585A"/>
          <w:spacing w:val="-11"/>
          <w:sz w:val="20"/>
          <w:szCs w:val="20"/>
        </w:rPr>
        <w:t>er office in late 2023 for the oil and gas sector point to broad</w:t>
      </w:r>
    </w:p>
    <w:p w14:paraId="5A691B89">
      <w:pPr>
        <w:pStyle w:val="4"/>
        <w:spacing w:before="59" w:line="273" w:lineRule="auto"/>
        <w:ind w:left="359" w:right="492" w:firstLine="13"/>
        <w:rPr>
          <w:sz w:val="20"/>
          <w:szCs w:val="20"/>
        </w:rPr>
      </w:pPr>
      <w:r>
        <w:rPr>
          <w:color w:val="57585A"/>
          <w:spacing w:val="-11"/>
          <w:sz w:val="20"/>
          <w:szCs w:val="20"/>
        </w:rPr>
        <w:t>market deregulation, aligning</w:t>
      </w:r>
      <w:r>
        <w:rPr>
          <w:color w:val="57585A"/>
          <w:spacing w:val="-15"/>
          <w:sz w:val="20"/>
          <w:szCs w:val="20"/>
        </w:rPr>
        <w:t xml:space="preserve"> </w:t>
      </w:r>
      <w:r>
        <w:rPr>
          <w:color w:val="57585A"/>
          <w:spacing w:val="-11"/>
          <w:sz w:val="20"/>
          <w:szCs w:val="20"/>
        </w:rPr>
        <w:t>with our expectations.</w:t>
      </w:r>
      <w:r>
        <w:rPr>
          <w:color w:val="57585A"/>
          <w:spacing w:val="-23"/>
          <w:sz w:val="20"/>
          <w:szCs w:val="20"/>
        </w:rPr>
        <w:t xml:space="preserve"> </w:t>
      </w:r>
      <w:r>
        <w:rPr>
          <w:color w:val="57585A"/>
          <w:spacing w:val="-11"/>
          <w:sz w:val="20"/>
          <w:szCs w:val="20"/>
        </w:rPr>
        <w:t>Javier Milei has commenced his presidential te</w:t>
      </w:r>
      <w:r>
        <w:rPr>
          <w:color w:val="57585A"/>
          <w:spacing w:val="-12"/>
          <w:sz w:val="20"/>
          <w:szCs w:val="20"/>
        </w:rPr>
        <w:t>nure</w:t>
      </w:r>
      <w:r>
        <w:rPr>
          <w:color w:val="57585A"/>
          <w:spacing w:val="-16"/>
          <w:sz w:val="20"/>
          <w:szCs w:val="20"/>
        </w:rPr>
        <w:t xml:space="preserve"> </w:t>
      </w:r>
      <w:r>
        <w:rPr>
          <w:color w:val="57585A"/>
          <w:spacing w:val="-12"/>
          <w:sz w:val="20"/>
          <w:szCs w:val="20"/>
        </w:rPr>
        <w:t>with sweeping reform bills,</w:t>
      </w:r>
      <w:r>
        <w:rPr>
          <w:color w:val="57585A"/>
          <w:sz w:val="20"/>
          <w:szCs w:val="20"/>
        </w:rPr>
        <w:t xml:space="preserve"> </w:t>
      </w:r>
      <w:r>
        <w:rPr>
          <w:color w:val="57585A"/>
          <w:spacing w:val="-10"/>
          <w:sz w:val="20"/>
          <w:szCs w:val="20"/>
        </w:rPr>
        <w:t>whose key objective is to deregulate the</w:t>
      </w:r>
      <w:r>
        <w:rPr>
          <w:color w:val="57585A"/>
          <w:spacing w:val="-15"/>
          <w:sz w:val="20"/>
          <w:szCs w:val="20"/>
        </w:rPr>
        <w:t xml:space="preserve"> </w:t>
      </w:r>
      <w:r>
        <w:rPr>
          <w:color w:val="57585A"/>
          <w:spacing w:val="-10"/>
          <w:sz w:val="20"/>
          <w:szCs w:val="20"/>
        </w:rPr>
        <w:t>Argentine economy—a central noti</w:t>
      </w:r>
      <w:r>
        <w:rPr>
          <w:color w:val="57585A"/>
          <w:spacing w:val="-11"/>
          <w:sz w:val="20"/>
          <w:szCs w:val="20"/>
        </w:rPr>
        <w:t>on Milei promoted during his campaign. His two key</w:t>
      </w:r>
    </w:p>
    <w:p w14:paraId="7DE50C87">
      <w:pPr>
        <w:pStyle w:val="4"/>
        <w:spacing w:before="37" w:line="231" w:lineRule="auto"/>
        <w:ind w:left="373"/>
        <w:rPr>
          <w:sz w:val="20"/>
          <w:szCs w:val="20"/>
        </w:rPr>
      </w:pPr>
      <w:r>
        <w:rPr>
          <w:color w:val="57585A"/>
          <w:spacing w:val="-12"/>
          <w:sz w:val="20"/>
          <w:szCs w:val="20"/>
        </w:rPr>
        <w:t>policy proposals—the Decree of Urgency and Necessity (DNU), ann</w:t>
      </w:r>
      <w:r>
        <w:rPr>
          <w:color w:val="57585A"/>
          <w:spacing w:val="-13"/>
          <w:sz w:val="20"/>
          <w:szCs w:val="20"/>
        </w:rPr>
        <w:t>ounced on December 20 2023, and the 'Law of Bases and</w:t>
      </w:r>
    </w:p>
    <w:p w14:paraId="2DFBBCE6">
      <w:pPr>
        <w:pStyle w:val="4"/>
        <w:spacing w:before="59" w:line="279" w:lineRule="auto"/>
        <w:ind w:left="359" w:right="385" w:firstLine="6"/>
        <w:rPr>
          <w:sz w:val="20"/>
          <w:szCs w:val="20"/>
        </w:rPr>
      </w:pPr>
      <w:r>
        <w:rPr>
          <w:color w:val="57585A"/>
          <w:spacing w:val="-10"/>
          <w:sz w:val="20"/>
          <w:szCs w:val="20"/>
        </w:rPr>
        <w:t>Starting Points for the Freedom of</w:t>
      </w:r>
      <w:r>
        <w:rPr>
          <w:color w:val="57585A"/>
          <w:spacing w:val="-22"/>
          <w:sz w:val="20"/>
          <w:szCs w:val="20"/>
        </w:rPr>
        <w:t xml:space="preserve"> </w:t>
      </w:r>
      <w:r>
        <w:rPr>
          <w:color w:val="57585A"/>
          <w:spacing w:val="-10"/>
          <w:sz w:val="20"/>
          <w:szCs w:val="20"/>
        </w:rPr>
        <w:t>the</w:t>
      </w:r>
      <w:r>
        <w:rPr>
          <w:color w:val="57585A"/>
          <w:spacing w:val="-15"/>
          <w:sz w:val="20"/>
          <w:szCs w:val="20"/>
        </w:rPr>
        <w:t xml:space="preserve"> </w:t>
      </w:r>
      <w:r>
        <w:rPr>
          <w:color w:val="57585A"/>
          <w:spacing w:val="-10"/>
          <w:sz w:val="20"/>
          <w:szCs w:val="20"/>
        </w:rPr>
        <w:t>Argentines' bill, also known</w:t>
      </w:r>
      <w:r>
        <w:rPr>
          <w:color w:val="57585A"/>
          <w:spacing w:val="-11"/>
          <w:sz w:val="20"/>
          <w:szCs w:val="20"/>
        </w:rPr>
        <w:t xml:space="preserve"> as the 'omnibus' bill</w:t>
      </w:r>
      <w:r>
        <w:rPr>
          <w:color w:val="57585A"/>
          <w:spacing w:val="-16"/>
          <w:sz w:val="20"/>
          <w:szCs w:val="20"/>
        </w:rPr>
        <w:t xml:space="preserve"> </w:t>
      </w:r>
      <w:r>
        <w:rPr>
          <w:color w:val="57585A"/>
          <w:spacing w:val="-11"/>
          <w:sz w:val="20"/>
          <w:szCs w:val="20"/>
        </w:rPr>
        <w:t>—include a number of</w:t>
      </w:r>
      <w:r>
        <w:rPr>
          <w:color w:val="57585A"/>
          <w:spacing w:val="-17"/>
          <w:sz w:val="20"/>
          <w:szCs w:val="20"/>
        </w:rPr>
        <w:t xml:space="preserve"> </w:t>
      </w:r>
      <w:r>
        <w:rPr>
          <w:color w:val="57585A"/>
          <w:spacing w:val="-11"/>
          <w:sz w:val="20"/>
          <w:szCs w:val="20"/>
        </w:rPr>
        <w:t>articles that liberalise</w:t>
      </w:r>
      <w:r>
        <w:rPr>
          <w:color w:val="57585A"/>
          <w:sz w:val="20"/>
          <w:szCs w:val="20"/>
        </w:rPr>
        <w:t xml:space="preserve"> </w:t>
      </w:r>
      <w:r>
        <w:rPr>
          <w:color w:val="57585A"/>
          <w:spacing w:val="-11"/>
          <w:sz w:val="20"/>
          <w:szCs w:val="20"/>
        </w:rPr>
        <w:t>Argentina's oil and gas sector.</w:t>
      </w:r>
      <w:r>
        <w:rPr>
          <w:color w:val="57585A"/>
          <w:spacing w:val="-16"/>
          <w:sz w:val="20"/>
          <w:szCs w:val="20"/>
        </w:rPr>
        <w:t xml:space="preserve"> </w:t>
      </w:r>
      <w:r>
        <w:rPr>
          <w:color w:val="57585A"/>
          <w:spacing w:val="-11"/>
          <w:sz w:val="20"/>
          <w:szCs w:val="20"/>
        </w:rPr>
        <w:t>Although</w:t>
      </w:r>
      <w:r>
        <w:rPr>
          <w:color w:val="57585A"/>
          <w:spacing w:val="-15"/>
          <w:sz w:val="20"/>
          <w:szCs w:val="20"/>
        </w:rPr>
        <w:t xml:space="preserve"> </w:t>
      </w:r>
      <w:r>
        <w:rPr>
          <w:color w:val="57585A"/>
          <w:spacing w:val="-11"/>
          <w:sz w:val="20"/>
          <w:szCs w:val="20"/>
        </w:rPr>
        <w:t>we believe that the DNU and the 'omnibus' law</w:t>
      </w:r>
      <w:r>
        <w:rPr>
          <w:color w:val="57585A"/>
          <w:spacing w:val="-16"/>
          <w:sz w:val="20"/>
          <w:szCs w:val="20"/>
        </w:rPr>
        <w:t xml:space="preserve"> </w:t>
      </w:r>
      <w:r>
        <w:rPr>
          <w:color w:val="57585A"/>
          <w:spacing w:val="-11"/>
          <w:sz w:val="20"/>
          <w:szCs w:val="20"/>
        </w:rPr>
        <w:t>will be partially enacted, it remain</w:t>
      </w:r>
      <w:r>
        <w:rPr>
          <w:color w:val="57585A"/>
          <w:spacing w:val="-12"/>
          <w:sz w:val="20"/>
          <w:szCs w:val="20"/>
        </w:rPr>
        <w:t>s uncertain</w:t>
      </w:r>
      <w:r>
        <w:rPr>
          <w:color w:val="57585A"/>
          <w:sz w:val="20"/>
          <w:szCs w:val="20"/>
        </w:rPr>
        <w:t xml:space="preserve"> </w:t>
      </w:r>
      <w:r>
        <w:rPr>
          <w:color w:val="57585A"/>
          <w:spacing w:val="-10"/>
          <w:sz w:val="20"/>
          <w:szCs w:val="20"/>
        </w:rPr>
        <w:t>how exactly the regulatory environment</w:t>
      </w:r>
      <w:r>
        <w:rPr>
          <w:color w:val="57585A"/>
          <w:spacing w:val="-16"/>
          <w:sz w:val="20"/>
          <w:szCs w:val="20"/>
        </w:rPr>
        <w:t xml:space="preserve"> </w:t>
      </w:r>
      <w:r>
        <w:rPr>
          <w:color w:val="57585A"/>
          <w:spacing w:val="-10"/>
          <w:sz w:val="20"/>
          <w:szCs w:val="20"/>
        </w:rPr>
        <w:t xml:space="preserve">will change in every </w:t>
      </w:r>
      <w:r>
        <w:rPr>
          <w:color w:val="57585A"/>
          <w:spacing w:val="-11"/>
          <w:sz w:val="20"/>
          <w:szCs w:val="20"/>
        </w:rPr>
        <w:t>aspect</w:t>
      </w:r>
      <w:r>
        <w:rPr>
          <w:color w:val="57585A"/>
          <w:spacing w:val="-17"/>
          <w:sz w:val="20"/>
          <w:szCs w:val="20"/>
        </w:rPr>
        <w:t xml:space="preserve"> </w:t>
      </w:r>
      <w:r>
        <w:rPr>
          <w:color w:val="57585A"/>
          <w:spacing w:val="-11"/>
          <w:sz w:val="20"/>
          <w:szCs w:val="20"/>
        </w:rPr>
        <w:t>just</w:t>
      </w:r>
      <w:r>
        <w:rPr>
          <w:color w:val="57585A"/>
          <w:spacing w:val="-16"/>
          <w:sz w:val="20"/>
          <w:szCs w:val="20"/>
        </w:rPr>
        <w:t xml:space="preserve"> </w:t>
      </w:r>
      <w:r>
        <w:rPr>
          <w:color w:val="57585A"/>
          <w:spacing w:val="-11"/>
          <w:sz w:val="20"/>
          <w:szCs w:val="20"/>
        </w:rPr>
        <w:t>yet.</w:t>
      </w:r>
    </w:p>
    <w:p w14:paraId="5BD009D7">
      <w:pPr>
        <w:pStyle w:val="4"/>
        <w:spacing w:line="265" w:lineRule="auto"/>
      </w:pPr>
    </w:p>
    <w:p w14:paraId="28FE98CA">
      <w:pPr>
        <w:pStyle w:val="4"/>
        <w:spacing w:before="59" w:line="273" w:lineRule="auto"/>
        <w:ind w:left="373" w:right="598" w:hanging="12"/>
        <w:rPr>
          <w:sz w:val="20"/>
          <w:szCs w:val="20"/>
        </w:rPr>
      </w:pPr>
      <w:r>
        <w:rPr>
          <w:color w:val="57585A"/>
          <w:spacing w:val="-11"/>
          <w:sz w:val="20"/>
          <w:szCs w:val="20"/>
        </w:rPr>
        <w:t>We highlight some of</w:t>
      </w:r>
      <w:r>
        <w:rPr>
          <w:color w:val="57585A"/>
          <w:spacing w:val="-21"/>
          <w:sz w:val="20"/>
          <w:szCs w:val="20"/>
        </w:rPr>
        <w:t xml:space="preserve"> </w:t>
      </w:r>
      <w:r>
        <w:rPr>
          <w:color w:val="57585A"/>
          <w:spacing w:val="-11"/>
          <w:sz w:val="20"/>
          <w:szCs w:val="20"/>
        </w:rPr>
        <w:t>the proposed measures that, in our</w:t>
      </w:r>
      <w:r>
        <w:rPr>
          <w:color w:val="57585A"/>
          <w:spacing w:val="-16"/>
          <w:sz w:val="20"/>
          <w:szCs w:val="20"/>
        </w:rPr>
        <w:t xml:space="preserve"> </w:t>
      </w:r>
      <w:r>
        <w:rPr>
          <w:color w:val="57585A"/>
          <w:spacing w:val="-11"/>
          <w:sz w:val="20"/>
          <w:szCs w:val="20"/>
        </w:rPr>
        <w:t>view,</w:t>
      </w:r>
      <w:r>
        <w:rPr>
          <w:color w:val="57585A"/>
          <w:spacing w:val="-15"/>
          <w:sz w:val="20"/>
          <w:szCs w:val="20"/>
        </w:rPr>
        <w:t xml:space="preserve"> </w:t>
      </w:r>
      <w:r>
        <w:rPr>
          <w:color w:val="57585A"/>
          <w:spacing w:val="-11"/>
          <w:sz w:val="20"/>
          <w:szCs w:val="20"/>
        </w:rPr>
        <w:t>will have the most impact on the hydrocarbons market. Under</w:t>
      </w:r>
      <w:r>
        <w:rPr>
          <w:color w:val="57585A"/>
          <w:spacing w:val="-12"/>
          <w:sz w:val="20"/>
          <w:szCs w:val="20"/>
        </w:rPr>
        <w:t xml:space="preserve"> the</w:t>
      </w:r>
      <w:r>
        <w:rPr>
          <w:color w:val="57585A"/>
          <w:sz w:val="20"/>
          <w:szCs w:val="20"/>
        </w:rPr>
        <w:t xml:space="preserve"> </w:t>
      </w:r>
      <w:r>
        <w:rPr>
          <w:color w:val="57585A"/>
          <w:spacing w:val="-11"/>
          <w:sz w:val="20"/>
          <w:szCs w:val="20"/>
        </w:rPr>
        <w:t>new regulatory framework, the government:</w:t>
      </w:r>
    </w:p>
    <w:p w14:paraId="20CEE2BF">
      <w:pPr>
        <w:pStyle w:val="4"/>
        <w:spacing w:line="265" w:lineRule="auto"/>
      </w:pPr>
    </w:p>
    <w:p w14:paraId="2A8DEDEA">
      <w:pPr>
        <w:pStyle w:val="4"/>
        <w:spacing w:before="57" w:line="272" w:lineRule="auto"/>
        <w:ind w:left="613" w:right="384" w:hanging="256"/>
        <w:rPr>
          <w:sz w:val="20"/>
          <w:szCs w:val="20"/>
        </w:rPr>
      </w:pPr>
      <w:r>
        <w:rPr>
          <w:color w:val="33CCFF"/>
          <w:spacing w:val="-10"/>
          <w:sz w:val="20"/>
          <w:szCs w:val="20"/>
        </w:rPr>
        <w:t xml:space="preserve">•   </w:t>
      </w:r>
      <w:r>
        <w:rPr>
          <w:color w:val="57585A"/>
          <w:spacing w:val="-10"/>
          <w:sz w:val="20"/>
          <w:szCs w:val="20"/>
        </w:rPr>
        <w:t>liberalises fuel prices. The government</w:t>
      </w:r>
      <w:r>
        <w:rPr>
          <w:color w:val="57585A"/>
          <w:spacing w:val="-15"/>
          <w:sz w:val="20"/>
          <w:szCs w:val="20"/>
        </w:rPr>
        <w:t xml:space="preserve"> </w:t>
      </w:r>
      <w:r>
        <w:rPr>
          <w:color w:val="57585A"/>
          <w:spacing w:val="-10"/>
          <w:sz w:val="20"/>
          <w:szCs w:val="20"/>
        </w:rPr>
        <w:t>will not have the right to fix fuel prices at</w:t>
      </w:r>
      <w:r>
        <w:rPr>
          <w:color w:val="57585A"/>
          <w:spacing w:val="-11"/>
          <w:sz w:val="20"/>
          <w:szCs w:val="20"/>
        </w:rPr>
        <w:t xml:space="preserve"> any stage of production,</w:t>
      </w:r>
      <w:r>
        <w:rPr>
          <w:color w:val="57585A"/>
          <w:spacing w:val="-16"/>
          <w:sz w:val="20"/>
          <w:szCs w:val="20"/>
        </w:rPr>
        <w:t xml:space="preserve"> </w:t>
      </w:r>
      <w:r>
        <w:rPr>
          <w:color w:val="57585A"/>
          <w:spacing w:val="-11"/>
          <w:sz w:val="20"/>
          <w:szCs w:val="20"/>
        </w:rPr>
        <w:t>which effectively means</w:t>
      </w:r>
      <w:r>
        <w:rPr>
          <w:color w:val="57585A"/>
          <w:sz w:val="20"/>
          <w:szCs w:val="20"/>
        </w:rPr>
        <w:t xml:space="preserve"> </w:t>
      </w:r>
      <w:r>
        <w:rPr>
          <w:color w:val="57585A"/>
          <w:spacing w:val="-10"/>
          <w:sz w:val="20"/>
          <w:szCs w:val="20"/>
        </w:rPr>
        <w:t>coupling domestic crude oil and fuel prices</w:t>
      </w:r>
      <w:r>
        <w:rPr>
          <w:color w:val="57585A"/>
          <w:spacing w:val="-1"/>
          <w:sz w:val="20"/>
          <w:szCs w:val="20"/>
        </w:rPr>
        <w:t xml:space="preserve"> </w:t>
      </w:r>
      <w:r>
        <w:rPr>
          <w:color w:val="57585A"/>
          <w:spacing w:val="-10"/>
          <w:sz w:val="20"/>
          <w:szCs w:val="20"/>
        </w:rPr>
        <w:t>with import/export parity,</w:t>
      </w:r>
      <w:r>
        <w:rPr>
          <w:color w:val="57585A"/>
          <w:spacing w:val="-16"/>
          <w:sz w:val="20"/>
          <w:szCs w:val="20"/>
        </w:rPr>
        <w:t xml:space="preserve"> </w:t>
      </w:r>
      <w:r>
        <w:rPr>
          <w:color w:val="57585A"/>
          <w:spacing w:val="-10"/>
          <w:sz w:val="20"/>
          <w:szCs w:val="20"/>
        </w:rPr>
        <w:t>while deregulating exporting oil and refined products.</w:t>
      </w:r>
      <w:r>
        <w:rPr>
          <w:color w:val="57585A"/>
          <w:spacing w:val="-14"/>
          <w:sz w:val="20"/>
          <w:szCs w:val="20"/>
        </w:rPr>
        <w:t xml:space="preserve"> </w:t>
      </w:r>
      <w:r>
        <w:rPr>
          <w:color w:val="57585A"/>
          <w:spacing w:val="-10"/>
          <w:sz w:val="20"/>
          <w:szCs w:val="20"/>
        </w:rPr>
        <w:t>This</w:t>
      </w:r>
      <w:r>
        <w:rPr>
          <w:color w:val="57585A"/>
          <w:sz w:val="20"/>
          <w:szCs w:val="20"/>
        </w:rPr>
        <w:t xml:space="preserve"> </w:t>
      </w:r>
      <w:r>
        <w:rPr>
          <w:color w:val="57585A"/>
          <w:spacing w:val="-11"/>
          <w:sz w:val="20"/>
          <w:szCs w:val="20"/>
        </w:rPr>
        <w:t>proposal is favoured by producers and aligns</w:t>
      </w:r>
      <w:r>
        <w:rPr>
          <w:color w:val="57585A"/>
          <w:spacing w:val="-15"/>
          <w:sz w:val="20"/>
          <w:szCs w:val="20"/>
        </w:rPr>
        <w:t xml:space="preserve"> </w:t>
      </w:r>
      <w:r>
        <w:rPr>
          <w:color w:val="57585A"/>
          <w:spacing w:val="-11"/>
          <w:sz w:val="20"/>
          <w:szCs w:val="20"/>
        </w:rPr>
        <w:t>with Milei's</w:t>
      </w:r>
      <w:r>
        <w:rPr>
          <w:color w:val="57585A"/>
          <w:spacing w:val="-12"/>
          <w:sz w:val="20"/>
          <w:szCs w:val="20"/>
        </w:rPr>
        <w:t xml:space="preserve"> stance favouring market-based pricing.</w:t>
      </w:r>
    </w:p>
    <w:p w14:paraId="2985B131">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outlines a plan to set up a greenhouse gas emissions trading scheme.</w:t>
      </w:r>
    </w:p>
    <w:p w14:paraId="414BF904">
      <w:pPr>
        <w:pStyle w:val="4"/>
        <w:spacing w:before="56" w:line="262" w:lineRule="auto"/>
        <w:ind w:left="613" w:right="936" w:hanging="256"/>
        <w:rPr>
          <w:sz w:val="20"/>
          <w:szCs w:val="20"/>
        </w:rPr>
      </w:pPr>
      <w:r>
        <w:rPr>
          <w:color w:val="33CCFF"/>
          <w:spacing w:val="-11"/>
          <w:sz w:val="20"/>
          <w:szCs w:val="20"/>
        </w:rPr>
        <w:t xml:space="preserve">•   </w:t>
      </w:r>
      <w:r>
        <w:rPr>
          <w:color w:val="57585A"/>
          <w:spacing w:val="-11"/>
          <w:sz w:val="20"/>
          <w:szCs w:val="20"/>
        </w:rPr>
        <w:t>provides a list of companies set for privatisation</w:t>
      </w:r>
      <w:r>
        <w:rPr>
          <w:color w:val="57585A"/>
          <w:spacing w:val="-12"/>
          <w:sz w:val="20"/>
          <w:szCs w:val="20"/>
        </w:rPr>
        <w:t>, including</w:t>
      </w:r>
      <w:r>
        <w:rPr>
          <w:color w:val="57585A"/>
          <w:spacing w:val="-15"/>
          <w:sz w:val="20"/>
          <w:szCs w:val="20"/>
        </w:rPr>
        <w:t xml:space="preserve"> </w:t>
      </w:r>
      <w:r>
        <w:rPr>
          <w:color w:val="57585A"/>
          <w:spacing w:val="-12"/>
          <w:sz w:val="20"/>
          <w:szCs w:val="20"/>
        </w:rPr>
        <w:t>Argentina's largest oil and gas producer,</w:t>
      </w:r>
      <w:r>
        <w:rPr>
          <w:color w:val="57585A"/>
          <w:spacing w:val="-16"/>
          <w:sz w:val="20"/>
          <w:szCs w:val="20"/>
        </w:rPr>
        <w:t xml:space="preserve"> </w:t>
      </w:r>
      <w:r>
        <w:rPr>
          <w:color w:val="57585A"/>
          <w:spacing w:val="-12"/>
          <w:sz w:val="20"/>
          <w:szCs w:val="20"/>
        </w:rPr>
        <w:t>YPF.</w:t>
      </w:r>
      <w:r>
        <w:rPr>
          <w:color w:val="57585A"/>
          <w:spacing w:val="-6"/>
          <w:sz w:val="20"/>
          <w:szCs w:val="20"/>
        </w:rPr>
        <w:t xml:space="preserve"> </w:t>
      </w:r>
      <w:r>
        <w:rPr>
          <w:color w:val="57585A"/>
          <w:spacing w:val="-12"/>
          <w:sz w:val="20"/>
          <w:szCs w:val="20"/>
        </w:rPr>
        <w:t>Given the growing</w:t>
      </w:r>
      <w:r>
        <w:rPr>
          <w:color w:val="57585A"/>
          <w:sz w:val="20"/>
          <w:szCs w:val="20"/>
        </w:rPr>
        <w:t xml:space="preserve"> </w:t>
      </w:r>
      <w:r>
        <w:rPr>
          <w:color w:val="57585A"/>
          <w:spacing w:val="-10"/>
          <w:sz w:val="20"/>
          <w:szCs w:val="20"/>
        </w:rPr>
        <w:t>opposition to privatising the company in Congress,</w:t>
      </w:r>
      <w:r>
        <w:rPr>
          <w:color w:val="57585A"/>
          <w:spacing w:val="-16"/>
          <w:sz w:val="20"/>
          <w:szCs w:val="20"/>
        </w:rPr>
        <w:t xml:space="preserve"> </w:t>
      </w:r>
      <w:r>
        <w:rPr>
          <w:color w:val="57585A"/>
          <w:spacing w:val="-10"/>
          <w:sz w:val="20"/>
          <w:szCs w:val="20"/>
        </w:rPr>
        <w:t>we do not</w:t>
      </w:r>
      <w:r>
        <w:rPr>
          <w:color w:val="57585A"/>
          <w:spacing w:val="-11"/>
          <w:sz w:val="20"/>
          <w:szCs w:val="20"/>
        </w:rPr>
        <w:t xml:space="preserve"> expect this to occur in the near term.</w:t>
      </w:r>
    </w:p>
    <w:p w14:paraId="03B0A98E">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creates an incentive regime for large-scale investment, i</w:t>
      </w:r>
      <w:r>
        <w:rPr>
          <w:color w:val="57585A"/>
          <w:spacing w:val="-11"/>
          <w:sz w:val="20"/>
          <w:szCs w:val="20"/>
        </w:rPr>
        <w:t>ncluding oil and gas projects.</w:t>
      </w:r>
    </w:p>
    <w:p w14:paraId="10941DCE">
      <w:pPr>
        <w:pStyle w:val="4"/>
        <w:spacing w:before="56" w:line="263" w:lineRule="auto"/>
        <w:ind w:left="613" w:right="1139" w:hanging="256"/>
        <w:rPr>
          <w:sz w:val="20"/>
          <w:szCs w:val="20"/>
        </w:rPr>
      </w:pPr>
      <w:r>
        <w:rPr>
          <w:color w:val="33CCFF"/>
          <w:spacing w:val="-10"/>
          <w:sz w:val="20"/>
          <w:szCs w:val="20"/>
        </w:rPr>
        <w:t xml:space="preserve">•   </w:t>
      </w:r>
      <w:r>
        <w:rPr>
          <w:color w:val="57585A"/>
          <w:spacing w:val="-10"/>
          <w:sz w:val="20"/>
          <w:szCs w:val="20"/>
        </w:rPr>
        <w:t>announces changes to industry governance bodies, including a</w:t>
      </w:r>
      <w:r>
        <w:rPr>
          <w:color w:val="57585A"/>
          <w:spacing w:val="-11"/>
          <w:sz w:val="20"/>
          <w:szCs w:val="20"/>
        </w:rPr>
        <w:t xml:space="preserve"> potential merger of</w:t>
      </w:r>
      <w:r>
        <w:rPr>
          <w:color w:val="57585A"/>
          <w:spacing w:val="-17"/>
          <w:sz w:val="20"/>
          <w:szCs w:val="20"/>
        </w:rPr>
        <w:t xml:space="preserve"> </w:t>
      </w:r>
      <w:r>
        <w:rPr>
          <w:color w:val="57585A"/>
          <w:spacing w:val="-11"/>
          <w:sz w:val="20"/>
          <w:szCs w:val="20"/>
        </w:rPr>
        <w:t>gas and electricity regulators and a</w:t>
      </w:r>
      <w:r>
        <w:rPr>
          <w:color w:val="57585A"/>
          <w:sz w:val="20"/>
          <w:szCs w:val="20"/>
        </w:rPr>
        <w:t xml:space="preserve"> </w:t>
      </w:r>
      <w:r>
        <w:rPr>
          <w:color w:val="57585A"/>
          <w:spacing w:val="-10"/>
          <w:sz w:val="20"/>
          <w:szCs w:val="20"/>
        </w:rPr>
        <w:t>concentration of more powers in the execut</w:t>
      </w:r>
      <w:r>
        <w:rPr>
          <w:color w:val="57585A"/>
          <w:spacing w:val="-11"/>
          <w:sz w:val="20"/>
          <w:szCs w:val="20"/>
        </w:rPr>
        <w:t>ive branch.</w:t>
      </w:r>
    </w:p>
    <w:p w14:paraId="0984C65F">
      <w:pPr>
        <w:spacing w:line="263" w:lineRule="auto"/>
        <w:rPr>
          <w:sz w:val="20"/>
          <w:szCs w:val="20"/>
        </w:rPr>
        <w:sectPr>
          <w:footerReference r:id="rId70" w:type="default"/>
          <w:pgSz w:w="11906" w:h="16838"/>
          <w:pgMar w:top="400" w:right="490" w:bottom="883" w:left="490" w:header="0" w:footer="0" w:gutter="0"/>
          <w:cols w:space="720" w:num="1"/>
        </w:sectPr>
      </w:pPr>
    </w:p>
    <w:p w14:paraId="6FF5F10F">
      <w:pPr>
        <w:pStyle w:val="4"/>
        <w:spacing w:before="73" w:line="241" w:lineRule="auto"/>
        <w:ind w:left="7372"/>
        <w:rPr>
          <w:sz w:val="20"/>
          <w:szCs w:val="20"/>
        </w:rPr>
      </w:pPr>
      <w:r>
        <w:drawing>
          <wp:anchor distT="0" distB="0" distL="0" distR="0" simplePos="0" relativeHeight="25192243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23456" behindDoc="0" locked="0" layoutInCell="0" allowOverlap="1">
            <wp:simplePos x="0" y="0"/>
            <wp:positionH relativeFrom="page">
              <wp:posOffset>311150</wp:posOffset>
            </wp:positionH>
            <wp:positionV relativeFrom="page">
              <wp:posOffset>0</wp:posOffset>
            </wp:positionV>
            <wp:extent cx="19050" cy="814070"/>
            <wp:effectExtent l="0" t="0" r="0" b="0"/>
            <wp:wrapNone/>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62228BF">
      <w:pPr>
        <w:pStyle w:val="4"/>
        <w:spacing w:line="278" w:lineRule="auto"/>
      </w:pPr>
    </w:p>
    <w:p w14:paraId="28609DF8">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C28D8A6">
      <w:pPr>
        <w:pStyle w:val="4"/>
        <w:spacing w:line="252" w:lineRule="auto"/>
      </w:pPr>
    </w:p>
    <w:p w14:paraId="7ED7CDB7">
      <w:pPr>
        <w:pStyle w:val="4"/>
        <w:spacing w:line="252" w:lineRule="auto"/>
      </w:pPr>
    </w:p>
    <w:p w14:paraId="6A2C294C">
      <w:pPr>
        <w:pStyle w:val="4"/>
        <w:spacing w:line="252" w:lineRule="auto"/>
      </w:pPr>
    </w:p>
    <w:p w14:paraId="1962B543">
      <w:pPr>
        <w:pStyle w:val="4"/>
        <w:spacing w:before="58" w:line="273" w:lineRule="auto"/>
        <w:ind w:left="363" w:right="719" w:firstLine="12"/>
        <w:rPr>
          <w:sz w:val="20"/>
          <w:szCs w:val="20"/>
        </w:rPr>
      </w:pPr>
      <w:r>
        <w:rPr>
          <w:color w:val="57585A"/>
          <w:spacing w:val="-11"/>
          <w:sz w:val="20"/>
          <w:szCs w:val="20"/>
        </w:rPr>
        <w:t>Despite sweeping changes for the oil and gas industry included in the two proposed bills,</w:t>
      </w:r>
      <w:r>
        <w:rPr>
          <w:color w:val="57585A"/>
          <w:spacing w:val="-16"/>
          <w:sz w:val="20"/>
          <w:szCs w:val="20"/>
        </w:rPr>
        <w:t xml:space="preserve"> </w:t>
      </w:r>
      <w:r>
        <w:rPr>
          <w:color w:val="57585A"/>
          <w:spacing w:val="-11"/>
          <w:sz w:val="20"/>
          <w:szCs w:val="20"/>
        </w:rPr>
        <w:t>we note elevated uncertainty over the</w:t>
      </w:r>
      <w:r>
        <w:rPr>
          <w:color w:val="57585A"/>
          <w:sz w:val="20"/>
          <w:szCs w:val="20"/>
        </w:rPr>
        <w:t xml:space="preserve"> </w:t>
      </w:r>
      <w:r>
        <w:rPr>
          <w:color w:val="57585A"/>
          <w:spacing w:val="-10"/>
          <w:sz w:val="20"/>
          <w:szCs w:val="20"/>
        </w:rPr>
        <w:t>final shape of</w:t>
      </w:r>
      <w:r>
        <w:rPr>
          <w:color w:val="57585A"/>
          <w:spacing w:val="-22"/>
          <w:sz w:val="20"/>
          <w:szCs w:val="20"/>
        </w:rPr>
        <w:t xml:space="preserve"> </w:t>
      </w:r>
      <w:r>
        <w:rPr>
          <w:color w:val="57585A"/>
          <w:spacing w:val="-10"/>
          <w:sz w:val="20"/>
          <w:szCs w:val="20"/>
        </w:rPr>
        <w:t>the laws governin</w:t>
      </w:r>
      <w:r>
        <w:rPr>
          <w:color w:val="57585A"/>
          <w:spacing w:val="-11"/>
          <w:sz w:val="20"/>
          <w:szCs w:val="20"/>
        </w:rPr>
        <w:t>g the industry.</w:t>
      </w:r>
    </w:p>
    <w:p w14:paraId="2F8F2E7B">
      <w:pPr>
        <w:spacing w:line="273" w:lineRule="auto"/>
        <w:rPr>
          <w:sz w:val="20"/>
          <w:szCs w:val="20"/>
        </w:rPr>
        <w:sectPr>
          <w:footerReference r:id="rId71" w:type="default"/>
          <w:pgSz w:w="11906" w:h="16838"/>
          <w:pgMar w:top="400" w:right="490" w:bottom="883" w:left="490" w:header="0" w:footer="0" w:gutter="0"/>
          <w:cols w:space="720" w:num="1"/>
        </w:sectPr>
      </w:pPr>
    </w:p>
    <w:p w14:paraId="4772CDD9">
      <w:pPr>
        <w:pStyle w:val="4"/>
        <w:spacing w:before="73" w:line="241" w:lineRule="auto"/>
        <w:ind w:left="7372"/>
        <w:rPr>
          <w:sz w:val="20"/>
          <w:szCs w:val="20"/>
        </w:rPr>
      </w:pPr>
      <w:r>
        <w:drawing>
          <wp:anchor distT="0" distB="0" distL="0" distR="0" simplePos="0" relativeHeight="25192550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26528" behindDoc="0" locked="0" layoutInCell="0" allowOverlap="1">
            <wp:simplePos x="0" y="0"/>
            <wp:positionH relativeFrom="page">
              <wp:posOffset>311150</wp:posOffset>
            </wp:positionH>
            <wp:positionV relativeFrom="page">
              <wp:posOffset>0</wp:posOffset>
            </wp:positionV>
            <wp:extent cx="19050" cy="814070"/>
            <wp:effectExtent l="0" t="0" r="0" b="0"/>
            <wp:wrapNone/>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A12C0EA">
      <w:pPr>
        <w:pStyle w:val="4"/>
        <w:spacing w:line="278" w:lineRule="auto"/>
      </w:pPr>
    </w:p>
    <w:p w14:paraId="28CE8372">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513E3C1">
      <w:pPr>
        <w:pStyle w:val="4"/>
        <w:spacing w:line="428" w:lineRule="auto"/>
      </w:pPr>
    </w:p>
    <w:p w14:paraId="79E24021">
      <w:pPr>
        <w:pStyle w:val="4"/>
        <w:spacing w:before="86" w:line="395" w:lineRule="exact"/>
        <w:ind w:left="374"/>
        <w:outlineLvl w:val="0"/>
        <w:rPr>
          <w:sz w:val="30"/>
          <w:szCs w:val="30"/>
        </w:rPr>
      </w:pPr>
      <w:bookmarkStart w:id="30" w:name="bookmark21"/>
      <w:bookmarkEnd w:id="30"/>
      <w:r>
        <w:rPr>
          <w:color w:val="2A8ABF"/>
          <w:spacing w:val="-13"/>
          <w:position w:val="1"/>
          <w:sz w:val="30"/>
          <w:szCs w:val="30"/>
        </w:rPr>
        <w:t>Oil &amp; Gas Infrastructure</w:t>
      </w:r>
    </w:p>
    <w:p w14:paraId="36349DA3">
      <w:pPr>
        <w:pStyle w:val="4"/>
        <w:spacing w:line="263" w:lineRule="auto"/>
      </w:pPr>
    </w:p>
    <w:p w14:paraId="4C9F488B">
      <w:pPr>
        <w:pStyle w:val="4"/>
        <w:spacing w:before="69" w:line="325" w:lineRule="exact"/>
        <w:ind w:left="370"/>
        <w:outlineLvl w:val="2"/>
        <w:rPr>
          <w:sz w:val="24"/>
          <w:szCs w:val="24"/>
        </w:rPr>
      </w:pPr>
      <w:r>
        <w:rPr>
          <w:b/>
          <w:bCs/>
          <w:color w:val="174174"/>
          <w:spacing w:val="-10"/>
          <w:position w:val="1"/>
          <w:sz w:val="24"/>
          <w:szCs w:val="24"/>
        </w:rPr>
        <w:t>Oil Refineries</w:t>
      </w:r>
    </w:p>
    <w:p w14:paraId="57BE4011">
      <w:pPr>
        <w:pStyle w:val="4"/>
        <w:spacing w:line="302" w:lineRule="auto"/>
      </w:pPr>
    </w:p>
    <w:p w14:paraId="15B67761">
      <w:pPr>
        <w:pStyle w:val="4"/>
        <w:spacing w:before="57" w:line="279" w:lineRule="auto"/>
        <w:ind w:left="368" w:right="519" w:hanging="9"/>
        <w:rPr>
          <w:sz w:val="20"/>
          <w:szCs w:val="20"/>
        </w:rPr>
      </w:pPr>
      <w:r>
        <w:rPr>
          <w:color w:val="57585A"/>
          <w:spacing w:val="-10"/>
          <w:sz w:val="20"/>
          <w:szCs w:val="20"/>
        </w:rPr>
        <w:t>Argentina has 10 refineries, giving the market a total capacity of</w:t>
      </w:r>
      <w:r>
        <w:rPr>
          <w:color w:val="57585A"/>
          <w:spacing w:val="-16"/>
          <w:sz w:val="20"/>
          <w:szCs w:val="20"/>
        </w:rPr>
        <w:t xml:space="preserve"> </w:t>
      </w:r>
      <w:r>
        <w:rPr>
          <w:color w:val="57585A"/>
          <w:spacing w:val="-10"/>
          <w:sz w:val="20"/>
          <w:szCs w:val="20"/>
        </w:rPr>
        <w:t>about 657,000b/d.</w:t>
      </w:r>
      <w:r>
        <w:rPr>
          <w:color w:val="57585A"/>
          <w:spacing w:val="-16"/>
          <w:sz w:val="20"/>
          <w:szCs w:val="20"/>
        </w:rPr>
        <w:t xml:space="preserve"> </w:t>
      </w:r>
      <w:r>
        <w:rPr>
          <w:color w:val="57585A"/>
          <w:spacing w:val="-10"/>
          <w:sz w:val="20"/>
          <w:szCs w:val="20"/>
        </w:rPr>
        <w:t>Aside from</w:t>
      </w:r>
      <w:r>
        <w:rPr>
          <w:color w:val="57585A"/>
          <w:spacing w:val="-11"/>
          <w:sz w:val="20"/>
          <w:szCs w:val="20"/>
        </w:rPr>
        <w:t xml:space="preserve"> importing diesel,</w:t>
      </w:r>
      <w:r>
        <w:rPr>
          <w:color w:val="57585A"/>
          <w:spacing w:val="-16"/>
          <w:sz w:val="20"/>
          <w:szCs w:val="20"/>
        </w:rPr>
        <w:t xml:space="preserve"> </w:t>
      </w:r>
      <w:r>
        <w:rPr>
          <w:color w:val="57585A"/>
          <w:spacing w:val="-11"/>
          <w:sz w:val="20"/>
          <w:szCs w:val="20"/>
        </w:rPr>
        <w:t>which the market</w:t>
      </w:r>
      <w:r>
        <w:rPr>
          <w:color w:val="57585A"/>
          <w:sz w:val="20"/>
          <w:szCs w:val="20"/>
        </w:rPr>
        <w:t xml:space="preserve"> </w:t>
      </w:r>
      <w:r>
        <w:rPr>
          <w:color w:val="57585A"/>
          <w:spacing w:val="-10"/>
          <w:sz w:val="20"/>
          <w:szCs w:val="20"/>
        </w:rPr>
        <w:t>does not have sufficient capacity to refine, government intervention in the market has led</w:t>
      </w:r>
      <w:r>
        <w:rPr>
          <w:color w:val="57585A"/>
          <w:spacing w:val="-16"/>
          <w:sz w:val="20"/>
          <w:szCs w:val="20"/>
        </w:rPr>
        <w:t xml:space="preserve"> </w:t>
      </w:r>
      <w:r>
        <w:rPr>
          <w:color w:val="57585A"/>
          <w:spacing w:val="-10"/>
          <w:sz w:val="20"/>
          <w:szCs w:val="20"/>
        </w:rPr>
        <w:t>Argentina to import significant gasol</w:t>
      </w:r>
      <w:r>
        <w:rPr>
          <w:color w:val="57585A"/>
          <w:spacing w:val="-11"/>
          <w:sz w:val="20"/>
          <w:szCs w:val="20"/>
        </w:rPr>
        <w:t>ine</w:t>
      </w:r>
      <w:r>
        <w:rPr>
          <w:color w:val="57585A"/>
          <w:sz w:val="20"/>
          <w:szCs w:val="20"/>
        </w:rPr>
        <w:t xml:space="preserve"> </w:t>
      </w:r>
      <w:r>
        <w:rPr>
          <w:color w:val="57585A"/>
          <w:spacing w:val="-11"/>
          <w:sz w:val="20"/>
          <w:szCs w:val="20"/>
        </w:rPr>
        <w:t>quantities as</w:t>
      </w:r>
      <w:r>
        <w:rPr>
          <w:color w:val="57585A"/>
          <w:spacing w:val="-16"/>
          <w:sz w:val="20"/>
          <w:szCs w:val="20"/>
        </w:rPr>
        <w:t xml:space="preserve"> </w:t>
      </w:r>
      <w:r>
        <w:rPr>
          <w:color w:val="57585A"/>
          <w:spacing w:val="-11"/>
          <w:sz w:val="20"/>
          <w:szCs w:val="20"/>
        </w:rPr>
        <w:t>well. Capacity has remained relatively stable in the market</w:t>
      </w:r>
      <w:r>
        <w:rPr>
          <w:color w:val="57585A"/>
          <w:spacing w:val="-12"/>
          <w:sz w:val="20"/>
          <w:szCs w:val="20"/>
        </w:rPr>
        <w:t xml:space="preserve"> since 1971 and despite proposals,</w:t>
      </w:r>
      <w:r>
        <w:rPr>
          <w:color w:val="57585A"/>
          <w:spacing w:val="-15"/>
          <w:sz w:val="20"/>
          <w:szCs w:val="20"/>
        </w:rPr>
        <w:t xml:space="preserve"> </w:t>
      </w:r>
      <w:r>
        <w:rPr>
          <w:color w:val="57585A"/>
          <w:spacing w:val="-12"/>
          <w:sz w:val="20"/>
          <w:szCs w:val="20"/>
        </w:rPr>
        <w:t>we do not currently</w:t>
      </w:r>
    </w:p>
    <w:p w14:paraId="724FBAC2">
      <w:pPr>
        <w:pStyle w:val="4"/>
        <w:spacing w:before="36" w:line="231" w:lineRule="auto"/>
        <w:ind w:left="369"/>
        <w:rPr>
          <w:sz w:val="20"/>
          <w:szCs w:val="20"/>
        </w:rPr>
      </w:pPr>
      <w:r>
        <w:rPr>
          <w:color w:val="57585A"/>
          <w:spacing w:val="-10"/>
          <w:sz w:val="20"/>
          <w:szCs w:val="20"/>
        </w:rPr>
        <w:t>expect any significant additions in the near fu</w:t>
      </w:r>
      <w:r>
        <w:rPr>
          <w:color w:val="57585A"/>
          <w:spacing w:val="-11"/>
          <w:sz w:val="20"/>
          <w:szCs w:val="20"/>
        </w:rPr>
        <w:t>ture.</w:t>
      </w:r>
    </w:p>
    <w:p w14:paraId="420BF1AE">
      <w:pPr>
        <w:pStyle w:val="4"/>
        <w:spacing w:line="440" w:lineRule="auto"/>
      </w:pPr>
    </w:p>
    <w:p w14:paraId="077C870F">
      <w:pPr>
        <w:pStyle w:val="4"/>
        <w:spacing w:before="70" w:line="234" w:lineRule="auto"/>
        <w:ind w:left="427"/>
        <w:rPr>
          <w:sz w:val="24"/>
          <w:szCs w:val="24"/>
        </w:rPr>
      </w:pPr>
      <w:r>
        <w:rPr>
          <w:color w:val="174174"/>
          <w:spacing w:val="-10"/>
          <w:sz w:val="24"/>
          <w:szCs w:val="24"/>
        </w:rPr>
        <w:t>Refineries In</w:t>
      </w:r>
      <w:r>
        <w:rPr>
          <w:color w:val="174174"/>
          <w:spacing w:val="-7"/>
          <w:sz w:val="24"/>
          <w:szCs w:val="24"/>
        </w:rPr>
        <w:t xml:space="preserve"> </w:t>
      </w:r>
      <w:r>
        <w:rPr>
          <w:color w:val="174174"/>
          <w:spacing w:val="-10"/>
          <w:sz w:val="24"/>
          <w:szCs w:val="24"/>
        </w:rPr>
        <w:t>Argentina</w:t>
      </w:r>
    </w:p>
    <w:p w14:paraId="7BBBCA40">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2395"/>
        <w:gridCol w:w="1375"/>
        <w:gridCol w:w="2471"/>
        <w:gridCol w:w="1085"/>
        <w:gridCol w:w="2878"/>
      </w:tblGrid>
      <w:tr w14:paraId="373B3DC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2395" w:type="dxa"/>
            <w:tcBorders>
              <w:left w:val="nil"/>
            </w:tcBorders>
            <w:vAlign w:val="top"/>
          </w:tcPr>
          <w:p w14:paraId="54A06535">
            <w:pPr>
              <w:pStyle w:val="8"/>
              <w:spacing w:before="70" w:line="241" w:lineRule="auto"/>
              <w:ind w:left="13"/>
            </w:pPr>
            <w:r>
              <w:rPr>
                <w:b/>
                <w:bCs/>
                <w:color w:val="5F6A72"/>
                <w:spacing w:val="-8"/>
              </w:rPr>
              <w:t>Refinery</w:t>
            </w:r>
          </w:p>
        </w:tc>
        <w:tc>
          <w:tcPr>
            <w:tcW w:w="1375" w:type="dxa"/>
            <w:tcBorders>
              <w:right w:val="nil"/>
            </w:tcBorders>
            <w:vAlign w:val="top"/>
          </w:tcPr>
          <w:p w14:paraId="33BF83AF">
            <w:pPr>
              <w:pStyle w:val="8"/>
              <w:spacing w:before="70" w:line="241" w:lineRule="auto"/>
              <w:ind w:left="80"/>
            </w:pPr>
            <w:r>
              <w:rPr>
                <w:b/>
                <w:bCs/>
                <w:color w:val="5F6A72"/>
                <w:spacing w:val="-5"/>
              </w:rPr>
              <w:t>Capacity (b/d)</w:t>
            </w:r>
          </w:p>
        </w:tc>
        <w:tc>
          <w:tcPr>
            <w:tcW w:w="2471" w:type="dxa"/>
            <w:tcBorders>
              <w:left w:val="nil"/>
              <w:right w:val="nil"/>
            </w:tcBorders>
            <w:vAlign w:val="top"/>
          </w:tcPr>
          <w:p w14:paraId="7FED2995">
            <w:pPr>
              <w:pStyle w:val="8"/>
              <w:spacing w:before="111" w:line="187" w:lineRule="auto"/>
              <w:ind w:left="80"/>
            </w:pPr>
            <w:r>
              <w:rPr>
                <w:b/>
                <w:bCs/>
                <w:color w:val="5F6A72"/>
                <w:spacing w:val="-8"/>
              </w:rPr>
              <w:t>Owner</w:t>
            </w:r>
          </w:p>
        </w:tc>
        <w:tc>
          <w:tcPr>
            <w:tcW w:w="1085" w:type="dxa"/>
            <w:tcBorders>
              <w:left w:val="nil"/>
              <w:right w:val="nil"/>
            </w:tcBorders>
            <w:vAlign w:val="top"/>
          </w:tcPr>
          <w:p w14:paraId="1639522E">
            <w:pPr>
              <w:pStyle w:val="8"/>
              <w:spacing w:before="112" w:line="184" w:lineRule="auto"/>
              <w:ind w:left="80"/>
            </w:pPr>
            <w:r>
              <w:rPr>
                <w:b/>
                <w:bCs/>
                <w:color w:val="5F6A72"/>
                <w:spacing w:val="-7"/>
              </w:rPr>
              <w:t>Completed</w:t>
            </w:r>
          </w:p>
        </w:tc>
        <w:tc>
          <w:tcPr>
            <w:tcW w:w="2878" w:type="dxa"/>
            <w:tcBorders>
              <w:left w:val="nil"/>
              <w:right w:val="nil"/>
            </w:tcBorders>
            <w:vAlign w:val="top"/>
          </w:tcPr>
          <w:p w14:paraId="59493C73">
            <w:pPr>
              <w:pStyle w:val="8"/>
              <w:spacing w:before="112" w:line="185" w:lineRule="auto"/>
              <w:ind w:left="86"/>
            </w:pPr>
            <w:r>
              <w:rPr>
                <w:b/>
                <w:bCs/>
                <w:color w:val="5F6A72"/>
                <w:spacing w:val="-7"/>
              </w:rPr>
              <w:t>Details</w:t>
            </w:r>
          </w:p>
        </w:tc>
      </w:tr>
      <w:tr w14:paraId="3A15665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vAlign w:val="top"/>
          </w:tcPr>
          <w:p w14:paraId="35418C83">
            <w:pPr>
              <w:pStyle w:val="8"/>
              <w:spacing w:before="65" w:line="237" w:lineRule="exact"/>
              <w:ind w:left="18"/>
            </w:pPr>
            <w:r>
              <w:rPr>
                <w:color w:val="2A8ABF"/>
                <w:spacing w:val="-11"/>
                <w:position w:val="1"/>
              </w:rPr>
              <w:t>La Plata</w:t>
            </w:r>
          </w:p>
        </w:tc>
        <w:tc>
          <w:tcPr>
            <w:tcW w:w="1375" w:type="dxa"/>
            <w:tcBorders>
              <w:right w:val="nil"/>
            </w:tcBorders>
            <w:vAlign w:val="top"/>
          </w:tcPr>
          <w:p w14:paraId="1817B63A">
            <w:pPr>
              <w:pStyle w:val="8"/>
              <w:spacing w:before="65" w:line="214" w:lineRule="exact"/>
              <w:ind w:left="86"/>
            </w:pPr>
            <w:r>
              <w:rPr>
                <w:color w:val="5F6A72"/>
                <w:spacing w:val="-6"/>
                <w:position w:val="1"/>
              </w:rPr>
              <w:t>189,000</w:t>
            </w:r>
          </w:p>
        </w:tc>
        <w:tc>
          <w:tcPr>
            <w:tcW w:w="2471" w:type="dxa"/>
            <w:tcBorders>
              <w:left w:val="nil"/>
              <w:right w:val="nil"/>
            </w:tcBorders>
            <w:vAlign w:val="top"/>
          </w:tcPr>
          <w:p w14:paraId="11FFD678">
            <w:pPr>
              <w:pStyle w:val="8"/>
              <w:spacing w:before="107" w:line="183" w:lineRule="auto"/>
              <w:ind w:left="72"/>
            </w:pPr>
            <w:r>
              <w:rPr>
                <w:color w:val="5F6A72"/>
                <w:spacing w:val="-16"/>
              </w:rPr>
              <w:t>YPF</w:t>
            </w:r>
          </w:p>
        </w:tc>
        <w:tc>
          <w:tcPr>
            <w:tcW w:w="1085" w:type="dxa"/>
            <w:tcBorders>
              <w:left w:val="nil"/>
              <w:right w:val="nil"/>
            </w:tcBorders>
            <w:vAlign w:val="top"/>
          </w:tcPr>
          <w:p w14:paraId="63E49366">
            <w:pPr>
              <w:pStyle w:val="8"/>
              <w:spacing w:before="65" w:line="237" w:lineRule="exact"/>
              <w:ind w:left="86"/>
            </w:pPr>
            <w:r>
              <w:rPr>
                <w:color w:val="5F6A72"/>
                <w:spacing w:val="-5"/>
                <w:position w:val="1"/>
              </w:rPr>
              <w:t>1925</w:t>
            </w:r>
          </w:p>
        </w:tc>
        <w:tc>
          <w:tcPr>
            <w:tcW w:w="2878" w:type="dxa"/>
            <w:tcBorders>
              <w:left w:val="nil"/>
              <w:right w:val="nil"/>
            </w:tcBorders>
            <w:vAlign w:val="top"/>
          </w:tcPr>
          <w:p w14:paraId="2222A43D">
            <w:pPr>
              <w:pStyle w:val="8"/>
              <w:spacing w:before="64" w:line="234" w:lineRule="auto"/>
              <w:ind w:left="86"/>
            </w:pPr>
            <w:r>
              <w:rPr>
                <w:color w:val="5F6A72"/>
                <w:spacing w:val="-8"/>
              </w:rPr>
              <w:t>Upgrading underway</w:t>
            </w:r>
          </w:p>
        </w:tc>
      </w:tr>
      <w:tr w14:paraId="4619B08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shd w:val="clear" w:color="auto" w:fill="EAF9FF"/>
            <w:vAlign w:val="top"/>
          </w:tcPr>
          <w:p w14:paraId="29BA8488">
            <w:pPr>
              <w:pStyle w:val="8"/>
              <w:spacing w:before="65" w:line="237" w:lineRule="exact"/>
              <w:ind w:left="18"/>
            </w:pPr>
            <w:r>
              <w:rPr>
                <w:color w:val="2A8ABF"/>
                <w:spacing w:val="-8"/>
                <w:position w:val="1"/>
              </w:rPr>
              <w:t>Doc</w:t>
            </w:r>
            <w:r>
              <w:rPr>
                <w:color w:val="2A8ABF"/>
                <w:spacing w:val="2"/>
                <w:position w:val="1"/>
              </w:rPr>
              <w:t xml:space="preserve"> </w:t>
            </w:r>
            <w:r>
              <w:rPr>
                <w:color w:val="2A8ABF"/>
                <w:spacing w:val="-8"/>
                <w:position w:val="1"/>
              </w:rPr>
              <w:t>Sud/Buenos</w:t>
            </w:r>
            <w:r>
              <w:rPr>
                <w:color w:val="2A8ABF"/>
                <w:spacing w:val="-18"/>
                <w:position w:val="1"/>
              </w:rPr>
              <w:t xml:space="preserve"> </w:t>
            </w:r>
            <w:r>
              <w:rPr>
                <w:color w:val="2A8ABF"/>
                <w:spacing w:val="-8"/>
                <w:position w:val="1"/>
              </w:rPr>
              <w:t>Aires</w:t>
            </w:r>
          </w:p>
        </w:tc>
        <w:tc>
          <w:tcPr>
            <w:tcW w:w="1375" w:type="dxa"/>
            <w:tcBorders>
              <w:right w:val="nil"/>
            </w:tcBorders>
            <w:shd w:val="clear" w:color="auto" w:fill="EAF9FF"/>
            <w:vAlign w:val="top"/>
          </w:tcPr>
          <w:p w14:paraId="0B20BF4A">
            <w:pPr>
              <w:pStyle w:val="8"/>
              <w:spacing w:before="65" w:line="214" w:lineRule="exact"/>
              <w:ind w:left="86"/>
            </w:pPr>
            <w:r>
              <w:rPr>
                <w:color w:val="5F6A72"/>
                <w:spacing w:val="-6"/>
                <w:position w:val="1"/>
              </w:rPr>
              <w:t>100,000</w:t>
            </w:r>
          </w:p>
        </w:tc>
        <w:tc>
          <w:tcPr>
            <w:tcW w:w="2471" w:type="dxa"/>
            <w:tcBorders>
              <w:left w:val="nil"/>
              <w:right w:val="nil"/>
            </w:tcBorders>
            <w:shd w:val="clear" w:color="auto" w:fill="EAF9FF"/>
            <w:vAlign w:val="top"/>
          </w:tcPr>
          <w:p w14:paraId="355351F0">
            <w:pPr>
              <w:pStyle w:val="8"/>
              <w:spacing w:before="105" w:line="186" w:lineRule="auto"/>
              <w:ind w:left="77"/>
            </w:pPr>
            <w:r>
              <w:rPr>
                <w:color w:val="5F6A72"/>
                <w:spacing w:val="-9"/>
              </w:rPr>
              <w:t>Shell</w:t>
            </w:r>
          </w:p>
        </w:tc>
        <w:tc>
          <w:tcPr>
            <w:tcW w:w="1085" w:type="dxa"/>
            <w:tcBorders>
              <w:left w:val="nil"/>
              <w:right w:val="nil"/>
            </w:tcBorders>
            <w:shd w:val="clear" w:color="auto" w:fill="EAF9FF"/>
            <w:vAlign w:val="top"/>
          </w:tcPr>
          <w:p w14:paraId="3A1E8273">
            <w:pPr>
              <w:pStyle w:val="8"/>
              <w:spacing w:before="139" w:line="126" w:lineRule="exact"/>
              <w:ind w:left="84"/>
            </w:pPr>
            <w:r>
              <w:rPr>
                <w:color w:val="5F6A72"/>
                <w:spacing w:val="-8"/>
                <w:position w:val="-2"/>
              </w:rPr>
              <w:t>na</w:t>
            </w:r>
          </w:p>
        </w:tc>
        <w:tc>
          <w:tcPr>
            <w:tcW w:w="2878" w:type="dxa"/>
            <w:tcBorders>
              <w:left w:val="nil"/>
              <w:right w:val="nil"/>
            </w:tcBorders>
            <w:shd w:val="clear" w:color="auto" w:fill="EAF9FF"/>
            <w:vAlign w:val="top"/>
          </w:tcPr>
          <w:p w14:paraId="38ADB07A">
            <w:pPr>
              <w:pStyle w:val="8"/>
              <w:spacing w:before="139" w:line="126" w:lineRule="exact"/>
              <w:ind w:left="84"/>
            </w:pPr>
            <w:r>
              <w:rPr>
                <w:color w:val="5F6A72"/>
                <w:spacing w:val="-8"/>
                <w:position w:val="-2"/>
              </w:rPr>
              <w:t>na</w:t>
            </w:r>
          </w:p>
        </w:tc>
      </w:tr>
      <w:tr w14:paraId="09BEECA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vAlign w:val="top"/>
          </w:tcPr>
          <w:p w14:paraId="4FF41CEA">
            <w:pPr>
              <w:pStyle w:val="8"/>
              <w:spacing w:before="65" w:line="234" w:lineRule="auto"/>
              <w:ind w:left="18"/>
            </w:pPr>
            <w:r>
              <w:rPr>
                <w:color w:val="2A8ABF"/>
                <w:spacing w:val="-11"/>
              </w:rPr>
              <w:t>Lujan</w:t>
            </w:r>
            <w:r>
              <w:rPr>
                <w:color w:val="2A8ABF"/>
                <w:spacing w:val="-7"/>
              </w:rPr>
              <w:t xml:space="preserve"> </w:t>
            </w:r>
            <w:r>
              <w:rPr>
                <w:color w:val="2A8ABF"/>
                <w:spacing w:val="-11"/>
              </w:rPr>
              <w:t>de</w:t>
            </w:r>
            <w:r>
              <w:rPr>
                <w:color w:val="2A8ABF"/>
                <w:spacing w:val="-8"/>
              </w:rPr>
              <w:t xml:space="preserve"> </w:t>
            </w:r>
            <w:r>
              <w:rPr>
                <w:color w:val="2A8ABF"/>
                <w:spacing w:val="-11"/>
              </w:rPr>
              <w:t>Cuyo</w:t>
            </w:r>
          </w:p>
        </w:tc>
        <w:tc>
          <w:tcPr>
            <w:tcW w:w="1375" w:type="dxa"/>
            <w:tcBorders>
              <w:right w:val="nil"/>
            </w:tcBorders>
            <w:vAlign w:val="top"/>
          </w:tcPr>
          <w:p w14:paraId="076FA7E5">
            <w:pPr>
              <w:pStyle w:val="8"/>
              <w:spacing w:before="65" w:line="214" w:lineRule="exact"/>
              <w:ind w:left="86"/>
            </w:pPr>
            <w:r>
              <w:rPr>
                <w:color w:val="5F6A72"/>
                <w:spacing w:val="-6"/>
                <w:position w:val="1"/>
              </w:rPr>
              <w:t>105,000</w:t>
            </w:r>
          </w:p>
        </w:tc>
        <w:tc>
          <w:tcPr>
            <w:tcW w:w="2471" w:type="dxa"/>
            <w:tcBorders>
              <w:left w:val="nil"/>
              <w:right w:val="nil"/>
            </w:tcBorders>
            <w:vAlign w:val="top"/>
          </w:tcPr>
          <w:p w14:paraId="1A76D7A9">
            <w:pPr>
              <w:pStyle w:val="8"/>
              <w:spacing w:before="107" w:line="183" w:lineRule="auto"/>
              <w:ind w:left="72"/>
            </w:pPr>
            <w:r>
              <w:rPr>
                <w:color w:val="5F6A72"/>
                <w:spacing w:val="-16"/>
              </w:rPr>
              <w:t>YPF</w:t>
            </w:r>
          </w:p>
        </w:tc>
        <w:tc>
          <w:tcPr>
            <w:tcW w:w="1085" w:type="dxa"/>
            <w:tcBorders>
              <w:left w:val="nil"/>
              <w:right w:val="nil"/>
            </w:tcBorders>
            <w:vAlign w:val="top"/>
          </w:tcPr>
          <w:p w14:paraId="3020DB72">
            <w:pPr>
              <w:pStyle w:val="8"/>
              <w:spacing w:before="139" w:line="126" w:lineRule="exact"/>
              <w:ind w:left="84"/>
            </w:pPr>
            <w:r>
              <w:rPr>
                <w:color w:val="5F6A72"/>
                <w:spacing w:val="-8"/>
                <w:position w:val="-2"/>
              </w:rPr>
              <w:t>na</w:t>
            </w:r>
          </w:p>
        </w:tc>
        <w:tc>
          <w:tcPr>
            <w:tcW w:w="2878" w:type="dxa"/>
            <w:tcBorders>
              <w:left w:val="nil"/>
              <w:right w:val="nil"/>
            </w:tcBorders>
            <w:vAlign w:val="top"/>
          </w:tcPr>
          <w:p w14:paraId="075A98BD">
            <w:pPr>
              <w:pStyle w:val="8"/>
              <w:spacing w:before="65" w:line="234" w:lineRule="auto"/>
              <w:ind w:left="86"/>
            </w:pPr>
            <w:r>
              <w:rPr>
                <w:color w:val="5F6A72"/>
                <w:spacing w:val="-7"/>
              </w:rPr>
              <w:t>Upgrade started in 2009</w:t>
            </w:r>
          </w:p>
        </w:tc>
      </w:tr>
      <w:tr w14:paraId="6CD17E5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395" w:type="dxa"/>
            <w:tcBorders>
              <w:left w:val="nil"/>
            </w:tcBorders>
            <w:shd w:val="clear" w:color="auto" w:fill="EAF9FF"/>
            <w:vAlign w:val="top"/>
          </w:tcPr>
          <w:p w14:paraId="1962E5ED">
            <w:pPr>
              <w:pStyle w:val="8"/>
              <w:spacing w:before="105" w:line="184" w:lineRule="auto"/>
              <w:ind w:left="12"/>
            </w:pPr>
            <w:r>
              <w:rPr>
                <w:color w:val="2A8ABF"/>
                <w:spacing w:val="-11"/>
              </w:rPr>
              <w:t>Campana</w:t>
            </w:r>
          </w:p>
        </w:tc>
        <w:tc>
          <w:tcPr>
            <w:tcW w:w="1375" w:type="dxa"/>
            <w:tcBorders>
              <w:right w:val="nil"/>
            </w:tcBorders>
            <w:shd w:val="clear" w:color="auto" w:fill="EAF9FF"/>
            <w:vAlign w:val="top"/>
          </w:tcPr>
          <w:p w14:paraId="6FF33591">
            <w:pPr>
              <w:pStyle w:val="8"/>
              <w:spacing w:before="66" w:line="214" w:lineRule="exact"/>
              <w:ind w:left="82"/>
            </w:pPr>
            <w:r>
              <w:rPr>
                <w:color w:val="5F6A72"/>
                <w:spacing w:val="-6"/>
                <w:position w:val="1"/>
              </w:rPr>
              <w:t>87,000</w:t>
            </w:r>
          </w:p>
        </w:tc>
        <w:tc>
          <w:tcPr>
            <w:tcW w:w="2471" w:type="dxa"/>
            <w:tcBorders>
              <w:left w:val="nil"/>
              <w:right w:val="nil"/>
            </w:tcBorders>
            <w:shd w:val="clear" w:color="auto" w:fill="EAF9FF"/>
            <w:vAlign w:val="top"/>
          </w:tcPr>
          <w:p w14:paraId="56802C34">
            <w:pPr>
              <w:pStyle w:val="8"/>
              <w:spacing w:before="66" w:line="234" w:lineRule="auto"/>
              <w:ind w:left="72"/>
            </w:pPr>
            <w:r>
              <w:rPr>
                <w:color w:val="5F6A72"/>
                <w:spacing w:val="-10"/>
              </w:rPr>
              <w:t>Axion Energy/CNOOC</w:t>
            </w:r>
          </w:p>
        </w:tc>
        <w:tc>
          <w:tcPr>
            <w:tcW w:w="1085" w:type="dxa"/>
            <w:tcBorders>
              <w:left w:val="nil"/>
              <w:right w:val="nil"/>
            </w:tcBorders>
            <w:shd w:val="clear" w:color="auto" w:fill="EAF9FF"/>
            <w:vAlign w:val="top"/>
          </w:tcPr>
          <w:p w14:paraId="4DAC4562">
            <w:pPr>
              <w:pStyle w:val="8"/>
              <w:spacing w:before="140" w:line="125" w:lineRule="exact"/>
              <w:ind w:left="84"/>
            </w:pPr>
            <w:r>
              <w:rPr>
                <w:color w:val="5F6A72"/>
                <w:spacing w:val="-8"/>
                <w:position w:val="-2"/>
              </w:rPr>
              <w:t>na</w:t>
            </w:r>
          </w:p>
        </w:tc>
        <w:tc>
          <w:tcPr>
            <w:tcW w:w="2878" w:type="dxa"/>
            <w:tcBorders>
              <w:left w:val="nil"/>
              <w:right w:val="nil"/>
            </w:tcBorders>
            <w:shd w:val="clear" w:color="auto" w:fill="EAF9FF"/>
            <w:vAlign w:val="top"/>
          </w:tcPr>
          <w:p w14:paraId="4B82C46C">
            <w:pPr>
              <w:pStyle w:val="8"/>
              <w:spacing w:before="66" w:line="234" w:lineRule="auto"/>
              <w:ind w:left="86"/>
            </w:pPr>
            <w:r>
              <w:rPr>
                <w:color w:val="5F6A72"/>
                <w:spacing w:val="-8"/>
              </w:rPr>
              <w:t>Upgrading underway</w:t>
            </w:r>
          </w:p>
        </w:tc>
      </w:tr>
      <w:tr w14:paraId="7AB234B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vAlign w:val="top"/>
          </w:tcPr>
          <w:p w14:paraId="455D9CE0">
            <w:pPr>
              <w:pStyle w:val="8"/>
              <w:spacing w:before="105" w:line="186" w:lineRule="auto"/>
              <w:ind w:left="9"/>
            </w:pPr>
            <w:r>
              <w:rPr>
                <w:color w:val="2A8ABF"/>
                <w:spacing w:val="-10"/>
              </w:rPr>
              <w:t>San Lorenzo</w:t>
            </w:r>
          </w:p>
        </w:tc>
        <w:tc>
          <w:tcPr>
            <w:tcW w:w="1375" w:type="dxa"/>
            <w:tcBorders>
              <w:right w:val="nil"/>
            </w:tcBorders>
            <w:vAlign w:val="top"/>
          </w:tcPr>
          <w:p w14:paraId="3AC54E98">
            <w:pPr>
              <w:pStyle w:val="8"/>
              <w:spacing w:before="65" w:line="214" w:lineRule="exact"/>
              <w:ind w:left="83"/>
            </w:pPr>
            <w:r>
              <w:rPr>
                <w:color w:val="5F6A72"/>
                <w:spacing w:val="-6"/>
                <w:position w:val="1"/>
              </w:rPr>
              <w:t>50,000</w:t>
            </w:r>
          </w:p>
        </w:tc>
        <w:tc>
          <w:tcPr>
            <w:tcW w:w="2471" w:type="dxa"/>
            <w:tcBorders>
              <w:left w:val="nil"/>
              <w:right w:val="nil"/>
            </w:tcBorders>
            <w:vAlign w:val="top"/>
          </w:tcPr>
          <w:p w14:paraId="7ED18BF0">
            <w:pPr>
              <w:pStyle w:val="8"/>
              <w:spacing w:before="105" w:line="186" w:lineRule="auto"/>
              <w:ind w:left="81"/>
            </w:pPr>
            <w:r>
              <w:rPr>
                <w:color w:val="5F6A72"/>
                <w:spacing w:val="-8"/>
              </w:rPr>
              <w:t>Oil Combustibles</w:t>
            </w:r>
          </w:p>
        </w:tc>
        <w:tc>
          <w:tcPr>
            <w:tcW w:w="1085" w:type="dxa"/>
            <w:tcBorders>
              <w:left w:val="nil"/>
              <w:right w:val="nil"/>
            </w:tcBorders>
            <w:vAlign w:val="top"/>
          </w:tcPr>
          <w:p w14:paraId="759D2010">
            <w:pPr>
              <w:pStyle w:val="8"/>
              <w:spacing w:before="65" w:line="237" w:lineRule="exact"/>
              <w:ind w:left="86"/>
            </w:pPr>
            <w:r>
              <w:rPr>
                <w:color w:val="5F6A72"/>
                <w:spacing w:val="-5"/>
                <w:position w:val="1"/>
              </w:rPr>
              <w:t>1938</w:t>
            </w:r>
          </w:p>
        </w:tc>
        <w:tc>
          <w:tcPr>
            <w:tcW w:w="2878" w:type="dxa"/>
            <w:tcBorders>
              <w:left w:val="nil"/>
              <w:right w:val="nil"/>
            </w:tcBorders>
            <w:vAlign w:val="top"/>
          </w:tcPr>
          <w:p w14:paraId="028F6EF6">
            <w:pPr>
              <w:pStyle w:val="8"/>
              <w:spacing w:before="139" w:line="126" w:lineRule="exact"/>
              <w:ind w:left="84"/>
            </w:pPr>
            <w:r>
              <w:rPr>
                <w:color w:val="5F6A72"/>
                <w:spacing w:val="-8"/>
                <w:position w:val="-2"/>
              </w:rPr>
              <w:t>na</w:t>
            </w:r>
          </w:p>
        </w:tc>
      </w:tr>
      <w:tr w14:paraId="6F933B0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shd w:val="clear" w:color="auto" w:fill="EAF9FF"/>
            <w:vAlign w:val="top"/>
          </w:tcPr>
          <w:p w14:paraId="2A248DCD">
            <w:pPr>
              <w:pStyle w:val="8"/>
              <w:spacing w:before="66" w:line="237" w:lineRule="exact"/>
              <w:ind w:left="18"/>
            </w:pPr>
            <w:r>
              <w:rPr>
                <w:color w:val="2A8ABF"/>
                <w:spacing w:val="-10"/>
                <w:position w:val="1"/>
              </w:rPr>
              <w:t>Ricardo Elicabe</w:t>
            </w:r>
          </w:p>
        </w:tc>
        <w:tc>
          <w:tcPr>
            <w:tcW w:w="1375" w:type="dxa"/>
            <w:tcBorders>
              <w:right w:val="nil"/>
            </w:tcBorders>
            <w:shd w:val="clear" w:color="auto" w:fill="EAF9FF"/>
            <w:vAlign w:val="top"/>
          </w:tcPr>
          <w:p w14:paraId="655C2BC0">
            <w:pPr>
              <w:pStyle w:val="8"/>
              <w:spacing w:before="66" w:line="214" w:lineRule="exact"/>
              <w:ind w:left="78"/>
            </w:pPr>
            <w:r>
              <w:rPr>
                <w:color w:val="5F6A72"/>
                <w:spacing w:val="-5"/>
                <w:position w:val="1"/>
              </w:rPr>
              <w:t>30,000</w:t>
            </w:r>
          </w:p>
        </w:tc>
        <w:tc>
          <w:tcPr>
            <w:tcW w:w="2471" w:type="dxa"/>
            <w:tcBorders>
              <w:left w:val="nil"/>
              <w:right w:val="nil"/>
            </w:tcBorders>
            <w:shd w:val="clear" w:color="auto" w:fill="EAF9FF"/>
            <w:vAlign w:val="top"/>
          </w:tcPr>
          <w:p w14:paraId="1AB0A8DA">
            <w:pPr>
              <w:pStyle w:val="8"/>
              <w:spacing w:before="66" w:line="237" w:lineRule="exact"/>
              <w:ind w:left="86"/>
            </w:pPr>
            <w:r>
              <w:rPr>
                <w:color w:val="5F6A72"/>
                <w:spacing w:val="-8"/>
                <w:position w:val="1"/>
              </w:rPr>
              <w:t>Petróleo Brasileiro</w:t>
            </w:r>
          </w:p>
        </w:tc>
        <w:tc>
          <w:tcPr>
            <w:tcW w:w="1085" w:type="dxa"/>
            <w:tcBorders>
              <w:left w:val="nil"/>
              <w:right w:val="nil"/>
            </w:tcBorders>
            <w:shd w:val="clear" w:color="auto" w:fill="EAF9FF"/>
            <w:vAlign w:val="top"/>
          </w:tcPr>
          <w:p w14:paraId="46B1C498">
            <w:pPr>
              <w:pStyle w:val="8"/>
              <w:spacing w:before="139" w:line="126" w:lineRule="exact"/>
              <w:ind w:left="84"/>
            </w:pPr>
            <w:r>
              <w:rPr>
                <w:color w:val="5F6A72"/>
                <w:spacing w:val="-8"/>
                <w:position w:val="-2"/>
              </w:rPr>
              <w:t>na</w:t>
            </w:r>
          </w:p>
        </w:tc>
        <w:tc>
          <w:tcPr>
            <w:tcW w:w="2878" w:type="dxa"/>
            <w:tcBorders>
              <w:left w:val="nil"/>
              <w:right w:val="nil"/>
            </w:tcBorders>
            <w:shd w:val="clear" w:color="auto" w:fill="EAF9FF"/>
            <w:vAlign w:val="top"/>
          </w:tcPr>
          <w:p w14:paraId="00EE421C">
            <w:pPr>
              <w:pStyle w:val="8"/>
              <w:spacing w:before="139" w:line="126" w:lineRule="exact"/>
              <w:ind w:left="84"/>
            </w:pPr>
            <w:r>
              <w:rPr>
                <w:color w:val="5F6A72"/>
                <w:spacing w:val="-8"/>
                <w:position w:val="-2"/>
              </w:rPr>
              <w:t>na</w:t>
            </w:r>
          </w:p>
        </w:tc>
      </w:tr>
      <w:tr w14:paraId="7C24C41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vAlign w:val="top"/>
          </w:tcPr>
          <w:p w14:paraId="68E0609E">
            <w:pPr>
              <w:pStyle w:val="8"/>
              <w:spacing w:before="66" w:line="237" w:lineRule="exact"/>
              <w:ind w:left="18"/>
            </w:pPr>
            <w:r>
              <w:rPr>
                <w:color w:val="2A8ABF"/>
                <w:spacing w:val="-10"/>
                <w:position w:val="1"/>
              </w:rPr>
              <w:t>Plaza Huincul</w:t>
            </w:r>
          </w:p>
        </w:tc>
        <w:tc>
          <w:tcPr>
            <w:tcW w:w="1375" w:type="dxa"/>
            <w:tcBorders>
              <w:right w:val="nil"/>
            </w:tcBorders>
            <w:vAlign w:val="top"/>
          </w:tcPr>
          <w:p w14:paraId="36BF8A6E">
            <w:pPr>
              <w:pStyle w:val="8"/>
              <w:spacing w:before="66" w:line="214" w:lineRule="exact"/>
              <w:ind w:left="81"/>
            </w:pPr>
            <w:r>
              <w:rPr>
                <w:color w:val="5F6A72"/>
                <w:spacing w:val="-6"/>
                <w:position w:val="1"/>
              </w:rPr>
              <w:t>25,000</w:t>
            </w:r>
          </w:p>
        </w:tc>
        <w:tc>
          <w:tcPr>
            <w:tcW w:w="2471" w:type="dxa"/>
            <w:tcBorders>
              <w:left w:val="nil"/>
              <w:right w:val="nil"/>
            </w:tcBorders>
            <w:vAlign w:val="top"/>
          </w:tcPr>
          <w:p w14:paraId="1AF7C55E">
            <w:pPr>
              <w:pStyle w:val="8"/>
              <w:spacing w:before="108" w:line="183" w:lineRule="auto"/>
              <w:ind w:left="72"/>
            </w:pPr>
            <w:r>
              <w:rPr>
                <w:color w:val="5F6A72"/>
                <w:spacing w:val="-16"/>
              </w:rPr>
              <w:t>YPF</w:t>
            </w:r>
          </w:p>
        </w:tc>
        <w:tc>
          <w:tcPr>
            <w:tcW w:w="1085" w:type="dxa"/>
            <w:tcBorders>
              <w:left w:val="nil"/>
              <w:right w:val="nil"/>
            </w:tcBorders>
            <w:vAlign w:val="top"/>
          </w:tcPr>
          <w:p w14:paraId="4DDB6CFD">
            <w:pPr>
              <w:pStyle w:val="8"/>
              <w:spacing w:before="140" w:line="126" w:lineRule="exact"/>
              <w:ind w:left="84"/>
            </w:pPr>
            <w:r>
              <w:rPr>
                <w:color w:val="5F6A72"/>
                <w:spacing w:val="-8"/>
                <w:position w:val="-2"/>
              </w:rPr>
              <w:t>na</w:t>
            </w:r>
          </w:p>
        </w:tc>
        <w:tc>
          <w:tcPr>
            <w:tcW w:w="2878" w:type="dxa"/>
            <w:tcBorders>
              <w:left w:val="nil"/>
              <w:right w:val="nil"/>
            </w:tcBorders>
            <w:vAlign w:val="top"/>
          </w:tcPr>
          <w:p w14:paraId="6EAECB82">
            <w:pPr>
              <w:pStyle w:val="8"/>
              <w:spacing w:before="140" w:line="126" w:lineRule="exact"/>
              <w:ind w:left="84"/>
            </w:pPr>
            <w:r>
              <w:rPr>
                <w:color w:val="5F6A72"/>
                <w:spacing w:val="-8"/>
                <w:position w:val="-2"/>
              </w:rPr>
              <w:t>na</w:t>
            </w:r>
          </w:p>
        </w:tc>
      </w:tr>
      <w:tr w14:paraId="41C3DA6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shd w:val="clear" w:color="auto" w:fill="EAF9FF"/>
            <w:vAlign w:val="top"/>
          </w:tcPr>
          <w:p w14:paraId="7C81EBA8">
            <w:pPr>
              <w:pStyle w:val="8"/>
              <w:spacing w:before="106" w:line="184" w:lineRule="auto"/>
              <w:ind w:left="12"/>
            </w:pPr>
            <w:r>
              <w:rPr>
                <w:color w:val="2A8ABF"/>
                <w:spacing w:val="-11"/>
              </w:rPr>
              <w:t>Campo Duran</w:t>
            </w:r>
          </w:p>
        </w:tc>
        <w:tc>
          <w:tcPr>
            <w:tcW w:w="1375" w:type="dxa"/>
            <w:tcBorders>
              <w:right w:val="nil"/>
            </w:tcBorders>
            <w:shd w:val="clear" w:color="auto" w:fill="EAF9FF"/>
            <w:vAlign w:val="top"/>
          </w:tcPr>
          <w:p w14:paraId="6FD2E46C">
            <w:pPr>
              <w:pStyle w:val="8"/>
              <w:spacing w:before="66" w:line="214" w:lineRule="exact"/>
              <w:ind w:left="78"/>
            </w:pPr>
            <w:r>
              <w:rPr>
                <w:color w:val="5F6A72"/>
                <w:spacing w:val="-5"/>
                <w:position w:val="1"/>
              </w:rPr>
              <w:t>32,000</w:t>
            </w:r>
          </w:p>
        </w:tc>
        <w:tc>
          <w:tcPr>
            <w:tcW w:w="2471" w:type="dxa"/>
            <w:tcBorders>
              <w:left w:val="nil"/>
              <w:right w:val="nil"/>
            </w:tcBorders>
            <w:shd w:val="clear" w:color="auto" w:fill="EAF9FF"/>
            <w:vAlign w:val="top"/>
          </w:tcPr>
          <w:p w14:paraId="6B098952">
            <w:pPr>
              <w:pStyle w:val="8"/>
              <w:spacing w:before="66" w:line="238" w:lineRule="exact"/>
              <w:ind w:left="86"/>
            </w:pPr>
            <w:r>
              <w:rPr>
                <w:color w:val="5F6A72"/>
                <w:spacing w:val="-11"/>
                <w:position w:val="1"/>
              </w:rPr>
              <w:t>Refinor</w:t>
            </w:r>
            <w:r>
              <w:rPr>
                <w:color w:val="5F6A72"/>
                <w:spacing w:val="-4"/>
                <w:position w:val="1"/>
              </w:rPr>
              <w:t xml:space="preserve"> </w:t>
            </w:r>
            <w:r>
              <w:rPr>
                <w:color w:val="5F6A72"/>
                <w:spacing w:val="-11"/>
                <w:position w:val="1"/>
              </w:rPr>
              <w:t>SA</w:t>
            </w:r>
          </w:p>
        </w:tc>
        <w:tc>
          <w:tcPr>
            <w:tcW w:w="1085" w:type="dxa"/>
            <w:tcBorders>
              <w:left w:val="nil"/>
              <w:right w:val="nil"/>
            </w:tcBorders>
            <w:shd w:val="clear" w:color="auto" w:fill="EAF9FF"/>
            <w:vAlign w:val="top"/>
          </w:tcPr>
          <w:p w14:paraId="2B1E39F9">
            <w:pPr>
              <w:pStyle w:val="8"/>
              <w:spacing w:before="66" w:line="238" w:lineRule="exact"/>
              <w:ind w:left="86"/>
            </w:pPr>
            <w:r>
              <w:rPr>
                <w:color w:val="5F6A72"/>
                <w:spacing w:val="-5"/>
                <w:position w:val="1"/>
              </w:rPr>
              <w:t>1992</w:t>
            </w:r>
          </w:p>
        </w:tc>
        <w:tc>
          <w:tcPr>
            <w:tcW w:w="2878" w:type="dxa"/>
            <w:tcBorders>
              <w:left w:val="nil"/>
              <w:right w:val="nil"/>
            </w:tcBorders>
            <w:shd w:val="clear" w:color="auto" w:fill="EAF9FF"/>
            <w:vAlign w:val="top"/>
          </w:tcPr>
          <w:p w14:paraId="4ACBBB9B">
            <w:pPr>
              <w:pStyle w:val="8"/>
              <w:spacing w:before="140" w:line="126" w:lineRule="exact"/>
              <w:ind w:left="84"/>
            </w:pPr>
            <w:r>
              <w:rPr>
                <w:color w:val="5F6A72"/>
                <w:spacing w:val="-8"/>
                <w:position w:val="-2"/>
              </w:rPr>
              <w:t>na</w:t>
            </w:r>
          </w:p>
        </w:tc>
      </w:tr>
      <w:tr w14:paraId="1EB6550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vAlign w:val="top"/>
          </w:tcPr>
          <w:p w14:paraId="0C646236">
            <w:pPr>
              <w:pStyle w:val="8"/>
              <w:spacing w:before="67" w:line="237" w:lineRule="exact"/>
              <w:ind w:left="12"/>
            </w:pPr>
            <w:r>
              <w:rPr>
                <w:color w:val="2A8ABF"/>
                <w:spacing w:val="-6"/>
                <w:position w:val="1"/>
              </w:rPr>
              <w:t>Others</w:t>
            </w:r>
          </w:p>
        </w:tc>
        <w:tc>
          <w:tcPr>
            <w:tcW w:w="1375" w:type="dxa"/>
            <w:tcBorders>
              <w:right w:val="nil"/>
            </w:tcBorders>
            <w:vAlign w:val="top"/>
          </w:tcPr>
          <w:p w14:paraId="5AF14831">
            <w:pPr>
              <w:pStyle w:val="8"/>
              <w:spacing w:before="67" w:line="214" w:lineRule="exact"/>
              <w:ind w:left="86"/>
            </w:pPr>
            <w:r>
              <w:rPr>
                <w:color w:val="5F6A72"/>
                <w:spacing w:val="-6"/>
                <w:position w:val="1"/>
              </w:rPr>
              <w:t>15,000</w:t>
            </w:r>
          </w:p>
        </w:tc>
        <w:tc>
          <w:tcPr>
            <w:tcW w:w="2471" w:type="dxa"/>
            <w:tcBorders>
              <w:left w:val="nil"/>
              <w:right w:val="nil"/>
            </w:tcBorders>
            <w:vAlign w:val="top"/>
          </w:tcPr>
          <w:p w14:paraId="28DA515C">
            <w:pPr>
              <w:pStyle w:val="8"/>
              <w:spacing w:before="67" w:line="236" w:lineRule="auto"/>
              <w:ind w:left="86"/>
            </w:pPr>
            <w:r>
              <w:rPr>
                <w:color w:val="5F6A72"/>
                <w:spacing w:val="-12"/>
              </w:rPr>
              <w:t>DAPSA, Refineria de Neuquen</w:t>
            </w:r>
          </w:p>
        </w:tc>
        <w:tc>
          <w:tcPr>
            <w:tcW w:w="1085" w:type="dxa"/>
            <w:tcBorders>
              <w:left w:val="nil"/>
              <w:right w:val="nil"/>
            </w:tcBorders>
            <w:vAlign w:val="top"/>
          </w:tcPr>
          <w:p w14:paraId="572EE7D5">
            <w:pPr>
              <w:pStyle w:val="8"/>
              <w:spacing w:before="141" w:line="125" w:lineRule="exact"/>
              <w:ind w:left="84"/>
            </w:pPr>
            <w:r>
              <w:rPr>
                <w:color w:val="5F6A72"/>
                <w:spacing w:val="-8"/>
                <w:position w:val="-2"/>
              </w:rPr>
              <w:t>na</w:t>
            </w:r>
          </w:p>
        </w:tc>
        <w:tc>
          <w:tcPr>
            <w:tcW w:w="2878" w:type="dxa"/>
            <w:tcBorders>
              <w:left w:val="nil"/>
              <w:right w:val="nil"/>
            </w:tcBorders>
            <w:vAlign w:val="top"/>
          </w:tcPr>
          <w:p w14:paraId="38625074">
            <w:pPr>
              <w:pStyle w:val="8"/>
              <w:spacing w:before="141" w:line="125" w:lineRule="exact"/>
              <w:ind w:left="84"/>
            </w:pPr>
            <w:r>
              <w:rPr>
                <w:color w:val="5F6A72"/>
                <w:spacing w:val="-8"/>
                <w:position w:val="-2"/>
              </w:rPr>
              <w:t>na</w:t>
            </w:r>
          </w:p>
        </w:tc>
      </w:tr>
      <w:tr w14:paraId="0730266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shd w:val="clear" w:color="auto" w:fill="EAF9FF"/>
            <w:vAlign w:val="top"/>
          </w:tcPr>
          <w:p w14:paraId="059A1B04">
            <w:pPr>
              <w:pStyle w:val="8"/>
              <w:spacing w:before="65" w:line="241" w:lineRule="auto"/>
            </w:pPr>
            <w:r>
              <w:rPr>
                <w:b/>
                <w:bCs/>
                <w:color w:val="2A8ABF"/>
                <w:spacing w:val="-8"/>
              </w:rPr>
              <w:t>Total Capacity</w:t>
            </w:r>
          </w:p>
        </w:tc>
        <w:tc>
          <w:tcPr>
            <w:tcW w:w="1375" w:type="dxa"/>
            <w:tcBorders>
              <w:right w:val="nil"/>
            </w:tcBorders>
            <w:shd w:val="clear" w:color="auto" w:fill="EAF9FF"/>
            <w:vAlign w:val="top"/>
          </w:tcPr>
          <w:p w14:paraId="7403418C">
            <w:pPr>
              <w:pStyle w:val="8"/>
              <w:spacing w:before="65" w:line="217" w:lineRule="exact"/>
              <w:ind w:left="80"/>
            </w:pPr>
            <w:r>
              <w:rPr>
                <w:b/>
                <w:bCs/>
                <w:color w:val="5F6A72"/>
                <w:spacing w:val="-5"/>
                <w:position w:val="1"/>
              </w:rPr>
              <w:t>643,000</w:t>
            </w:r>
          </w:p>
        </w:tc>
        <w:tc>
          <w:tcPr>
            <w:tcW w:w="2471" w:type="dxa"/>
            <w:tcBorders>
              <w:left w:val="nil"/>
              <w:right w:val="nil"/>
            </w:tcBorders>
            <w:shd w:val="clear" w:color="auto" w:fill="EAF9FF"/>
            <w:vAlign w:val="top"/>
          </w:tcPr>
          <w:p w14:paraId="1122AEB9">
            <w:pPr>
              <w:pStyle w:val="8"/>
              <w:rPr>
                <w:sz w:val="21"/>
              </w:rPr>
            </w:pPr>
          </w:p>
        </w:tc>
        <w:tc>
          <w:tcPr>
            <w:tcW w:w="1085" w:type="dxa"/>
            <w:tcBorders>
              <w:left w:val="nil"/>
              <w:right w:val="nil"/>
            </w:tcBorders>
            <w:shd w:val="clear" w:color="auto" w:fill="EAF9FF"/>
            <w:vAlign w:val="top"/>
          </w:tcPr>
          <w:p w14:paraId="253A081B">
            <w:pPr>
              <w:pStyle w:val="8"/>
              <w:rPr>
                <w:sz w:val="21"/>
              </w:rPr>
            </w:pPr>
          </w:p>
        </w:tc>
        <w:tc>
          <w:tcPr>
            <w:tcW w:w="2878" w:type="dxa"/>
            <w:tcBorders>
              <w:left w:val="nil"/>
              <w:right w:val="nil"/>
            </w:tcBorders>
            <w:shd w:val="clear" w:color="auto" w:fill="EAF9FF"/>
            <w:vAlign w:val="top"/>
          </w:tcPr>
          <w:p w14:paraId="5C10395E">
            <w:pPr>
              <w:pStyle w:val="8"/>
              <w:rPr>
                <w:sz w:val="21"/>
              </w:rPr>
            </w:pPr>
          </w:p>
        </w:tc>
      </w:tr>
      <w:tr w14:paraId="2389383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395" w:type="dxa"/>
            <w:tcBorders>
              <w:left w:val="nil"/>
            </w:tcBorders>
            <w:vAlign w:val="top"/>
          </w:tcPr>
          <w:p w14:paraId="7D66FAFC">
            <w:pPr>
              <w:pStyle w:val="8"/>
              <w:rPr>
                <w:sz w:val="21"/>
              </w:rPr>
            </w:pPr>
          </w:p>
        </w:tc>
        <w:tc>
          <w:tcPr>
            <w:tcW w:w="1375" w:type="dxa"/>
            <w:tcBorders>
              <w:right w:val="nil"/>
            </w:tcBorders>
            <w:vAlign w:val="top"/>
          </w:tcPr>
          <w:p w14:paraId="65C67D9E">
            <w:pPr>
              <w:pStyle w:val="8"/>
              <w:rPr>
                <w:sz w:val="21"/>
              </w:rPr>
            </w:pPr>
          </w:p>
        </w:tc>
        <w:tc>
          <w:tcPr>
            <w:tcW w:w="2471" w:type="dxa"/>
            <w:tcBorders>
              <w:left w:val="nil"/>
              <w:right w:val="nil"/>
            </w:tcBorders>
            <w:vAlign w:val="top"/>
          </w:tcPr>
          <w:p w14:paraId="1221AB25">
            <w:pPr>
              <w:pStyle w:val="8"/>
              <w:rPr>
                <w:sz w:val="21"/>
              </w:rPr>
            </w:pPr>
          </w:p>
        </w:tc>
        <w:tc>
          <w:tcPr>
            <w:tcW w:w="1085" w:type="dxa"/>
            <w:tcBorders>
              <w:left w:val="nil"/>
              <w:right w:val="nil"/>
            </w:tcBorders>
            <w:vAlign w:val="top"/>
          </w:tcPr>
          <w:p w14:paraId="3D339C28">
            <w:pPr>
              <w:pStyle w:val="8"/>
              <w:rPr>
                <w:sz w:val="21"/>
              </w:rPr>
            </w:pPr>
          </w:p>
        </w:tc>
        <w:tc>
          <w:tcPr>
            <w:tcW w:w="2878" w:type="dxa"/>
            <w:tcBorders>
              <w:left w:val="nil"/>
              <w:right w:val="nil"/>
            </w:tcBorders>
            <w:vAlign w:val="top"/>
          </w:tcPr>
          <w:p w14:paraId="7C346630">
            <w:pPr>
              <w:pStyle w:val="8"/>
              <w:rPr>
                <w:sz w:val="21"/>
              </w:rPr>
            </w:pPr>
          </w:p>
        </w:tc>
      </w:tr>
      <w:tr w14:paraId="68628B1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95" w:type="dxa"/>
            <w:tcBorders>
              <w:left w:val="nil"/>
            </w:tcBorders>
            <w:shd w:val="clear" w:color="auto" w:fill="EAF9FF"/>
            <w:vAlign w:val="top"/>
          </w:tcPr>
          <w:p w14:paraId="2D6A8DEE">
            <w:pPr>
              <w:pStyle w:val="8"/>
              <w:spacing w:before="106" w:line="184" w:lineRule="auto"/>
              <w:ind w:left="13"/>
            </w:pPr>
            <w:r>
              <w:rPr>
                <w:b/>
                <w:bCs/>
                <w:color w:val="2A8ABF"/>
                <w:spacing w:val="-8"/>
              </w:rPr>
              <w:t>Planned</w:t>
            </w:r>
            <w:r>
              <w:rPr>
                <w:b/>
                <w:bCs/>
                <w:color w:val="2A8ABF"/>
                <w:spacing w:val="3"/>
              </w:rPr>
              <w:t xml:space="preserve"> </w:t>
            </w:r>
            <w:r>
              <w:rPr>
                <w:b/>
                <w:bCs/>
                <w:color w:val="2A8ABF"/>
                <w:spacing w:val="-8"/>
              </w:rPr>
              <w:t>Additional Capacity</w:t>
            </w:r>
          </w:p>
        </w:tc>
        <w:tc>
          <w:tcPr>
            <w:tcW w:w="1375" w:type="dxa"/>
            <w:tcBorders>
              <w:right w:val="nil"/>
            </w:tcBorders>
            <w:shd w:val="clear" w:color="auto" w:fill="EAF9FF"/>
            <w:vAlign w:val="top"/>
          </w:tcPr>
          <w:p w14:paraId="52FD8B9F">
            <w:pPr>
              <w:pStyle w:val="8"/>
              <w:rPr>
                <w:sz w:val="21"/>
              </w:rPr>
            </w:pPr>
          </w:p>
        </w:tc>
        <w:tc>
          <w:tcPr>
            <w:tcW w:w="2471" w:type="dxa"/>
            <w:tcBorders>
              <w:left w:val="nil"/>
              <w:right w:val="nil"/>
            </w:tcBorders>
            <w:shd w:val="clear" w:color="auto" w:fill="EAF9FF"/>
            <w:vAlign w:val="top"/>
          </w:tcPr>
          <w:p w14:paraId="4B404DFB">
            <w:pPr>
              <w:pStyle w:val="8"/>
              <w:rPr>
                <w:sz w:val="21"/>
              </w:rPr>
            </w:pPr>
          </w:p>
        </w:tc>
        <w:tc>
          <w:tcPr>
            <w:tcW w:w="1085" w:type="dxa"/>
            <w:tcBorders>
              <w:left w:val="nil"/>
              <w:right w:val="nil"/>
            </w:tcBorders>
            <w:shd w:val="clear" w:color="auto" w:fill="EAF9FF"/>
            <w:vAlign w:val="top"/>
          </w:tcPr>
          <w:p w14:paraId="5CF31515">
            <w:pPr>
              <w:pStyle w:val="8"/>
              <w:rPr>
                <w:sz w:val="21"/>
              </w:rPr>
            </w:pPr>
          </w:p>
        </w:tc>
        <w:tc>
          <w:tcPr>
            <w:tcW w:w="2878" w:type="dxa"/>
            <w:tcBorders>
              <w:left w:val="nil"/>
              <w:right w:val="nil"/>
            </w:tcBorders>
            <w:shd w:val="clear" w:color="auto" w:fill="EAF9FF"/>
            <w:vAlign w:val="top"/>
          </w:tcPr>
          <w:p w14:paraId="2D6ABA8E">
            <w:pPr>
              <w:pStyle w:val="8"/>
              <w:rPr>
                <w:sz w:val="21"/>
              </w:rPr>
            </w:pPr>
          </w:p>
        </w:tc>
      </w:tr>
      <w:tr w14:paraId="2F6091F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395" w:type="dxa"/>
            <w:tcBorders>
              <w:left w:val="nil"/>
            </w:tcBorders>
            <w:vAlign w:val="top"/>
          </w:tcPr>
          <w:p w14:paraId="40570A18">
            <w:pPr>
              <w:pStyle w:val="8"/>
              <w:spacing w:before="67" w:line="238" w:lineRule="exact"/>
              <w:ind w:left="12"/>
            </w:pPr>
            <w:r>
              <w:rPr>
                <w:color w:val="2A8ABF"/>
                <w:spacing w:val="-10"/>
                <w:position w:val="1"/>
              </w:rPr>
              <w:t>General Mosconi II</w:t>
            </w:r>
          </w:p>
        </w:tc>
        <w:tc>
          <w:tcPr>
            <w:tcW w:w="1375" w:type="dxa"/>
            <w:tcBorders>
              <w:right w:val="nil"/>
            </w:tcBorders>
            <w:vAlign w:val="top"/>
          </w:tcPr>
          <w:p w14:paraId="379E07BA">
            <w:pPr>
              <w:pStyle w:val="8"/>
              <w:spacing w:before="67" w:line="214" w:lineRule="exact"/>
              <w:ind w:left="86"/>
            </w:pPr>
            <w:r>
              <w:rPr>
                <w:color w:val="5F6A72"/>
                <w:spacing w:val="-6"/>
                <w:position w:val="1"/>
              </w:rPr>
              <w:t>150,000</w:t>
            </w:r>
          </w:p>
        </w:tc>
        <w:tc>
          <w:tcPr>
            <w:tcW w:w="2471" w:type="dxa"/>
            <w:tcBorders>
              <w:left w:val="nil"/>
              <w:right w:val="nil"/>
            </w:tcBorders>
            <w:vAlign w:val="top"/>
          </w:tcPr>
          <w:p w14:paraId="6D6BEAA8">
            <w:pPr>
              <w:pStyle w:val="8"/>
              <w:spacing w:before="67" w:line="234" w:lineRule="auto"/>
              <w:ind w:left="79"/>
            </w:pPr>
            <w:r>
              <w:rPr>
                <w:color w:val="5F6A72"/>
                <w:spacing w:val="-5"/>
              </w:rPr>
              <w:t>30-company consortium</w:t>
            </w:r>
          </w:p>
        </w:tc>
        <w:tc>
          <w:tcPr>
            <w:tcW w:w="1085" w:type="dxa"/>
            <w:tcBorders>
              <w:left w:val="nil"/>
              <w:right w:val="nil"/>
            </w:tcBorders>
            <w:vAlign w:val="top"/>
          </w:tcPr>
          <w:p w14:paraId="207050EC">
            <w:pPr>
              <w:pStyle w:val="8"/>
              <w:spacing w:before="141" w:line="126" w:lineRule="exact"/>
              <w:ind w:left="84"/>
            </w:pPr>
            <w:r>
              <w:rPr>
                <w:color w:val="5F6A72"/>
                <w:spacing w:val="-8"/>
                <w:position w:val="-2"/>
              </w:rPr>
              <w:t>na</w:t>
            </w:r>
          </w:p>
        </w:tc>
        <w:tc>
          <w:tcPr>
            <w:tcW w:w="2878" w:type="dxa"/>
            <w:tcBorders>
              <w:left w:val="nil"/>
              <w:right w:val="nil"/>
            </w:tcBorders>
            <w:vAlign w:val="top"/>
          </w:tcPr>
          <w:p w14:paraId="50D6DDFF">
            <w:pPr>
              <w:pStyle w:val="8"/>
              <w:spacing w:before="67" w:line="234" w:lineRule="auto"/>
              <w:ind w:left="86"/>
            </w:pPr>
            <w:r>
              <w:rPr>
                <w:color w:val="5F6A72"/>
                <w:spacing w:val="-9"/>
              </w:rPr>
              <w:t>Proposed USD2.3bn diesel refinery</w:t>
            </w:r>
          </w:p>
        </w:tc>
      </w:tr>
      <w:tr w14:paraId="0C67122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395" w:type="dxa"/>
            <w:tcBorders>
              <w:left w:val="nil"/>
            </w:tcBorders>
            <w:shd w:val="clear" w:color="auto" w:fill="EAF9FF"/>
            <w:vAlign w:val="top"/>
          </w:tcPr>
          <w:p w14:paraId="6A6D8712">
            <w:pPr>
              <w:pStyle w:val="8"/>
              <w:spacing w:before="67" w:line="234" w:lineRule="auto"/>
              <w:ind w:left="18"/>
            </w:pPr>
            <w:r>
              <w:rPr>
                <w:color w:val="2A8ABF"/>
                <w:spacing w:val="-11"/>
              </w:rPr>
              <w:t>Lujan</w:t>
            </w:r>
            <w:r>
              <w:rPr>
                <w:color w:val="2A8ABF"/>
                <w:spacing w:val="-7"/>
              </w:rPr>
              <w:t xml:space="preserve"> </w:t>
            </w:r>
            <w:r>
              <w:rPr>
                <w:color w:val="2A8ABF"/>
                <w:spacing w:val="-11"/>
              </w:rPr>
              <w:t>de</w:t>
            </w:r>
            <w:r>
              <w:rPr>
                <w:color w:val="2A8ABF"/>
                <w:spacing w:val="-8"/>
              </w:rPr>
              <w:t xml:space="preserve"> </w:t>
            </w:r>
            <w:r>
              <w:rPr>
                <w:color w:val="2A8ABF"/>
                <w:spacing w:val="-11"/>
              </w:rPr>
              <w:t>Cuyo</w:t>
            </w:r>
          </w:p>
        </w:tc>
        <w:tc>
          <w:tcPr>
            <w:tcW w:w="1375" w:type="dxa"/>
            <w:tcBorders>
              <w:right w:val="nil"/>
            </w:tcBorders>
            <w:shd w:val="clear" w:color="auto" w:fill="EAF9FF"/>
            <w:vAlign w:val="top"/>
          </w:tcPr>
          <w:p w14:paraId="04A9B9C7">
            <w:pPr>
              <w:pStyle w:val="8"/>
              <w:spacing w:before="141" w:line="125" w:lineRule="exact"/>
              <w:ind w:left="84"/>
            </w:pPr>
            <w:r>
              <w:rPr>
                <w:color w:val="5F6A72"/>
                <w:spacing w:val="-8"/>
                <w:position w:val="-2"/>
              </w:rPr>
              <w:t>na</w:t>
            </w:r>
          </w:p>
        </w:tc>
        <w:tc>
          <w:tcPr>
            <w:tcW w:w="2471" w:type="dxa"/>
            <w:tcBorders>
              <w:left w:val="nil"/>
              <w:right w:val="nil"/>
            </w:tcBorders>
            <w:shd w:val="clear" w:color="auto" w:fill="EAF9FF"/>
            <w:vAlign w:val="top"/>
          </w:tcPr>
          <w:p w14:paraId="6F0F1C15">
            <w:pPr>
              <w:pStyle w:val="8"/>
              <w:spacing w:before="109" w:line="183" w:lineRule="auto"/>
              <w:ind w:left="72"/>
            </w:pPr>
            <w:r>
              <w:rPr>
                <w:color w:val="5F6A72"/>
                <w:spacing w:val="-16"/>
              </w:rPr>
              <w:t>YPF</w:t>
            </w:r>
          </w:p>
        </w:tc>
        <w:tc>
          <w:tcPr>
            <w:tcW w:w="1085" w:type="dxa"/>
            <w:tcBorders>
              <w:left w:val="nil"/>
              <w:right w:val="nil"/>
            </w:tcBorders>
            <w:shd w:val="clear" w:color="auto" w:fill="EAF9FF"/>
            <w:vAlign w:val="top"/>
          </w:tcPr>
          <w:p w14:paraId="7FA3CD7E">
            <w:pPr>
              <w:pStyle w:val="8"/>
              <w:spacing w:before="67" w:line="237" w:lineRule="exact"/>
              <w:ind w:left="81"/>
            </w:pPr>
            <w:r>
              <w:rPr>
                <w:color w:val="5F6A72"/>
                <w:spacing w:val="-5"/>
                <w:position w:val="1"/>
              </w:rPr>
              <w:t>2012</w:t>
            </w:r>
          </w:p>
        </w:tc>
        <w:tc>
          <w:tcPr>
            <w:tcW w:w="2878" w:type="dxa"/>
            <w:tcBorders>
              <w:left w:val="nil"/>
              <w:right w:val="nil"/>
            </w:tcBorders>
            <w:shd w:val="clear" w:color="auto" w:fill="EAF9FF"/>
            <w:vAlign w:val="top"/>
          </w:tcPr>
          <w:p w14:paraId="5484961B">
            <w:pPr>
              <w:pStyle w:val="8"/>
              <w:spacing w:before="67" w:line="234" w:lineRule="auto"/>
              <w:ind w:left="77"/>
            </w:pPr>
            <w:r>
              <w:rPr>
                <w:color w:val="5F6A72"/>
                <w:spacing w:val="-8"/>
              </w:rPr>
              <w:t>Secondary processing</w:t>
            </w:r>
          </w:p>
        </w:tc>
      </w:tr>
      <w:tr w14:paraId="41A6677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2395" w:type="dxa"/>
            <w:tcBorders>
              <w:left w:val="nil"/>
            </w:tcBorders>
            <w:vAlign w:val="top"/>
          </w:tcPr>
          <w:p w14:paraId="5A55F17B">
            <w:pPr>
              <w:pStyle w:val="8"/>
              <w:spacing w:before="105" w:line="184" w:lineRule="auto"/>
              <w:ind w:left="12"/>
            </w:pPr>
            <w:r>
              <w:rPr>
                <w:color w:val="2A8ABF"/>
                <w:spacing w:val="-11"/>
              </w:rPr>
              <w:t>Campana</w:t>
            </w:r>
          </w:p>
        </w:tc>
        <w:tc>
          <w:tcPr>
            <w:tcW w:w="1375" w:type="dxa"/>
            <w:tcBorders>
              <w:right w:val="nil"/>
            </w:tcBorders>
            <w:vAlign w:val="top"/>
          </w:tcPr>
          <w:p w14:paraId="0D6FBCAC">
            <w:pPr>
              <w:pStyle w:val="8"/>
              <w:spacing w:before="66" w:line="214" w:lineRule="exact"/>
              <w:ind w:left="79"/>
            </w:pPr>
            <w:r>
              <w:rPr>
                <w:color w:val="5F6A72"/>
                <w:spacing w:val="-5"/>
                <w:position w:val="1"/>
              </w:rPr>
              <w:t>42,000</w:t>
            </w:r>
          </w:p>
        </w:tc>
        <w:tc>
          <w:tcPr>
            <w:tcW w:w="2471" w:type="dxa"/>
            <w:tcBorders>
              <w:left w:val="nil"/>
              <w:right w:val="nil"/>
            </w:tcBorders>
            <w:vAlign w:val="top"/>
          </w:tcPr>
          <w:p w14:paraId="319C2304">
            <w:pPr>
              <w:pStyle w:val="8"/>
              <w:spacing w:before="108" w:line="181" w:lineRule="auto"/>
              <w:ind w:left="72"/>
            </w:pPr>
            <w:r>
              <w:rPr>
                <w:color w:val="5F6A72"/>
                <w:spacing w:val="-9"/>
              </w:rPr>
              <w:t>Axion Energy</w:t>
            </w:r>
          </w:p>
        </w:tc>
        <w:tc>
          <w:tcPr>
            <w:tcW w:w="1085" w:type="dxa"/>
            <w:tcBorders>
              <w:left w:val="nil"/>
              <w:right w:val="nil"/>
            </w:tcBorders>
            <w:vAlign w:val="top"/>
          </w:tcPr>
          <w:p w14:paraId="7D5CA218">
            <w:pPr>
              <w:pStyle w:val="8"/>
              <w:spacing w:before="66" w:line="214" w:lineRule="exact"/>
              <w:ind w:left="81"/>
            </w:pPr>
            <w:r>
              <w:rPr>
                <w:color w:val="5F6A72"/>
                <w:spacing w:val="-6"/>
                <w:position w:val="1"/>
              </w:rPr>
              <w:t>2016, 2020</w:t>
            </w:r>
          </w:p>
        </w:tc>
        <w:tc>
          <w:tcPr>
            <w:tcW w:w="2878" w:type="dxa"/>
            <w:tcBorders>
              <w:left w:val="nil"/>
              <w:right w:val="nil"/>
            </w:tcBorders>
            <w:vAlign w:val="top"/>
          </w:tcPr>
          <w:p w14:paraId="61ECEAAF">
            <w:pPr>
              <w:pStyle w:val="8"/>
              <w:rPr>
                <w:sz w:val="21"/>
              </w:rPr>
            </w:pPr>
          </w:p>
        </w:tc>
      </w:tr>
      <w:tr w14:paraId="6414F1D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2395" w:type="dxa"/>
            <w:tcBorders>
              <w:left w:val="nil"/>
              <w:bottom w:val="nil"/>
            </w:tcBorders>
            <w:shd w:val="clear" w:color="auto" w:fill="EAF9FF"/>
            <w:vAlign w:val="top"/>
          </w:tcPr>
          <w:p w14:paraId="5DF7625D">
            <w:pPr>
              <w:pStyle w:val="8"/>
              <w:spacing w:before="66" w:line="237" w:lineRule="exact"/>
              <w:ind w:left="18"/>
            </w:pPr>
            <w:r>
              <w:rPr>
                <w:color w:val="2A8ABF"/>
                <w:spacing w:val="-11"/>
                <w:position w:val="1"/>
              </w:rPr>
              <w:t>La Plata</w:t>
            </w:r>
          </w:p>
        </w:tc>
        <w:tc>
          <w:tcPr>
            <w:tcW w:w="1375" w:type="dxa"/>
            <w:tcBorders>
              <w:bottom w:val="nil"/>
              <w:right w:val="nil"/>
            </w:tcBorders>
            <w:shd w:val="clear" w:color="auto" w:fill="EAF9FF"/>
            <w:vAlign w:val="top"/>
          </w:tcPr>
          <w:p w14:paraId="666040F1">
            <w:pPr>
              <w:pStyle w:val="8"/>
              <w:spacing w:before="66" w:line="214" w:lineRule="exact"/>
              <w:ind w:left="86"/>
            </w:pPr>
            <w:r>
              <w:rPr>
                <w:color w:val="5F6A72"/>
                <w:spacing w:val="-6"/>
                <w:position w:val="1"/>
              </w:rPr>
              <w:t>11,000</w:t>
            </w:r>
          </w:p>
        </w:tc>
        <w:tc>
          <w:tcPr>
            <w:tcW w:w="2471" w:type="dxa"/>
            <w:tcBorders>
              <w:left w:val="nil"/>
              <w:bottom w:val="nil"/>
              <w:right w:val="nil"/>
            </w:tcBorders>
            <w:shd w:val="clear" w:color="auto" w:fill="EAF9FF"/>
            <w:vAlign w:val="top"/>
          </w:tcPr>
          <w:p w14:paraId="0BE1D22C">
            <w:pPr>
              <w:pStyle w:val="8"/>
              <w:spacing w:before="108" w:line="183" w:lineRule="auto"/>
              <w:ind w:left="72"/>
            </w:pPr>
            <w:r>
              <w:rPr>
                <w:color w:val="5F6A72"/>
                <w:spacing w:val="-16"/>
              </w:rPr>
              <w:t>YPF</w:t>
            </w:r>
          </w:p>
        </w:tc>
        <w:tc>
          <w:tcPr>
            <w:tcW w:w="1085" w:type="dxa"/>
            <w:tcBorders>
              <w:left w:val="nil"/>
              <w:bottom w:val="nil"/>
              <w:right w:val="nil"/>
            </w:tcBorders>
            <w:shd w:val="clear" w:color="auto" w:fill="EAF9FF"/>
            <w:vAlign w:val="top"/>
          </w:tcPr>
          <w:p w14:paraId="1BC00C89">
            <w:pPr>
              <w:pStyle w:val="8"/>
              <w:spacing w:before="66" w:line="237" w:lineRule="exact"/>
              <w:ind w:left="81"/>
            </w:pPr>
            <w:r>
              <w:rPr>
                <w:color w:val="5F6A72"/>
                <w:spacing w:val="-5"/>
                <w:position w:val="1"/>
              </w:rPr>
              <w:t>2018</w:t>
            </w:r>
          </w:p>
        </w:tc>
        <w:tc>
          <w:tcPr>
            <w:tcW w:w="2878" w:type="dxa"/>
            <w:tcBorders>
              <w:left w:val="nil"/>
              <w:bottom w:val="nil"/>
              <w:right w:val="nil"/>
            </w:tcBorders>
            <w:shd w:val="clear" w:color="auto" w:fill="EAF9FF"/>
            <w:vAlign w:val="top"/>
          </w:tcPr>
          <w:p w14:paraId="7BA91293">
            <w:pPr>
              <w:pStyle w:val="8"/>
              <w:rPr>
                <w:sz w:val="21"/>
              </w:rPr>
            </w:pPr>
          </w:p>
        </w:tc>
      </w:tr>
    </w:tbl>
    <w:p w14:paraId="563CC7FF">
      <w:pPr>
        <w:pStyle w:val="4"/>
        <w:spacing w:before="150" w:line="177" w:lineRule="exact"/>
        <w:ind w:left="370"/>
        <w:rPr>
          <w:sz w:val="15"/>
          <w:szCs w:val="15"/>
        </w:rPr>
      </w:pPr>
      <w:r>
        <w:drawing>
          <wp:anchor distT="0" distB="0" distL="0" distR="0" simplePos="0" relativeHeight="251924480" behindDoc="1" locked="0" layoutInCell="1" allowOverlap="1">
            <wp:simplePos x="0" y="0"/>
            <wp:positionH relativeFrom="column">
              <wp:posOffset>227965</wp:posOffset>
            </wp:positionH>
            <wp:positionV relativeFrom="paragraph">
              <wp:posOffset>95250</wp:posOffset>
            </wp:positionV>
            <wp:extent cx="6480175" cy="6985"/>
            <wp:effectExtent l="0" t="0" r="0" b="0"/>
            <wp:wrapNone/>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6"/>
          <w:w w:val="91"/>
          <w:position w:val="1"/>
          <w:sz w:val="15"/>
          <w:szCs w:val="15"/>
        </w:rPr>
        <w:t>na</w:t>
      </w:r>
      <w:r>
        <w:rPr>
          <w:i/>
          <w:iCs/>
          <w:color w:val="333333"/>
          <w:spacing w:val="2"/>
          <w:position w:val="1"/>
          <w:sz w:val="15"/>
          <w:szCs w:val="15"/>
        </w:rPr>
        <w:t xml:space="preserve"> </w:t>
      </w:r>
      <w:r>
        <w:rPr>
          <w:i/>
          <w:iCs/>
          <w:color w:val="333333"/>
          <w:spacing w:val="-6"/>
          <w:w w:val="91"/>
          <w:position w:val="1"/>
          <w:sz w:val="15"/>
          <w:szCs w:val="15"/>
        </w:rPr>
        <w:t>= not</w:t>
      </w:r>
      <w:r>
        <w:rPr>
          <w:i/>
          <w:iCs/>
          <w:color w:val="333333"/>
          <w:spacing w:val="-15"/>
          <w:position w:val="1"/>
          <w:sz w:val="15"/>
          <w:szCs w:val="15"/>
        </w:rPr>
        <w:t xml:space="preserve"> </w:t>
      </w:r>
      <w:r>
        <w:rPr>
          <w:i/>
          <w:iCs/>
          <w:color w:val="333333"/>
          <w:spacing w:val="-6"/>
          <w:w w:val="91"/>
          <w:position w:val="1"/>
          <w:sz w:val="15"/>
          <w:szCs w:val="15"/>
        </w:rPr>
        <w:t>available. Sour</w:t>
      </w:r>
      <w:r>
        <w:rPr>
          <w:i/>
          <w:iCs/>
          <w:color w:val="333333"/>
          <w:spacing w:val="-7"/>
          <w:w w:val="91"/>
          <w:position w:val="1"/>
          <w:sz w:val="15"/>
          <w:szCs w:val="15"/>
        </w:rPr>
        <w:t>ce:</w:t>
      </w:r>
      <w:r>
        <w:rPr>
          <w:i/>
          <w:iCs/>
          <w:color w:val="333333"/>
          <w:spacing w:val="3"/>
          <w:position w:val="1"/>
          <w:sz w:val="15"/>
          <w:szCs w:val="15"/>
        </w:rPr>
        <w:t xml:space="preserve"> </w:t>
      </w:r>
      <w:r>
        <w:rPr>
          <w:i/>
          <w:iCs/>
          <w:color w:val="333333"/>
          <w:spacing w:val="-7"/>
          <w:w w:val="91"/>
          <w:position w:val="1"/>
          <w:sz w:val="15"/>
          <w:szCs w:val="15"/>
        </w:rPr>
        <w:t>YPF, BMI</w:t>
      </w:r>
    </w:p>
    <w:p w14:paraId="59BE1A11">
      <w:pPr>
        <w:pStyle w:val="4"/>
        <w:spacing w:line="376" w:lineRule="auto"/>
      </w:pPr>
    </w:p>
    <w:p w14:paraId="33F79D4C">
      <w:pPr>
        <w:pStyle w:val="4"/>
        <w:spacing w:before="58" w:line="231" w:lineRule="auto"/>
        <w:ind w:left="359"/>
        <w:rPr>
          <w:sz w:val="20"/>
          <w:szCs w:val="20"/>
        </w:rPr>
      </w:pPr>
      <w:r>
        <w:rPr>
          <w:color w:val="57585A"/>
          <w:spacing w:val="-11"/>
          <w:sz w:val="20"/>
          <w:szCs w:val="20"/>
        </w:rPr>
        <w:t>YPF is the major player in</w:t>
      </w:r>
      <w:r>
        <w:rPr>
          <w:color w:val="57585A"/>
          <w:spacing w:val="-16"/>
          <w:sz w:val="20"/>
          <w:szCs w:val="20"/>
        </w:rPr>
        <w:t xml:space="preserve"> </w:t>
      </w:r>
      <w:r>
        <w:rPr>
          <w:color w:val="57585A"/>
          <w:spacing w:val="-11"/>
          <w:sz w:val="20"/>
          <w:szCs w:val="20"/>
        </w:rPr>
        <w:t>Argentina's refining,</w:t>
      </w:r>
      <w:r>
        <w:rPr>
          <w:color w:val="57585A"/>
          <w:spacing w:val="-15"/>
          <w:sz w:val="20"/>
          <w:szCs w:val="20"/>
        </w:rPr>
        <w:t xml:space="preserve"> </w:t>
      </w:r>
      <w:r>
        <w:rPr>
          <w:color w:val="57585A"/>
          <w:spacing w:val="-11"/>
          <w:sz w:val="20"/>
          <w:szCs w:val="20"/>
        </w:rPr>
        <w:t xml:space="preserve">with </w:t>
      </w:r>
      <w:r>
        <w:rPr>
          <w:color w:val="57585A"/>
          <w:spacing w:val="-12"/>
          <w:sz w:val="20"/>
          <w:szCs w:val="20"/>
        </w:rPr>
        <w:t>more than 60% of</w:t>
      </w:r>
      <w:r>
        <w:rPr>
          <w:color w:val="57585A"/>
          <w:spacing w:val="-22"/>
          <w:sz w:val="20"/>
          <w:szCs w:val="20"/>
        </w:rPr>
        <w:t xml:space="preserve"> </w:t>
      </w:r>
      <w:r>
        <w:rPr>
          <w:color w:val="57585A"/>
          <w:spacing w:val="-12"/>
          <w:sz w:val="20"/>
          <w:szCs w:val="20"/>
        </w:rPr>
        <w:t>total capacity. Buenos</w:t>
      </w:r>
      <w:r>
        <w:rPr>
          <w:color w:val="57585A"/>
          <w:spacing w:val="-15"/>
          <w:sz w:val="20"/>
          <w:szCs w:val="20"/>
        </w:rPr>
        <w:t xml:space="preserve"> </w:t>
      </w:r>
      <w:r>
        <w:rPr>
          <w:color w:val="57585A"/>
          <w:spacing w:val="-12"/>
          <w:sz w:val="20"/>
          <w:szCs w:val="20"/>
        </w:rPr>
        <w:t>Aires is home to about 68% of</w:t>
      </w:r>
    </w:p>
    <w:p w14:paraId="35C7E2A8">
      <w:pPr>
        <w:pStyle w:val="4"/>
        <w:spacing w:before="59" w:line="280" w:lineRule="auto"/>
        <w:ind w:left="368" w:right="364" w:hanging="9"/>
        <w:rPr>
          <w:sz w:val="20"/>
          <w:szCs w:val="20"/>
        </w:rPr>
      </w:pPr>
      <w:r>
        <w:rPr>
          <w:color w:val="57585A"/>
          <w:spacing w:val="-11"/>
          <w:sz w:val="20"/>
          <w:szCs w:val="20"/>
        </w:rPr>
        <w:t>Argentina's refining capacity, and the broader Buenos</w:t>
      </w:r>
      <w:r>
        <w:rPr>
          <w:color w:val="57585A"/>
          <w:spacing w:val="-16"/>
          <w:sz w:val="20"/>
          <w:szCs w:val="20"/>
        </w:rPr>
        <w:t xml:space="preserve"> </w:t>
      </w:r>
      <w:r>
        <w:rPr>
          <w:color w:val="57585A"/>
          <w:spacing w:val="-11"/>
          <w:sz w:val="20"/>
          <w:szCs w:val="20"/>
        </w:rPr>
        <w:t>Aires Province contains six of</w:t>
      </w:r>
      <w:r>
        <w:rPr>
          <w:color w:val="57585A"/>
          <w:spacing w:val="-21"/>
          <w:sz w:val="20"/>
          <w:szCs w:val="20"/>
        </w:rPr>
        <w:t xml:space="preserve"> </w:t>
      </w:r>
      <w:r>
        <w:rPr>
          <w:color w:val="57585A"/>
          <w:spacing w:val="-12"/>
          <w:sz w:val="20"/>
          <w:szCs w:val="20"/>
        </w:rPr>
        <w:t>the market's 10 plants</w:t>
      </w:r>
      <w:r>
        <w:rPr>
          <w:color w:val="57585A"/>
          <w:spacing w:val="-16"/>
          <w:sz w:val="20"/>
          <w:szCs w:val="20"/>
        </w:rPr>
        <w:t xml:space="preserve"> </w:t>
      </w:r>
      <w:r>
        <w:rPr>
          <w:color w:val="57585A"/>
          <w:spacing w:val="-12"/>
          <w:sz w:val="20"/>
          <w:szCs w:val="20"/>
        </w:rPr>
        <w:t>with a combined capacity</w:t>
      </w:r>
      <w:r>
        <w:rPr>
          <w:color w:val="57585A"/>
          <w:sz w:val="20"/>
          <w:szCs w:val="20"/>
        </w:rPr>
        <w:t xml:space="preserve"> </w:t>
      </w:r>
      <w:r>
        <w:rPr>
          <w:color w:val="57585A"/>
          <w:spacing w:val="-6"/>
          <w:sz w:val="20"/>
          <w:szCs w:val="20"/>
        </w:rPr>
        <w:t>of</w:t>
      </w:r>
      <w:r>
        <w:rPr>
          <w:color w:val="57585A"/>
          <w:spacing w:val="-14"/>
          <w:sz w:val="20"/>
          <w:szCs w:val="20"/>
        </w:rPr>
        <w:t xml:space="preserve"> </w:t>
      </w:r>
      <w:r>
        <w:rPr>
          <w:color w:val="57585A"/>
          <w:spacing w:val="-6"/>
          <w:sz w:val="20"/>
          <w:szCs w:val="20"/>
        </w:rPr>
        <w:t>430,000b/d.</w:t>
      </w:r>
    </w:p>
    <w:p w14:paraId="44379977">
      <w:pPr>
        <w:pStyle w:val="4"/>
        <w:spacing w:line="252" w:lineRule="auto"/>
      </w:pPr>
    </w:p>
    <w:p w14:paraId="5ED2BB1C">
      <w:pPr>
        <w:pStyle w:val="4"/>
        <w:spacing w:before="58" w:line="280" w:lineRule="auto"/>
        <w:ind w:left="369" w:right="484" w:firstLine="5"/>
        <w:rPr>
          <w:sz w:val="20"/>
          <w:szCs w:val="20"/>
        </w:rPr>
      </w:pPr>
      <w:r>
        <w:rPr>
          <w:b/>
          <w:bCs/>
          <w:color w:val="57585A"/>
          <w:spacing w:val="-12"/>
          <w:sz w:val="20"/>
          <w:szCs w:val="20"/>
        </w:rPr>
        <w:t>La Plata:</w:t>
      </w:r>
      <w:r>
        <w:rPr>
          <w:b/>
          <w:bCs/>
          <w:color w:val="57585A"/>
          <w:spacing w:val="-8"/>
          <w:sz w:val="20"/>
          <w:szCs w:val="20"/>
        </w:rPr>
        <w:t xml:space="preserve"> </w:t>
      </w:r>
      <w:r>
        <w:rPr>
          <w:color w:val="57585A"/>
          <w:spacing w:val="-12"/>
          <w:sz w:val="20"/>
          <w:szCs w:val="20"/>
        </w:rPr>
        <w:t>YPF's 189,000b/d La Plata refinery in</w:t>
      </w:r>
      <w:r>
        <w:rPr>
          <w:color w:val="57585A"/>
          <w:spacing w:val="1"/>
          <w:sz w:val="20"/>
          <w:szCs w:val="20"/>
        </w:rPr>
        <w:t xml:space="preserve"> </w:t>
      </w:r>
      <w:r>
        <w:rPr>
          <w:color w:val="57585A"/>
          <w:spacing w:val="-12"/>
          <w:sz w:val="20"/>
          <w:szCs w:val="20"/>
        </w:rPr>
        <w:t>Buenos</w:t>
      </w:r>
      <w:r>
        <w:rPr>
          <w:color w:val="57585A"/>
          <w:spacing w:val="-16"/>
          <w:sz w:val="20"/>
          <w:szCs w:val="20"/>
        </w:rPr>
        <w:t xml:space="preserve"> </w:t>
      </w:r>
      <w:r>
        <w:rPr>
          <w:color w:val="57585A"/>
          <w:spacing w:val="-12"/>
          <w:sz w:val="20"/>
          <w:szCs w:val="20"/>
        </w:rPr>
        <w:t>Aires is the largest</w:t>
      </w:r>
      <w:r>
        <w:rPr>
          <w:color w:val="57585A"/>
          <w:spacing w:val="-4"/>
          <w:sz w:val="20"/>
          <w:szCs w:val="20"/>
        </w:rPr>
        <w:t xml:space="preserve"> </w:t>
      </w:r>
      <w:r>
        <w:rPr>
          <w:color w:val="57585A"/>
          <w:spacing w:val="-12"/>
          <w:sz w:val="20"/>
          <w:szCs w:val="20"/>
        </w:rPr>
        <w:t>in</w:t>
      </w:r>
      <w:r>
        <w:rPr>
          <w:color w:val="57585A"/>
          <w:spacing w:val="-15"/>
          <w:sz w:val="20"/>
          <w:szCs w:val="20"/>
        </w:rPr>
        <w:t xml:space="preserve"> </w:t>
      </w:r>
      <w:r>
        <w:rPr>
          <w:color w:val="57585A"/>
          <w:spacing w:val="-12"/>
          <w:sz w:val="20"/>
          <w:szCs w:val="20"/>
        </w:rPr>
        <w:t>Argentina, accounting for around 30% of</w:t>
      </w:r>
      <w:r>
        <w:rPr>
          <w:color w:val="57585A"/>
          <w:spacing w:val="-21"/>
          <w:sz w:val="20"/>
          <w:szCs w:val="20"/>
        </w:rPr>
        <w:t xml:space="preserve"> </w:t>
      </w:r>
      <w:r>
        <w:rPr>
          <w:color w:val="57585A"/>
          <w:spacing w:val="-12"/>
          <w:sz w:val="20"/>
          <w:szCs w:val="20"/>
        </w:rPr>
        <w:t>the</w:t>
      </w:r>
      <w:r>
        <w:rPr>
          <w:color w:val="57585A"/>
          <w:spacing w:val="-2"/>
          <w:sz w:val="20"/>
          <w:szCs w:val="20"/>
        </w:rPr>
        <w:t xml:space="preserve"> </w:t>
      </w:r>
      <w:r>
        <w:rPr>
          <w:color w:val="57585A"/>
          <w:spacing w:val="-12"/>
          <w:sz w:val="20"/>
          <w:szCs w:val="20"/>
        </w:rPr>
        <w:t>market's</w:t>
      </w:r>
      <w:r>
        <w:rPr>
          <w:color w:val="57585A"/>
          <w:sz w:val="20"/>
          <w:szCs w:val="20"/>
        </w:rPr>
        <w:t xml:space="preserve"> </w:t>
      </w:r>
      <w:r>
        <w:rPr>
          <w:color w:val="57585A"/>
          <w:spacing w:val="-11"/>
          <w:sz w:val="20"/>
          <w:szCs w:val="20"/>
        </w:rPr>
        <w:t>capacity. It produces fuel oil, diesel oi</w:t>
      </w:r>
      <w:r>
        <w:rPr>
          <w:color w:val="57585A"/>
          <w:spacing w:val="-12"/>
          <w:sz w:val="20"/>
          <w:szCs w:val="20"/>
        </w:rPr>
        <w:t>l and gasoline, as well as lubricants, asphalt and paraffin. More than one third of</w:t>
      </w:r>
      <w:r>
        <w:rPr>
          <w:color w:val="57585A"/>
          <w:spacing w:val="-22"/>
          <w:sz w:val="20"/>
          <w:szCs w:val="20"/>
        </w:rPr>
        <w:t xml:space="preserve"> </w:t>
      </w:r>
      <w:r>
        <w:rPr>
          <w:color w:val="57585A"/>
          <w:spacing w:val="-12"/>
          <w:sz w:val="20"/>
          <w:szCs w:val="20"/>
        </w:rPr>
        <w:t>the market's</w:t>
      </w:r>
      <w:r>
        <w:rPr>
          <w:color w:val="57585A"/>
          <w:sz w:val="20"/>
          <w:szCs w:val="20"/>
        </w:rPr>
        <w:t xml:space="preserve">  </w:t>
      </w:r>
      <w:r>
        <w:rPr>
          <w:color w:val="57585A"/>
          <w:spacing w:val="-12"/>
          <w:sz w:val="20"/>
          <w:szCs w:val="20"/>
        </w:rPr>
        <w:t>consumed</w:t>
      </w:r>
      <w:r>
        <w:rPr>
          <w:color w:val="57585A"/>
          <w:spacing w:val="-11"/>
          <w:sz w:val="20"/>
          <w:szCs w:val="20"/>
        </w:rPr>
        <w:t xml:space="preserve"> </w:t>
      </w:r>
      <w:r>
        <w:rPr>
          <w:color w:val="57585A"/>
          <w:spacing w:val="-12"/>
          <w:sz w:val="20"/>
          <w:szCs w:val="20"/>
        </w:rPr>
        <w:t>fuel is produced at La Plata.</w:t>
      </w:r>
    </w:p>
    <w:p w14:paraId="607C7B4F">
      <w:pPr>
        <w:pStyle w:val="4"/>
        <w:spacing w:line="264" w:lineRule="auto"/>
      </w:pPr>
    </w:p>
    <w:p w14:paraId="4F2DF603">
      <w:pPr>
        <w:pStyle w:val="4"/>
        <w:spacing w:before="58" w:line="279" w:lineRule="auto"/>
        <w:ind w:left="363" w:right="443" w:firstLine="12"/>
        <w:jc w:val="both"/>
        <w:rPr>
          <w:sz w:val="20"/>
          <w:szCs w:val="20"/>
        </w:rPr>
      </w:pPr>
      <w:r>
        <w:rPr>
          <w:color w:val="57585A"/>
          <w:spacing w:val="-11"/>
          <w:sz w:val="20"/>
          <w:szCs w:val="20"/>
        </w:rPr>
        <w:t>In</w:t>
      </w:r>
      <w:r>
        <w:rPr>
          <w:color w:val="57585A"/>
          <w:spacing w:val="-15"/>
          <w:sz w:val="20"/>
          <w:szCs w:val="20"/>
        </w:rPr>
        <w:t xml:space="preserve"> </w:t>
      </w:r>
      <w:r>
        <w:rPr>
          <w:color w:val="57585A"/>
          <w:spacing w:val="-11"/>
          <w:sz w:val="20"/>
          <w:szCs w:val="20"/>
        </w:rPr>
        <w:t>April 2013, the La Plata refinery was taken offline</w:t>
      </w:r>
      <w:r>
        <w:rPr>
          <w:color w:val="57585A"/>
          <w:spacing w:val="-12"/>
          <w:sz w:val="20"/>
          <w:szCs w:val="20"/>
        </w:rPr>
        <w:t xml:space="preserve"> for repairs as a result of</w:t>
      </w:r>
      <w:r>
        <w:rPr>
          <w:color w:val="57585A"/>
          <w:spacing w:val="-17"/>
          <w:sz w:val="20"/>
          <w:szCs w:val="20"/>
        </w:rPr>
        <w:t xml:space="preserve"> </w:t>
      </w:r>
      <w:r>
        <w:rPr>
          <w:color w:val="57585A"/>
          <w:spacing w:val="-12"/>
          <w:sz w:val="20"/>
          <w:szCs w:val="20"/>
        </w:rPr>
        <w:t>a fire. While the refinery has come back online, it did not</w:t>
      </w:r>
      <w:r>
        <w:rPr>
          <w:color w:val="57585A"/>
          <w:sz w:val="20"/>
          <w:szCs w:val="20"/>
        </w:rPr>
        <w:t xml:space="preserve"> </w:t>
      </w:r>
      <w:r>
        <w:rPr>
          <w:color w:val="57585A"/>
          <w:spacing w:val="-10"/>
          <w:sz w:val="20"/>
          <w:szCs w:val="20"/>
        </w:rPr>
        <w:t>return to full capacity until H2 2015. We note that the refinery's outage increased the market's refined produc</w:t>
      </w:r>
      <w:r>
        <w:rPr>
          <w:color w:val="57585A"/>
          <w:spacing w:val="-11"/>
          <w:sz w:val="20"/>
          <w:szCs w:val="20"/>
        </w:rPr>
        <w:t>ts import burden at a</w:t>
      </w:r>
      <w:r>
        <w:rPr>
          <w:color w:val="57585A"/>
          <w:sz w:val="20"/>
          <w:szCs w:val="20"/>
        </w:rPr>
        <w:t xml:space="preserve"> </w:t>
      </w:r>
      <w:r>
        <w:rPr>
          <w:color w:val="57585A"/>
          <w:spacing w:val="-9"/>
          <w:sz w:val="20"/>
          <w:szCs w:val="20"/>
        </w:rPr>
        <w:t>time</w:t>
      </w:r>
      <w:r>
        <w:rPr>
          <w:color w:val="57585A"/>
          <w:sz w:val="20"/>
          <w:szCs w:val="20"/>
        </w:rPr>
        <w:t xml:space="preserve"> </w:t>
      </w:r>
      <w:r>
        <w:rPr>
          <w:color w:val="57585A"/>
          <w:spacing w:val="-9"/>
          <w:sz w:val="20"/>
          <w:szCs w:val="20"/>
        </w:rPr>
        <w:t>when consumption continued to grow.</w:t>
      </w:r>
    </w:p>
    <w:p w14:paraId="77170DBC">
      <w:pPr>
        <w:spacing w:line="279" w:lineRule="auto"/>
        <w:rPr>
          <w:sz w:val="20"/>
          <w:szCs w:val="20"/>
        </w:rPr>
        <w:sectPr>
          <w:footerReference r:id="rId72" w:type="default"/>
          <w:pgSz w:w="11906" w:h="16838"/>
          <w:pgMar w:top="400" w:right="490" w:bottom="883" w:left="490" w:header="0" w:footer="0" w:gutter="0"/>
          <w:cols w:space="720" w:num="1"/>
        </w:sectPr>
      </w:pPr>
    </w:p>
    <w:p w14:paraId="547CABCB">
      <w:pPr>
        <w:pStyle w:val="4"/>
        <w:spacing w:before="73" w:line="241" w:lineRule="auto"/>
        <w:ind w:left="7372"/>
        <w:rPr>
          <w:sz w:val="20"/>
          <w:szCs w:val="20"/>
        </w:rPr>
      </w:pPr>
      <w:r>
        <w:drawing>
          <wp:anchor distT="0" distB="0" distL="0" distR="0" simplePos="0" relativeHeight="25192755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28576" behindDoc="0" locked="0" layoutInCell="0" allowOverlap="1">
            <wp:simplePos x="0" y="0"/>
            <wp:positionH relativeFrom="page">
              <wp:posOffset>311150</wp:posOffset>
            </wp:positionH>
            <wp:positionV relativeFrom="page">
              <wp:posOffset>0</wp:posOffset>
            </wp:positionV>
            <wp:extent cx="19050" cy="814070"/>
            <wp:effectExtent l="0" t="0" r="0" b="0"/>
            <wp:wrapNone/>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CABAEDC">
      <w:pPr>
        <w:pStyle w:val="4"/>
        <w:spacing w:line="278" w:lineRule="auto"/>
      </w:pPr>
    </w:p>
    <w:p w14:paraId="6B5BDB07">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E2C9B02">
      <w:pPr>
        <w:pStyle w:val="4"/>
        <w:spacing w:line="252" w:lineRule="auto"/>
      </w:pPr>
    </w:p>
    <w:p w14:paraId="0AE236C3">
      <w:pPr>
        <w:pStyle w:val="4"/>
        <w:spacing w:line="252" w:lineRule="auto"/>
      </w:pPr>
    </w:p>
    <w:p w14:paraId="5BFA6414">
      <w:pPr>
        <w:pStyle w:val="4"/>
        <w:spacing w:line="252" w:lineRule="auto"/>
      </w:pPr>
    </w:p>
    <w:p w14:paraId="6741A377">
      <w:pPr>
        <w:pStyle w:val="4"/>
        <w:spacing w:before="58" w:line="231" w:lineRule="auto"/>
        <w:ind w:left="375"/>
        <w:rPr>
          <w:sz w:val="20"/>
          <w:szCs w:val="20"/>
        </w:rPr>
      </w:pPr>
      <w:r>
        <w:rPr>
          <w:b/>
          <w:bCs/>
          <w:color w:val="57585A"/>
          <w:spacing w:val="-11"/>
          <w:sz w:val="20"/>
          <w:szCs w:val="20"/>
        </w:rPr>
        <w:t>Buenos</w:t>
      </w:r>
      <w:r>
        <w:rPr>
          <w:b/>
          <w:bCs/>
          <w:color w:val="57585A"/>
          <w:spacing w:val="-15"/>
          <w:sz w:val="20"/>
          <w:szCs w:val="20"/>
        </w:rPr>
        <w:t xml:space="preserve"> </w:t>
      </w:r>
      <w:r>
        <w:rPr>
          <w:b/>
          <w:bCs/>
          <w:color w:val="57585A"/>
          <w:spacing w:val="-11"/>
          <w:sz w:val="20"/>
          <w:szCs w:val="20"/>
        </w:rPr>
        <w:t xml:space="preserve">Aires: </w:t>
      </w:r>
      <w:r>
        <w:rPr>
          <w:color w:val="57585A"/>
          <w:spacing w:val="-11"/>
          <w:sz w:val="20"/>
          <w:szCs w:val="20"/>
        </w:rPr>
        <w:t>Shell's Bueno</w:t>
      </w:r>
      <w:r>
        <w:rPr>
          <w:color w:val="57585A"/>
          <w:spacing w:val="-12"/>
          <w:sz w:val="20"/>
          <w:szCs w:val="20"/>
        </w:rPr>
        <w:t>s</w:t>
      </w:r>
      <w:r>
        <w:rPr>
          <w:color w:val="57585A"/>
          <w:spacing w:val="-16"/>
          <w:sz w:val="20"/>
          <w:szCs w:val="20"/>
        </w:rPr>
        <w:t xml:space="preserve"> </w:t>
      </w:r>
      <w:r>
        <w:rPr>
          <w:color w:val="57585A"/>
          <w:spacing w:val="-12"/>
          <w:sz w:val="20"/>
          <w:szCs w:val="20"/>
        </w:rPr>
        <w:t>Aires refinery is located in the Doc Sud area of</w:t>
      </w:r>
      <w:r>
        <w:rPr>
          <w:color w:val="57585A"/>
          <w:spacing w:val="-21"/>
          <w:sz w:val="20"/>
          <w:szCs w:val="20"/>
        </w:rPr>
        <w:t xml:space="preserve"> </w:t>
      </w:r>
      <w:r>
        <w:rPr>
          <w:color w:val="57585A"/>
          <w:spacing w:val="-12"/>
          <w:sz w:val="20"/>
          <w:szCs w:val="20"/>
        </w:rPr>
        <w:t>the city, giving it access to crude feedstock and</w:t>
      </w:r>
    </w:p>
    <w:p w14:paraId="1582107D">
      <w:pPr>
        <w:pStyle w:val="4"/>
        <w:spacing w:before="58" w:line="273" w:lineRule="auto"/>
        <w:ind w:left="360" w:right="432" w:firstLine="12"/>
        <w:rPr>
          <w:sz w:val="20"/>
          <w:szCs w:val="20"/>
        </w:rPr>
      </w:pPr>
      <w:r>
        <w:rPr>
          <w:color w:val="57585A"/>
          <w:spacing w:val="-11"/>
          <w:sz w:val="20"/>
          <w:szCs w:val="20"/>
        </w:rPr>
        <w:t>product transport routes</w:t>
      </w:r>
      <w:r>
        <w:rPr>
          <w:color w:val="57585A"/>
          <w:spacing w:val="-6"/>
          <w:sz w:val="20"/>
          <w:szCs w:val="20"/>
        </w:rPr>
        <w:t xml:space="preserve"> </w:t>
      </w:r>
      <w:r>
        <w:rPr>
          <w:color w:val="57585A"/>
          <w:spacing w:val="-11"/>
          <w:sz w:val="20"/>
          <w:szCs w:val="20"/>
        </w:rPr>
        <w:t>via the local port. The refinery is almost exclusively a processor of</w:t>
      </w:r>
      <w:r>
        <w:rPr>
          <w:color w:val="57585A"/>
          <w:spacing w:val="-25"/>
          <w:sz w:val="20"/>
          <w:szCs w:val="20"/>
        </w:rPr>
        <w:t xml:space="preserve"> </w:t>
      </w:r>
      <w:r>
        <w:rPr>
          <w:color w:val="57585A"/>
          <w:spacing w:val="-11"/>
          <w:sz w:val="20"/>
          <w:szCs w:val="20"/>
        </w:rPr>
        <w:t>Argentina's crudes, including those from</w:t>
      </w:r>
      <w:r>
        <w:rPr>
          <w:color w:val="57585A"/>
          <w:sz w:val="20"/>
          <w:szCs w:val="20"/>
        </w:rPr>
        <w:t xml:space="preserve"> </w:t>
      </w:r>
      <w:r>
        <w:rPr>
          <w:color w:val="57585A"/>
          <w:spacing w:val="-12"/>
          <w:sz w:val="20"/>
          <w:szCs w:val="20"/>
        </w:rPr>
        <w:t>Tierra del Fuego. Crude is stored at a dedicated 4.8mn bbl tank farm</w:t>
      </w:r>
      <w:r>
        <w:rPr>
          <w:color w:val="57585A"/>
          <w:spacing w:val="-13"/>
          <w:sz w:val="20"/>
          <w:szCs w:val="20"/>
        </w:rPr>
        <w:t xml:space="preserve"> on site.</w:t>
      </w:r>
    </w:p>
    <w:p w14:paraId="02668D71">
      <w:pPr>
        <w:pStyle w:val="4"/>
        <w:spacing w:line="262" w:lineRule="auto"/>
      </w:pPr>
    </w:p>
    <w:p w14:paraId="41A4C4C8">
      <w:pPr>
        <w:pStyle w:val="4"/>
        <w:spacing w:before="57" w:line="272" w:lineRule="auto"/>
        <w:ind w:left="363" w:right="383" w:firstLine="12"/>
        <w:rPr>
          <w:sz w:val="20"/>
          <w:szCs w:val="20"/>
        </w:rPr>
      </w:pPr>
      <w:r>
        <w:rPr>
          <w:b/>
          <w:bCs/>
          <w:color w:val="57585A"/>
          <w:spacing w:val="-12"/>
          <w:sz w:val="20"/>
          <w:szCs w:val="20"/>
        </w:rPr>
        <w:t xml:space="preserve">Lujan de Cuyo: </w:t>
      </w:r>
      <w:r>
        <w:rPr>
          <w:color w:val="57585A"/>
          <w:spacing w:val="-12"/>
          <w:sz w:val="20"/>
          <w:szCs w:val="20"/>
        </w:rPr>
        <w:t>Located in Mendoza Province in the foothills of</w:t>
      </w:r>
      <w:r>
        <w:rPr>
          <w:color w:val="57585A"/>
          <w:spacing w:val="-21"/>
          <w:sz w:val="20"/>
          <w:szCs w:val="20"/>
        </w:rPr>
        <w:t xml:space="preserve"> </w:t>
      </w:r>
      <w:r>
        <w:rPr>
          <w:color w:val="57585A"/>
          <w:spacing w:val="-12"/>
          <w:sz w:val="20"/>
          <w:szCs w:val="20"/>
        </w:rPr>
        <w:t>the</w:t>
      </w:r>
      <w:r>
        <w:rPr>
          <w:color w:val="57585A"/>
          <w:spacing w:val="-16"/>
          <w:sz w:val="20"/>
          <w:szCs w:val="20"/>
        </w:rPr>
        <w:t xml:space="preserve"> </w:t>
      </w:r>
      <w:r>
        <w:rPr>
          <w:color w:val="57585A"/>
          <w:spacing w:val="-12"/>
          <w:sz w:val="20"/>
          <w:szCs w:val="20"/>
        </w:rPr>
        <w:t>Andes,</w:t>
      </w:r>
      <w:r>
        <w:rPr>
          <w:color w:val="57585A"/>
          <w:spacing w:val="-16"/>
          <w:sz w:val="20"/>
          <w:szCs w:val="20"/>
        </w:rPr>
        <w:t xml:space="preserve"> </w:t>
      </w:r>
      <w:r>
        <w:rPr>
          <w:color w:val="57585A"/>
          <w:spacing w:val="-12"/>
          <w:sz w:val="20"/>
          <w:szCs w:val="20"/>
        </w:rPr>
        <w:t>YPF's Lujan de Cuyo receives cr</w:t>
      </w:r>
      <w:r>
        <w:rPr>
          <w:color w:val="57585A"/>
          <w:spacing w:val="-13"/>
          <w:sz w:val="20"/>
          <w:szCs w:val="20"/>
        </w:rPr>
        <w:t>ude from local fields and</w:t>
      </w:r>
      <w:r>
        <w:rPr>
          <w:color w:val="57585A"/>
          <w:sz w:val="20"/>
          <w:szCs w:val="20"/>
        </w:rPr>
        <w:t xml:space="preserve"> </w:t>
      </w:r>
      <w:r>
        <w:rPr>
          <w:color w:val="57585A"/>
          <w:spacing w:val="-11"/>
          <w:sz w:val="20"/>
          <w:szCs w:val="20"/>
        </w:rPr>
        <w:t>from the east coast port of Bahia Blanca by pipeline. I</w:t>
      </w:r>
      <w:r>
        <w:rPr>
          <w:color w:val="57585A"/>
          <w:spacing w:val="-12"/>
          <w:sz w:val="20"/>
          <w:szCs w:val="20"/>
        </w:rPr>
        <w:t>n October 2009,</w:t>
      </w:r>
      <w:r>
        <w:rPr>
          <w:color w:val="57585A"/>
          <w:spacing w:val="-16"/>
          <w:sz w:val="20"/>
          <w:szCs w:val="20"/>
        </w:rPr>
        <w:t xml:space="preserve"> </w:t>
      </w:r>
      <w:r>
        <w:rPr>
          <w:color w:val="57585A"/>
          <w:spacing w:val="-12"/>
          <w:sz w:val="20"/>
          <w:szCs w:val="20"/>
        </w:rPr>
        <w:t>YPF announced that it</w:t>
      </w:r>
      <w:r>
        <w:rPr>
          <w:color w:val="57585A"/>
          <w:spacing w:val="-15"/>
          <w:sz w:val="20"/>
          <w:szCs w:val="20"/>
        </w:rPr>
        <w:t xml:space="preserve"> </w:t>
      </w:r>
      <w:r>
        <w:rPr>
          <w:color w:val="57585A"/>
          <w:spacing w:val="-12"/>
          <w:sz w:val="20"/>
          <w:szCs w:val="20"/>
        </w:rPr>
        <w:t>would invest USD396mn over three</w:t>
      </w:r>
    </w:p>
    <w:p w14:paraId="5D04361F">
      <w:pPr>
        <w:pStyle w:val="4"/>
        <w:spacing w:before="42" w:line="273" w:lineRule="auto"/>
        <w:ind w:left="372" w:right="816" w:hanging="13"/>
        <w:rPr>
          <w:sz w:val="20"/>
          <w:szCs w:val="20"/>
        </w:rPr>
      </w:pPr>
      <w:r>
        <w:rPr>
          <w:color w:val="57585A"/>
          <w:spacing w:val="-10"/>
          <w:sz w:val="20"/>
          <w:szCs w:val="20"/>
        </w:rPr>
        <w:t>years to upgrade the refinery,</w:t>
      </w:r>
      <w:r>
        <w:rPr>
          <w:color w:val="57585A"/>
          <w:spacing w:val="-16"/>
          <w:sz w:val="20"/>
          <w:szCs w:val="20"/>
        </w:rPr>
        <w:t xml:space="preserve"> </w:t>
      </w:r>
      <w:r>
        <w:rPr>
          <w:color w:val="57585A"/>
          <w:spacing w:val="-10"/>
          <w:sz w:val="20"/>
          <w:szCs w:val="20"/>
        </w:rPr>
        <w:t>with much of</w:t>
      </w:r>
      <w:r>
        <w:rPr>
          <w:color w:val="57585A"/>
          <w:spacing w:val="-21"/>
          <w:sz w:val="20"/>
          <w:szCs w:val="20"/>
        </w:rPr>
        <w:t xml:space="preserve"> </w:t>
      </w:r>
      <w:r>
        <w:rPr>
          <w:color w:val="57585A"/>
          <w:spacing w:val="-10"/>
          <w:sz w:val="20"/>
          <w:szCs w:val="20"/>
        </w:rPr>
        <w:t>the investment to be directed t</w:t>
      </w:r>
      <w:r>
        <w:rPr>
          <w:color w:val="57585A"/>
          <w:spacing w:val="-11"/>
          <w:sz w:val="20"/>
          <w:szCs w:val="20"/>
        </w:rPr>
        <w:t>owards raising the quality of</w:t>
      </w:r>
      <w:r>
        <w:rPr>
          <w:color w:val="57585A"/>
          <w:spacing w:val="-21"/>
          <w:sz w:val="20"/>
          <w:szCs w:val="20"/>
        </w:rPr>
        <w:t xml:space="preserve"> </w:t>
      </w:r>
      <w:r>
        <w:rPr>
          <w:color w:val="57585A"/>
          <w:spacing w:val="-11"/>
          <w:sz w:val="20"/>
          <w:szCs w:val="20"/>
        </w:rPr>
        <w:t>the gasoline and diesel</w:t>
      </w:r>
      <w:r>
        <w:rPr>
          <w:color w:val="57585A"/>
          <w:sz w:val="20"/>
          <w:szCs w:val="20"/>
        </w:rPr>
        <w:t xml:space="preserve"> </w:t>
      </w:r>
      <w:r>
        <w:rPr>
          <w:color w:val="57585A"/>
          <w:spacing w:val="-11"/>
          <w:sz w:val="20"/>
          <w:szCs w:val="20"/>
        </w:rPr>
        <w:t>produced and improving en</w:t>
      </w:r>
      <w:r>
        <w:rPr>
          <w:color w:val="57585A"/>
          <w:spacing w:val="-12"/>
          <w:sz w:val="20"/>
          <w:szCs w:val="20"/>
        </w:rPr>
        <w:t>ergy use.</w:t>
      </w:r>
    </w:p>
    <w:p w14:paraId="0D7812E8">
      <w:pPr>
        <w:pStyle w:val="4"/>
        <w:spacing w:line="262" w:lineRule="auto"/>
      </w:pPr>
    </w:p>
    <w:p w14:paraId="1FEC430C">
      <w:pPr>
        <w:pStyle w:val="4"/>
        <w:spacing w:before="58" w:line="241" w:lineRule="auto"/>
        <w:ind w:left="368"/>
        <w:rPr>
          <w:sz w:val="20"/>
          <w:szCs w:val="20"/>
        </w:rPr>
      </w:pPr>
      <w:r>
        <w:rPr>
          <w:b/>
          <w:bCs/>
          <w:color w:val="57585A"/>
          <w:spacing w:val="-10"/>
          <w:sz w:val="20"/>
          <w:szCs w:val="20"/>
        </w:rPr>
        <w:t xml:space="preserve">General Mosconi II (Proposed): </w:t>
      </w:r>
      <w:r>
        <w:rPr>
          <w:color w:val="57585A"/>
          <w:spacing w:val="-10"/>
          <w:sz w:val="20"/>
          <w:szCs w:val="20"/>
        </w:rPr>
        <w:t>In December 2006, th</w:t>
      </w:r>
      <w:r>
        <w:rPr>
          <w:color w:val="57585A"/>
          <w:spacing w:val="-11"/>
          <w:sz w:val="20"/>
          <w:szCs w:val="20"/>
        </w:rPr>
        <w:t>e government announced that it had reached agreement</w:t>
      </w:r>
      <w:r>
        <w:rPr>
          <w:color w:val="57585A"/>
          <w:spacing w:val="-16"/>
          <w:sz w:val="20"/>
          <w:szCs w:val="20"/>
        </w:rPr>
        <w:t xml:space="preserve"> </w:t>
      </w:r>
      <w:r>
        <w:rPr>
          <w:color w:val="57585A"/>
          <w:spacing w:val="-11"/>
          <w:sz w:val="20"/>
          <w:szCs w:val="20"/>
        </w:rPr>
        <w:t>with several</w:t>
      </w:r>
    </w:p>
    <w:p w14:paraId="198CFE26">
      <w:pPr>
        <w:pStyle w:val="4"/>
        <w:spacing w:before="53" w:line="231" w:lineRule="auto"/>
        <w:ind w:left="376"/>
        <w:rPr>
          <w:sz w:val="20"/>
          <w:szCs w:val="20"/>
        </w:rPr>
      </w:pPr>
      <w:r>
        <w:rPr>
          <w:color w:val="57585A"/>
          <w:spacing w:val="-11"/>
          <w:sz w:val="20"/>
          <w:szCs w:val="20"/>
        </w:rPr>
        <w:t>IOCs to build a new 150,000b/d refinery.</w:t>
      </w:r>
      <w:r>
        <w:rPr>
          <w:color w:val="57585A"/>
          <w:spacing w:val="-16"/>
          <w:sz w:val="20"/>
          <w:szCs w:val="20"/>
        </w:rPr>
        <w:t xml:space="preserve"> </w:t>
      </w:r>
      <w:r>
        <w:rPr>
          <w:color w:val="57585A"/>
          <w:spacing w:val="-11"/>
          <w:sz w:val="20"/>
          <w:szCs w:val="20"/>
        </w:rPr>
        <w:t>According to press reports in</w:t>
      </w:r>
      <w:r>
        <w:rPr>
          <w:color w:val="57585A"/>
          <w:spacing w:val="-23"/>
          <w:sz w:val="20"/>
          <w:szCs w:val="20"/>
        </w:rPr>
        <w:t xml:space="preserve"> </w:t>
      </w:r>
      <w:r>
        <w:rPr>
          <w:color w:val="57585A"/>
          <w:spacing w:val="-11"/>
          <w:sz w:val="20"/>
          <w:szCs w:val="20"/>
        </w:rPr>
        <w:t>January 2006, the gover</w:t>
      </w:r>
      <w:r>
        <w:rPr>
          <w:color w:val="57585A"/>
          <w:spacing w:val="-12"/>
          <w:sz w:val="20"/>
          <w:szCs w:val="20"/>
        </w:rPr>
        <w:t>nment held talks</w:t>
      </w:r>
      <w:r>
        <w:rPr>
          <w:color w:val="57585A"/>
          <w:spacing w:val="-16"/>
          <w:sz w:val="20"/>
          <w:szCs w:val="20"/>
        </w:rPr>
        <w:t xml:space="preserve"> </w:t>
      </w:r>
      <w:r>
        <w:rPr>
          <w:color w:val="57585A"/>
          <w:spacing w:val="-12"/>
          <w:sz w:val="20"/>
          <w:szCs w:val="20"/>
        </w:rPr>
        <w:t>with a number of</w:t>
      </w:r>
    </w:p>
    <w:p w14:paraId="69BF5AB2">
      <w:pPr>
        <w:pStyle w:val="4"/>
        <w:spacing w:before="59" w:line="279" w:lineRule="auto"/>
        <w:ind w:left="366" w:right="417" w:firstLine="9"/>
        <w:rPr>
          <w:sz w:val="20"/>
          <w:szCs w:val="20"/>
        </w:rPr>
      </w:pPr>
      <w:r>
        <w:rPr>
          <w:color w:val="57585A"/>
          <w:spacing w:val="-11"/>
          <w:sz w:val="20"/>
          <w:szCs w:val="20"/>
        </w:rPr>
        <w:t>IOCs over construction of</w:t>
      </w:r>
      <w:r>
        <w:rPr>
          <w:color w:val="57585A"/>
          <w:spacing w:val="-21"/>
          <w:sz w:val="20"/>
          <w:szCs w:val="20"/>
        </w:rPr>
        <w:t xml:space="preserve"> </w:t>
      </w:r>
      <w:r>
        <w:rPr>
          <w:color w:val="57585A"/>
          <w:spacing w:val="-11"/>
          <w:sz w:val="20"/>
          <w:szCs w:val="20"/>
        </w:rPr>
        <w:t>the USD2.3bn diesel fuel re</w:t>
      </w:r>
      <w:r>
        <w:rPr>
          <w:color w:val="57585A"/>
          <w:spacing w:val="-12"/>
          <w:sz w:val="20"/>
          <w:szCs w:val="20"/>
        </w:rPr>
        <w:t>finery. The project, provisionally called General Mosconi II (the first plant</w:t>
      </w:r>
      <w:r>
        <w:rPr>
          <w:color w:val="57585A"/>
          <w:spacing w:val="-16"/>
          <w:sz w:val="20"/>
          <w:szCs w:val="20"/>
        </w:rPr>
        <w:t xml:space="preserve"> </w:t>
      </w:r>
      <w:r>
        <w:rPr>
          <w:color w:val="57585A"/>
          <w:spacing w:val="-12"/>
          <w:sz w:val="20"/>
          <w:szCs w:val="20"/>
        </w:rPr>
        <w:t>with</w:t>
      </w:r>
      <w:r>
        <w:rPr>
          <w:color w:val="57585A"/>
          <w:sz w:val="20"/>
          <w:szCs w:val="20"/>
        </w:rPr>
        <w:t xml:space="preserve">  </w:t>
      </w:r>
      <w:r>
        <w:rPr>
          <w:color w:val="57585A"/>
          <w:spacing w:val="-11"/>
          <w:sz w:val="20"/>
          <w:szCs w:val="20"/>
        </w:rPr>
        <w:t>such a name, Petroquimca Genera</w:t>
      </w:r>
      <w:r>
        <w:rPr>
          <w:color w:val="57585A"/>
          <w:spacing w:val="-12"/>
          <w:sz w:val="20"/>
          <w:szCs w:val="20"/>
        </w:rPr>
        <w:t>l Mosconi set up in 1970, is a petrochemicals</w:t>
      </w:r>
      <w:r>
        <w:rPr>
          <w:color w:val="57585A"/>
          <w:spacing w:val="-1"/>
          <w:sz w:val="20"/>
          <w:szCs w:val="20"/>
        </w:rPr>
        <w:t xml:space="preserve"> </w:t>
      </w:r>
      <w:r>
        <w:rPr>
          <w:color w:val="57585A"/>
          <w:spacing w:val="-12"/>
          <w:sz w:val="20"/>
          <w:szCs w:val="20"/>
        </w:rPr>
        <w:t>plant),</w:t>
      </w:r>
      <w:r>
        <w:rPr>
          <w:color w:val="57585A"/>
          <w:spacing w:val="-16"/>
          <w:sz w:val="20"/>
          <w:szCs w:val="20"/>
        </w:rPr>
        <w:t xml:space="preserve"> </w:t>
      </w:r>
      <w:r>
        <w:rPr>
          <w:color w:val="57585A"/>
          <w:spacing w:val="-12"/>
          <w:sz w:val="20"/>
          <w:szCs w:val="20"/>
        </w:rPr>
        <w:t>would</w:t>
      </w:r>
      <w:r>
        <w:rPr>
          <w:color w:val="57585A"/>
          <w:spacing w:val="-2"/>
          <w:sz w:val="20"/>
          <w:szCs w:val="20"/>
        </w:rPr>
        <w:t xml:space="preserve"> </w:t>
      </w:r>
      <w:r>
        <w:rPr>
          <w:color w:val="57585A"/>
          <w:spacing w:val="-12"/>
          <w:sz w:val="20"/>
          <w:szCs w:val="20"/>
        </w:rPr>
        <w:t>produce</w:t>
      </w:r>
      <w:r>
        <w:rPr>
          <w:color w:val="57585A"/>
          <w:spacing w:val="-2"/>
          <w:sz w:val="20"/>
          <w:szCs w:val="20"/>
        </w:rPr>
        <w:t xml:space="preserve"> </w:t>
      </w:r>
      <w:r>
        <w:rPr>
          <w:color w:val="57585A"/>
          <w:spacing w:val="-12"/>
          <w:sz w:val="20"/>
          <w:szCs w:val="20"/>
        </w:rPr>
        <w:t>refined</w:t>
      </w:r>
      <w:r>
        <w:rPr>
          <w:color w:val="57585A"/>
          <w:spacing w:val="-1"/>
          <w:sz w:val="20"/>
          <w:szCs w:val="20"/>
        </w:rPr>
        <w:t xml:space="preserve"> </w:t>
      </w:r>
      <w:r>
        <w:rPr>
          <w:color w:val="57585A"/>
          <w:spacing w:val="-12"/>
          <w:sz w:val="20"/>
          <w:szCs w:val="20"/>
        </w:rPr>
        <w:t>products for both the</w:t>
      </w:r>
      <w:r>
        <w:rPr>
          <w:color w:val="57585A"/>
          <w:sz w:val="20"/>
          <w:szCs w:val="20"/>
        </w:rPr>
        <w:t xml:space="preserve"> </w:t>
      </w:r>
      <w:r>
        <w:rPr>
          <w:color w:val="57585A"/>
          <w:spacing w:val="-10"/>
          <w:sz w:val="20"/>
          <w:szCs w:val="20"/>
        </w:rPr>
        <w:t>domestic and international market. There is, however, no</w:t>
      </w:r>
      <w:r>
        <w:rPr>
          <w:color w:val="57585A"/>
          <w:spacing w:val="-11"/>
          <w:sz w:val="20"/>
          <w:szCs w:val="20"/>
        </w:rPr>
        <w:t xml:space="preserve"> indication at this point that the project</w:t>
      </w:r>
      <w:r>
        <w:rPr>
          <w:color w:val="57585A"/>
          <w:spacing w:val="-16"/>
          <w:sz w:val="20"/>
          <w:szCs w:val="20"/>
        </w:rPr>
        <w:t xml:space="preserve"> </w:t>
      </w:r>
      <w:r>
        <w:rPr>
          <w:color w:val="57585A"/>
          <w:spacing w:val="-11"/>
          <w:sz w:val="20"/>
          <w:szCs w:val="20"/>
        </w:rPr>
        <w:t>will ever go ahead.</w:t>
      </w:r>
    </w:p>
    <w:p w14:paraId="43592B0D">
      <w:pPr>
        <w:pStyle w:val="4"/>
        <w:spacing w:line="303" w:lineRule="auto"/>
      </w:pPr>
    </w:p>
    <w:p w14:paraId="3F9B873A">
      <w:pPr>
        <w:pStyle w:val="4"/>
        <w:spacing w:line="304" w:lineRule="auto"/>
      </w:pPr>
    </w:p>
    <w:p w14:paraId="0103B0D0">
      <w:pPr>
        <w:pStyle w:val="4"/>
        <w:spacing w:before="70" w:line="324" w:lineRule="exact"/>
        <w:ind w:left="366"/>
        <w:outlineLvl w:val="2"/>
        <w:rPr>
          <w:sz w:val="24"/>
          <w:szCs w:val="24"/>
        </w:rPr>
      </w:pPr>
      <w:r>
        <w:rPr>
          <w:b/>
          <w:bCs/>
          <w:color w:val="174174"/>
          <w:spacing w:val="-10"/>
          <w:position w:val="1"/>
          <w:sz w:val="24"/>
          <w:szCs w:val="24"/>
        </w:rPr>
        <w:t>Service Stations</w:t>
      </w:r>
    </w:p>
    <w:p w14:paraId="3150E3E2">
      <w:pPr>
        <w:pStyle w:val="4"/>
        <w:spacing w:line="301" w:lineRule="auto"/>
      </w:pPr>
    </w:p>
    <w:p w14:paraId="6823D1E5">
      <w:pPr>
        <w:pStyle w:val="4"/>
        <w:spacing w:before="58" w:line="274" w:lineRule="auto"/>
        <w:ind w:left="369" w:right="795" w:firstLine="6"/>
        <w:rPr>
          <w:sz w:val="20"/>
          <w:szCs w:val="20"/>
        </w:rPr>
      </w:pPr>
      <w:r>
        <w:rPr>
          <w:color w:val="57585A"/>
          <w:spacing w:val="-11"/>
          <w:sz w:val="20"/>
          <w:szCs w:val="20"/>
        </w:rPr>
        <w:t>Four major players, led by</w:t>
      </w:r>
      <w:r>
        <w:rPr>
          <w:color w:val="57585A"/>
          <w:spacing w:val="-16"/>
          <w:sz w:val="20"/>
          <w:szCs w:val="20"/>
        </w:rPr>
        <w:t xml:space="preserve"> </w:t>
      </w:r>
      <w:r>
        <w:rPr>
          <w:color w:val="57585A"/>
          <w:spacing w:val="-11"/>
          <w:sz w:val="20"/>
          <w:szCs w:val="20"/>
        </w:rPr>
        <w:t>YPF along</w:t>
      </w:r>
      <w:r>
        <w:rPr>
          <w:color w:val="57585A"/>
          <w:spacing w:val="-15"/>
          <w:sz w:val="20"/>
          <w:szCs w:val="20"/>
        </w:rPr>
        <w:t xml:space="preserve"> </w:t>
      </w:r>
      <w:r>
        <w:rPr>
          <w:color w:val="57585A"/>
          <w:spacing w:val="-11"/>
          <w:sz w:val="20"/>
          <w:szCs w:val="20"/>
        </w:rPr>
        <w:t>with</w:t>
      </w:r>
      <w:r>
        <w:rPr>
          <w:color w:val="57585A"/>
          <w:spacing w:val="-16"/>
          <w:sz w:val="20"/>
          <w:szCs w:val="20"/>
        </w:rPr>
        <w:t xml:space="preserve"> </w:t>
      </w:r>
      <w:r>
        <w:rPr>
          <w:color w:val="57585A"/>
          <w:spacing w:val="-11"/>
          <w:sz w:val="20"/>
          <w:szCs w:val="20"/>
        </w:rPr>
        <w:t>Axio</w:t>
      </w:r>
      <w:r>
        <w:rPr>
          <w:color w:val="57585A"/>
          <w:spacing w:val="-12"/>
          <w:sz w:val="20"/>
          <w:szCs w:val="20"/>
        </w:rPr>
        <w:t>n, Shell and Trafigura, control the majority of</w:t>
      </w:r>
      <w:r>
        <w:rPr>
          <w:color w:val="57585A"/>
          <w:spacing w:val="-21"/>
          <w:sz w:val="20"/>
          <w:szCs w:val="20"/>
        </w:rPr>
        <w:t xml:space="preserve"> </w:t>
      </w:r>
      <w:r>
        <w:rPr>
          <w:color w:val="57585A"/>
          <w:spacing w:val="-12"/>
          <w:sz w:val="20"/>
          <w:szCs w:val="20"/>
        </w:rPr>
        <w:t>the fuels distribution network,</w:t>
      </w:r>
      <w:r>
        <w:rPr>
          <w:color w:val="57585A"/>
          <w:spacing w:val="-16"/>
          <w:sz w:val="20"/>
          <w:szCs w:val="20"/>
        </w:rPr>
        <w:t xml:space="preserve"> </w:t>
      </w:r>
      <w:r>
        <w:rPr>
          <w:color w:val="57585A"/>
          <w:spacing w:val="-12"/>
          <w:sz w:val="20"/>
          <w:szCs w:val="20"/>
        </w:rPr>
        <w:t>with a</w:t>
      </w:r>
      <w:r>
        <w:rPr>
          <w:color w:val="57585A"/>
          <w:sz w:val="20"/>
          <w:szCs w:val="20"/>
        </w:rPr>
        <w:t xml:space="preserve"> </w:t>
      </w:r>
      <w:r>
        <w:rPr>
          <w:color w:val="57585A"/>
          <w:spacing w:val="-11"/>
          <w:sz w:val="20"/>
          <w:szCs w:val="20"/>
        </w:rPr>
        <w:t>combined market share of</w:t>
      </w:r>
      <w:r>
        <w:rPr>
          <w:color w:val="57585A"/>
          <w:spacing w:val="-15"/>
          <w:sz w:val="20"/>
          <w:szCs w:val="20"/>
        </w:rPr>
        <w:t xml:space="preserve"> </w:t>
      </w:r>
      <w:r>
        <w:rPr>
          <w:color w:val="57585A"/>
          <w:spacing w:val="-11"/>
          <w:sz w:val="20"/>
          <w:szCs w:val="20"/>
        </w:rPr>
        <w:t>over 67% and more than 3,000 retail stations.</w:t>
      </w:r>
      <w:r>
        <w:rPr>
          <w:color w:val="57585A"/>
          <w:spacing w:val="-15"/>
          <w:sz w:val="20"/>
          <w:szCs w:val="20"/>
        </w:rPr>
        <w:t xml:space="preserve"> </w:t>
      </w:r>
      <w:r>
        <w:rPr>
          <w:color w:val="57585A"/>
          <w:spacing w:val="-11"/>
          <w:sz w:val="20"/>
          <w:szCs w:val="20"/>
        </w:rPr>
        <w:t xml:space="preserve">YPF </w:t>
      </w:r>
      <w:r>
        <w:rPr>
          <w:color w:val="57585A"/>
          <w:spacing w:val="-12"/>
          <w:sz w:val="20"/>
          <w:szCs w:val="20"/>
        </w:rPr>
        <w:t>operates over one third of</w:t>
      </w:r>
      <w:r>
        <w:rPr>
          <w:color w:val="57585A"/>
          <w:spacing w:val="-22"/>
          <w:sz w:val="20"/>
          <w:szCs w:val="20"/>
        </w:rPr>
        <w:t xml:space="preserve"> </w:t>
      </w:r>
      <w:r>
        <w:rPr>
          <w:color w:val="57585A"/>
          <w:spacing w:val="-12"/>
          <w:sz w:val="20"/>
          <w:szCs w:val="20"/>
        </w:rPr>
        <w:t>the market.</w:t>
      </w:r>
    </w:p>
    <w:p w14:paraId="4CE8DDA3">
      <w:pPr>
        <w:pStyle w:val="4"/>
        <w:spacing w:line="302" w:lineRule="auto"/>
      </w:pPr>
    </w:p>
    <w:p w14:paraId="1596167D">
      <w:pPr>
        <w:pStyle w:val="4"/>
        <w:spacing w:line="302" w:lineRule="auto"/>
      </w:pPr>
    </w:p>
    <w:p w14:paraId="3733BCC5">
      <w:pPr>
        <w:pStyle w:val="4"/>
        <w:spacing w:before="70" w:line="324" w:lineRule="exact"/>
        <w:ind w:left="370"/>
        <w:outlineLvl w:val="2"/>
        <w:rPr>
          <w:sz w:val="24"/>
          <w:szCs w:val="24"/>
        </w:rPr>
      </w:pPr>
      <w:r>
        <w:rPr>
          <w:b/>
          <w:bCs/>
          <w:color w:val="174174"/>
          <w:spacing w:val="-6"/>
          <w:position w:val="1"/>
          <w:sz w:val="24"/>
          <w:szCs w:val="24"/>
        </w:rPr>
        <w:t>Oil</w:t>
      </w:r>
      <w:r>
        <w:rPr>
          <w:b/>
          <w:bCs/>
          <w:color w:val="174174"/>
          <w:spacing w:val="-16"/>
          <w:position w:val="1"/>
          <w:sz w:val="24"/>
          <w:szCs w:val="24"/>
        </w:rPr>
        <w:t xml:space="preserve"> </w:t>
      </w:r>
      <w:r>
        <w:rPr>
          <w:b/>
          <w:bCs/>
          <w:color w:val="174174"/>
          <w:spacing w:val="-6"/>
          <w:position w:val="1"/>
          <w:sz w:val="24"/>
          <w:szCs w:val="24"/>
        </w:rPr>
        <w:t>Terminals/Ports</w:t>
      </w:r>
    </w:p>
    <w:p w14:paraId="5A99871F">
      <w:pPr>
        <w:pStyle w:val="4"/>
        <w:spacing w:line="301" w:lineRule="auto"/>
      </w:pPr>
    </w:p>
    <w:p w14:paraId="7038C9BC">
      <w:pPr>
        <w:pStyle w:val="4"/>
        <w:spacing w:before="58" w:line="231" w:lineRule="auto"/>
        <w:ind w:left="359"/>
        <w:rPr>
          <w:sz w:val="20"/>
          <w:szCs w:val="20"/>
        </w:rPr>
      </w:pPr>
      <w:r>
        <w:rPr>
          <w:color w:val="57585A"/>
          <w:spacing w:val="-11"/>
          <w:sz w:val="20"/>
          <w:szCs w:val="20"/>
        </w:rPr>
        <w:t>Argentina has 15 oil terminals, around half of</w:t>
      </w:r>
      <w:r>
        <w:rPr>
          <w:color w:val="57585A"/>
          <w:spacing w:val="-25"/>
          <w:sz w:val="20"/>
          <w:szCs w:val="20"/>
        </w:rPr>
        <w:t xml:space="preserve"> </w:t>
      </w:r>
      <w:r>
        <w:rPr>
          <w:color w:val="57585A"/>
          <w:spacing w:val="-11"/>
          <w:sz w:val="20"/>
          <w:szCs w:val="20"/>
        </w:rPr>
        <w:t>which are clustered around Buenos</w:t>
      </w:r>
      <w:r>
        <w:rPr>
          <w:color w:val="57585A"/>
          <w:spacing w:val="-15"/>
          <w:sz w:val="20"/>
          <w:szCs w:val="20"/>
        </w:rPr>
        <w:t xml:space="preserve"> </w:t>
      </w:r>
      <w:r>
        <w:rPr>
          <w:color w:val="57585A"/>
          <w:spacing w:val="-11"/>
          <w:sz w:val="20"/>
          <w:szCs w:val="20"/>
        </w:rPr>
        <w:t>Aires and its riverine hint</w:t>
      </w:r>
      <w:r>
        <w:rPr>
          <w:color w:val="57585A"/>
          <w:spacing w:val="-12"/>
          <w:sz w:val="20"/>
          <w:szCs w:val="20"/>
        </w:rPr>
        <w:t>erland.</w:t>
      </w:r>
    </w:p>
    <w:p w14:paraId="6902A6CA">
      <w:pPr>
        <w:pStyle w:val="4"/>
        <w:spacing w:line="342" w:lineRule="auto"/>
      </w:pPr>
    </w:p>
    <w:p w14:paraId="3CA0D31B">
      <w:pPr>
        <w:pStyle w:val="4"/>
        <w:spacing w:line="342" w:lineRule="auto"/>
      </w:pPr>
    </w:p>
    <w:p w14:paraId="10D99AD4">
      <w:pPr>
        <w:pStyle w:val="4"/>
        <w:spacing w:before="70" w:line="184" w:lineRule="auto"/>
        <w:ind w:left="370"/>
        <w:outlineLvl w:val="2"/>
        <w:rPr>
          <w:sz w:val="24"/>
          <w:szCs w:val="24"/>
        </w:rPr>
      </w:pPr>
      <w:r>
        <w:rPr>
          <w:b/>
          <w:bCs/>
          <w:color w:val="174174"/>
          <w:spacing w:val="-10"/>
          <w:sz w:val="24"/>
          <w:szCs w:val="24"/>
        </w:rPr>
        <w:t>Oil Pipelines</w:t>
      </w:r>
    </w:p>
    <w:p w14:paraId="57307D01">
      <w:pPr>
        <w:pStyle w:val="4"/>
        <w:spacing w:line="357" w:lineRule="auto"/>
      </w:pPr>
    </w:p>
    <w:p w14:paraId="018BEF76">
      <w:pPr>
        <w:pStyle w:val="4"/>
        <w:spacing w:before="58" w:line="274" w:lineRule="auto"/>
        <w:ind w:left="375" w:right="492" w:hanging="16"/>
        <w:rPr>
          <w:sz w:val="20"/>
          <w:szCs w:val="20"/>
        </w:rPr>
      </w:pPr>
      <w:r>
        <w:rPr>
          <w:color w:val="57585A"/>
          <w:spacing w:val="-11"/>
          <w:sz w:val="20"/>
          <w:szCs w:val="20"/>
        </w:rPr>
        <w:t>Argentina has three main oil pipelines (Nueba I, Nueba II and San Martin),</w:t>
      </w:r>
      <w:r>
        <w:rPr>
          <w:color w:val="57585A"/>
          <w:spacing w:val="-15"/>
          <w:sz w:val="20"/>
          <w:szCs w:val="20"/>
        </w:rPr>
        <w:t xml:space="preserve"> </w:t>
      </w:r>
      <w:r>
        <w:rPr>
          <w:color w:val="57585A"/>
          <w:spacing w:val="-11"/>
          <w:sz w:val="20"/>
          <w:szCs w:val="20"/>
        </w:rPr>
        <w:t>which together indirectly</w:t>
      </w:r>
      <w:r>
        <w:rPr>
          <w:color w:val="57585A"/>
          <w:spacing w:val="-2"/>
          <w:sz w:val="20"/>
          <w:szCs w:val="20"/>
        </w:rPr>
        <w:t xml:space="preserve"> </w:t>
      </w:r>
      <w:r>
        <w:rPr>
          <w:color w:val="57585A"/>
          <w:spacing w:val="-11"/>
          <w:sz w:val="20"/>
          <w:szCs w:val="20"/>
        </w:rPr>
        <w:t>l</w:t>
      </w:r>
      <w:r>
        <w:rPr>
          <w:color w:val="57585A"/>
          <w:spacing w:val="-12"/>
          <w:sz w:val="20"/>
          <w:szCs w:val="20"/>
        </w:rPr>
        <w:t>ink the oil export terminal at La</w:t>
      </w:r>
      <w:r>
        <w:rPr>
          <w:color w:val="57585A"/>
          <w:sz w:val="20"/>
          <w:szCs w:val="20"/>
        </w:rPr>
        <w:t xml:space="preserve"> </w:t>
      </w:r>
      <w:r>
        <w:rPr>
          <w:color w:val="57585A"/>
          <w:spacing w:val="-11"/>
          <w:sz w:val="20"/>
          <w:szCs w:val="20"/>
        </w:rPr>
        <w:t>Plata on the east coast</w:t>
      </w:r>
      <w:r>
        <w:rPr>
          <w:color w:val="57585A"/>
          <w:spacing w:val="-15"/>
          <w:sz w:val="20"/>
          <w:szCs w:val="20"/>
        </w:rPr>
        <w:t xml:space="preserve"> </w:t>
      </w:r>
      <w:r>
        <w:rPr>
          <w:color w:val="57585A"/>
          <w:spacing w:val="-11"/>
          <w:sz w:val="20"/>
          <w:szCs w:val="20"/>
        </w:rPr>
        <w:t>with the San</w:t>
      </w:r>
      <w:r>
        <w:rPr>
          <w:color w:val="57585A"/>
          <w:spacing w:val="-15"/>
          <w:sz w:val="20"/>
          <w:szCs w:val="20"/>
        </w:rPr>
        <w:t xml:space="preserve"> </w:t>
      </w:r>
      <w:r>
        <w:rPr>
          <w:color w:val="57585A"/>
          <w:spacing w:val="-11"/>
          <w:sz w:val="20"/>
          <w:szCs w:val="20"/>
        </w:rPr>
        <w:t>Vincente oil terminal on Chile's</w:t>
      </w:r>
      <w:r>
        <w:rPr>
          <w:color w:val="57585A"/>
          <w:spacing w:val="-15"/>
          <w:sz w:val="20"/>
          <w:szCs w:val="20"/>
        </w:rPr>
        <w:t xml:space="preserve"> </w:t>
      </w:r>
      <w:r>
        <w:rPr>
          <w:color w:val="57585A"/>
          <w:spacing w:val="-11"/>
          <w:sz w:val="20"/>
          <w:szCs w:val="20"/>
        </w:rPr>
        <w:t>west coast.</w:t>
      </w:r>
      <w:r>
        <w:rPr>
          <w:color w:val="57585A"/>
          <w:spacing w:val="-15"/>
          <w:sz w:val="20"/>
          <w:szCs w:val="20"/>
        </w:rPr>
        <w:t xml:space="preserve"> </w:t>
      </w:r>
      <w:r>
        <w:rPr>
          <w:color w:val="57585A"/>
          <w:spacing w:val="-11"/>
          <w:sz w:val="20"/>
          <w:szCs w:val="20"/>
        </w:rPr>
        <w:t>Two of</w:t>
      </w:r>
      <w:r>
        <w:rPr>
          <w:color w:val="57585A"/>
          <w:spacing w:val="-21"/>
          <w:sz w:val="20"/>
          <w:szCs w:val="20"/>
        </w:rPr>
        <w:t xml:space="preserve"> </w:t>
      </w:r>
      <w:r>
        <w:rPr>
          <w:color w:val="57585A"/>
          <w:spacing w:val="-11"/>
          <w:sz w:val="20"/>
          <w:szCs w:val="20"/>
        </w:rPr>
        <w:t xml:space="preserve">the </w:t>
      </w:r>
      <w:r>
        <w:rPr>
          <w:color w:val="57585A"/>
          <w:spacing w:val="-12"/>
          <w:sz w:val="20"/>
          <w:szCs w:val="20"/>
        </w:rPr>
        <w:t>pipelines are domestic and link the</w:t>
      </w:r>
    </w:p>
    <w:p w14:paraId="41EA6603">
      <w:pPr>
        <w:pStyle w:val="4"/>
        <w:spacing w:before="34" w:line="273" w:lineRule="auto"/>
        <w:ind w:left="373" w:right="1010"/>
        <w:rPr>
          <w:sz w:val="20"/>
          <w:szCs w:val="20"/>
        </w:rPr>
      </w:pPr>
      <w:r>
        <w:rPr>
          <w:color w:val="57585A"/>
          <w:spacing w:val="-12"/>
          <w:sz w:val="20"/>
          <w:szCs w:val="20"/>
        </w:rPr>
        <w:t>market's major Neuquén Basin oil producing region</w:t>
      </w:r>
      <w:r>
        <w:rPr>
          <w:color w:val="57585A"/>
          <w:spacing w:val="-16"/>
          <w:sz w:val="20"/>
          <w:szCs w:val="20"/>
        </w:rPr>
        <w:t xml:space="preserve"> </w:t>
      </w:r>
      <w:r>
        <w:rPr>
          <w:color w:val="57585A"/>
          <w:spacing w:val="-12"/>
          <w:sz w:val="20"/>
          <w:szCs w:val="20"/>
        </w:rPr>
        <w:t>with the refineries at Plaza</w:t>
      </w:r>
      <w:r>
        <w:rPr>
          <w:color w:val="57585A"/>
          <w:spacing w:val="1"/>
          <w:sz w:val="20"/>
          <w:szCs w:val="20"/>
        </w:rPr>
        <w:t xml:space="preserve"> </w:t>
      </w:r>
      <w:r>
        <w:rPr>
          <w:color w:val="57585A"/>
          <w:spacing w:val="-12"/>
          <w:sz w:val="20"/>
          <w:szCs w:val="20"/>
        </w:rPr>
        <w:t>Huincul and</w:t>
      </w:r>
      <w:r>
        <w:rPr>
          <w:color w:val="57585A"/>
          <w:sz w:val="20"/>
          <w:szCs w:val="20"/>
        </w:rPr>
        <w:t xml:space="preserve"> </w:t>
      </w:r>
      <w:r>
        <w:rPr>
          <w:color w:val="57585A"/>
          <w:spacing w:val="-12"/>
          <w:sz w:val="20"/>
          <w:szCs w:val="20"/>
        </w:rPr>
        <w:t>Lujan de</w:t>
      </w:r>
      <w:r>
        <w:rPr>
          <w:color w:val="57585A"/>
          <w:spacing w:val="-5"/>
          <w:sz w:val="20"/>
          <w:szCs w:val="20"/>
        </w:rPr>
        <w:t xml:space="preserve"> </w:t>
      </w:r>
      <w:r>
        <w:rPr>
          <w:color w:val="57585A"/>
          <w:spacing w:val="-12"/>
          <w:sz w:val="20"/>
          <w:szCs w:val="20"/>
        </w:rPr>
        <w:t>Cuyo. To t</w:t>
      </w:r>
      <w:r>
        <w:rPr>
          <w:color w:val="57585A"/>
          <w:spacing w:val="-13"/>
          <w:sz w:val="20"/>
          <w:szCs w:val="20"/>
        </w:rPr>
        <w:t>he east, both</w:t>
      </w:r>
      <w:r>
        <w:rPr>
          <w:color w:val="57585A"/>
          <w:sz w:val="20"/>
          <w:szCs w:val="20"/>
        </w:rPr>
        <w:t xml:space="preserve"> </w:t>
      </w:r>
      <w:r>
        <w:rPr>
          <w:color w:val="57585A"/>
          <w:spacing w:val="-11"/>
          <w:sz w:val="20"/>
          <w:szCs w:val="20"/>
        </w:rPr>
        <w:t>pipelines connect to</w:t>
      </w:r>
      <w:r>
        <w:rPr>
          <w:color w:val="57585A"/>
          <w:spacing w:val="-13"/>
          <w:sz w:val="20"/>
          <w:szCs w:val="20"/>
        </w:rPr>
        <w:t xml:space="preserve"> </w:t>
      </w:r>
      <w:r>
        <w:rPr>
          <w:color w:val="57585A"/>
          <w:spacing w:val="-11"/>
          <w:sz w:val="20"/>
          <w:szCs w:val="20"/>
        </w:rPr>
        <w:t>the oil</w:t>
      </w:r>
      <w:r>
        <w:rPr>
          <w:color w:val="57585A"/>
          <w:spacing w:val="-13"/>
          <w:sz w:val="20"/>
          <w:szCs w:val="20"/>
        </w:rPr>
        <w:t xml:space="preserve"> </w:t>
      </w:r>
      <w:r>
        <w:rPr>
          <w:color w:val="57585A"/>
          <w:spacing w:val="-11"/>
          <w:sz w:val="20"/>
          <w:szCs w:val="20"/>
        </w:rPr>
        <w:t>terminal and refinery at Bahía Blanca.</w:t>
      </w:r>
    </w:p>
    <w:p w14:paraId="1820A6FC">
      <w:pPr>
        <w:pStyle w:val="4"/>
        <w:spacing w:line="266" w:lineRule="auto"/>
      </w:pPr>
    </w:p>
    <w:p w14:paraId="699F50B3">
      <w:pPr>
        <w:pStyle w:val="4"/>
        <w:spacing w:before="58" w:line="280" w:lineRule="auto"/>
        <w:ind w:left="366" w:right="525" w:hanging="7"/>
        <w:jc w:val="both"/>
        <w:rPr>
          <w:sz w:val="20"/>
          <w:szCs w:val="20"/>
        </w:rPr>
      </w:pPr>
      <w:r>
        <w:rPr>
          <w:color w:val="57585A"/>
          <w:spacing w:val="-11"/>
          <w:sz w:val="20"/>
          <w:szCs w:val="20"/>
        </w:rPr>
        <w:t>A single pipeline runs north from the terminal to the La Plata oil terminal near Buenos</w:t>
      </w:r>
      <w:r>
        <w:rPr>
          <w:color w:val="57585A"/>
          <w:spacing w:val="-15"/>
          <w:sz w:val="20"/>
          <w:szCs w:val="20"/>
        </w:rPr>
        <w:t xml:space="preserve"> </w:t>
      </w:r>
      <w:r>
        <w:rPr>
          <w:color w:val="57585A"/>
          <w:spacing w:val="-11"/>
          <w:sz w:val="20"/>
          <w:szCs w:val="20"/>
        </w:rPr>
        <w:t xml:space="preserve">Aires, before doubling back to </w:t>
      </w:r>
      <w:r>
        <w:rPr>
          <w:color w:val="57585A"/>
          <w:spacing w:val="-12"/>
          <w:sz w:val="20"/>
          <w:szCs w:val="20"/>
        </w:rPr>
        <w:t>the Lomas de</w:t>
      </w:r>
      <w:r>
        <w:rPr>
          <w:color w:val="57585A"/>
          <w:sz w:val="20"/>
          <w:szCs w:val="20"/>
        </w:rPr>
        <w:t xml:space="preserve"> </w:t>
      </w:r>
      <w:r>
        <w:rPr>
          <w:color w:val="57585A"/>
          <w:spacing w:val="-11"/>
          <w:sz w:val="20"/>
          <w:szCs w:val="20"/>
        </w:rPr>
        <w:t>Zamora mini-refinery. The market's one international link is the 431km Transandino oil pipeline. The pipeline,</w:t>
      </w:r>
      <w:r>
        <w:rPr>
          <w:color w:val="57585A"/>
          <w:spacing w:val="-15"/>
          <w:sz w:val="20"/>
          <w:szCs w:val="20"/>
        </w:rPr>
        <w:t xml:space="preserve"> </w:t>
      </w:r>
      <w:r>
        <w:rPr>
          <w:color w:val="57585A"/>
          <w:spacing w:val="-11"/>
          <w:sz w:val="20"/>
          <w:szCs w:val="20"/>
        </w:rPr>
        <w:t>which</w:t>
      </w:r>
      <w:r>
        <w:rPr>
          <w:color w:val="57585A"/>
          <w:spacing w:val="-12"/>
          <w:sz w:val="20"/>
          <w:szCs w:val="20"/>
        </w:rPr>
        <w:t xml:space="preserve"> can transport</w:t>
      </w:r>
      <w:r>
        <w:rPr>
          <w:color w:val="57585A"/>
          <w:sz w:val="20"/>
          <w:szCs w:val="20"/>
        </w:rPr>
        <w:t xml:space="preserve"> </w:t>
      </w:r>
      <w:r>
        <w:rPr>
          <w:color w:val="57585A"/>
          <w:spacing w:val="-11"/>
          <w:sz w:val="20"/>
          <w:szCs w:val="20"/>
        </w:rPr>
        <w:t>115,000b/d, links the Neuquén Basin</w:t>
      </w:r>
      <w:r>
        <w:rPr>
          <w:color w:val="57585A"/>
          <w:spacing w:val="-9"/>
          <w:sz w:val="20"/>
          <w:szCs w:val="20"/>
        </w:rPr>
        <w:t xml:space="preserve"> </w:t>
      </w:r>
      <w:r>
        <w:rPr>
          <w:color w:val="57585A"/>
          <w:spacing w:val="-11"/>
          <w:sz w:val="20"/>
          <w:szCs w:val="20"/>
        </w:rPr>
        <w:t>with San Vincente.</w:t>
      </w:r>
    </w:p>
    <w:p w14:paraId="7817D173">
      <w:pPr>
        <w:pStyle w:val="4"/>
        <w:spacing w:line="263" w:lineRule="auto"/>
      </w:pPr>
    </w:p>
    <w:p w14:paraId="747E403D">
      <w:pPr>
        <w:pStyle w:val="4"/>
        <w:spacing w:before="58" w:line="273" w:lineRule="auto"/>
        <w:ind w:left="363" w:right="455" w:firstLine="6"/>
        <w:rPr>
          <w:sz w:val="20"/>
          <w:szCs w:val="20"/>
        </w:rPr>
      </w:pPr>
      <w:r>
        <w:rPr>
          <w:color w:val="57585A"/>
          <w:spacing w:val="-10"/>
          <w:sz w:val="20"/>
          <w:szCs w:val="20"/>
        </w:rPr>
        <w:t>Contrary to the natural</w:t>
      </w:r>
      <w:r>
        <w:rPr>
          <w:color w:val="57585A"/>
          <w:spacing w:val="-11"/>
          <w:sz w:val="20"/>
          <w:szCs w:val="20"/>
        </w:rPr>
        <w:t xml:space="preserve"> gas market,</w:t>
      </w:r>
      <w:r>
        <w:rPr>
          <w:color w:val="57585A"/>
          <w:spacing w:val="-16"/>
          <w:sz w:val="20"/>
          <w:szCs w:val="20"/>
        </w:rPr>
        <w:t xml:space="preserve"> </w:t>
      </w:r>
      <w:r>
        <w:rPr>
          <w:color w:val="57585A"/>
          <w:spacing w:val="-11"/>
          <w:sz w:val="20"/>
          <w:szCs w:val="20"/>
        </w:rPr>
        <w:t>where growth is somehow hindered by the lack of midstream infrastructure, the market's crude</w:t>
      </w:r>
      <w:r>
        <w:rPr>
          <w:color w:val="57585A"/>
          <w:sz w:val="20"/>
          <w:szCs w:val="20"/>
        </w:rPr>
        <w:t xml:space="preserve"> </w:t>
      </w:r>
      <w:r>
        <w:rPr>
          <w:color w:val="57585A"/>
          <w:spacing w:val="-11"/>
          <w:sz w:val="20"/>
          <w:szCs w:val="20"/>
        </w:rPr>
        <w:t>transportation network has recently been expanded, increasing the transportation</w:t>
      </w:r>
      <w:r>
        <w:rPr>
          <w:color w:val="57585A"/>
          <w:spacing w:val="-12"/>
          <w:sz w:val="20"/>
          <w:szCs w:val="20"/>
        </w:rPr>
        <w:t xml:space="preserve"> capacity from Neuquén Basin. In May, a new</w:t>
      </w:r>
    </w:p>
    <w:p w14:paraId="35903A2C">
      <w:pPr>
        <w:pStyle w:val="4"/>
        <w:spacing w:before="37" w:line="273" w:lineRule="auto"/>
        <w:ind w:left="372" w:right="500" w:hanging="3"/>
        <w:rPr>
          <w:sz w:val="20"/>
          <w:szCs w:val="20"/>
        </w:rPr>
      </w:pPr>
      <w:r>
        <w:rPr>
          <w:color w:val="57585A"/>
          <w:spacing w:val="-10"/>
          <w:sz w:val="20"/>
          <w:szCs w:val="20"/>
        </w:rPr>
        <w:t>88km long oil pipeline started operation, connecting major fields in</w:t>
      </w:r>
      <w:r>
        <w:rPr>
          <w:color w:val="57585A"/>
          <w:spacing w:val="-16"/>
          <w:sz w:val="20"/>
          <w:szCs w:val="20"/>
        </w:rPr>
        <w:t xml:space="preserve"> </w:t>
      </w:r>
      <w:r>
        <w:rPr>
          <w:color w:val="57585A"/>
          <w:spacing w:val="-10"/>
          <w:sz w:val="20"/>
          <w:szCs w:val="20"/>
        </w:rPr>
        <w:t>Añelo region to the existing oil transportation system op</w:t>
      </w:r>
      <w:r>
        <w:rPr>
          <w:color w:val="57585A"/>
          <w:spacing w:val="-11"/>
          <w:sz w:val="20"/>
          <w:szCs w:val="20"/>
        </w:rPr>
        <w:t>erated</w:t>
      </w:r>
      <w:r>
        <w:rPr>
          <w:color w:val="57585A"/>
          <w:sz w:val="20"/>
          <w:szCs w:val="20"/>
        </w:rPr>
        <w:t xml:space="preserve"> </w:t>
      </w:r>
      <w:r>
        <w:rPr>
          <w:color w:val="57585A"/>
          <w:spacing w:val="-10"/>
          <w:sz w:val="20"/>
          <w:szCs w:val="20"/>
        </w:rPr>
        <w:t>by Oldelval. With this infrastructure addition, producers in Neuquén are</w:t>
      </w:r>
      <w:r>
        <w:rPr>
          <w:color w:val="57585A"/>
          <w:spacing w:val="-11"/>
          <w:sz w:val="20"/>
          <w:szCs w:val="20"/>
        </w:rPr>
        <w:t xml:space="preserve"> able to transport oil to the exporting</w:t>
      </w:r>
      <w:r>
        <w:rPr>
          <w:color w:val="57585A"/>
          <w:spacing w:val="-12"/>
          <w:sz w:val="20"/>
          <w:szCs w:val="20"/>
        </w:rPr>
        <w:t xml:space="preserve"> </w:t>
      </w:r>
      <w:r>
        <w:rPr>
          <w:color w:val="57585A"/>
          <w:spacing w:val="-11"/>
          <w:sz w:val="20"/>
          <w:szCs w:val="20"/>
        </w:rPr>
        <w:t>terminal in Puerto</w:t>
      </w:r>
    </w:p>
    <w:p w14:paraId="31490EC0">
      <w:pPr>
        <w:pStyle w:val="4"/>
        <w:spacing w:before="37" w:line="231" w:lineRule="auto"/>
        <w:ind w:left="376"/>
        <w:rPr>
          <w:sz w:val="20"/>
          <w:szCs w:val="20"/>
        </w:rPr>
      </w:pPr>
      <w:r>
        <w:rPr>
          <w:color w:val="57585A"/>
          <w:spacing w:val="-13"/>
          <w:sz w:val="20"/>
          <w:szCs w:val="20"/>
        </w:rPr>
        <w:t>Rosales, and</w:t>
      </w:r>
      <w:r>
        <w:rPr>
          <w:color w:val="57585A"/>
          <w:spacing w:val="-12"/>
          <w:sz w:val="20"/>
          <w:szCs w:val="20"/>
        </w:rPr>
        <w:t xml:space="preserve"> </w:t>
      </w:r>
      <w:r>
        <w:rPr>
          <w:color w:val="57585A"/>
          <w:spacing w:val="-13"/>
          <w:sz w:val="20"/>
          <w:szCs w:val="20"/>
        </w:rPr>
        <w:t>three refineries in Luján de Cujo, La Plata and</w:t>
      </w:r>
      <w:r>
        <w:rPr>
          <w:color w:val="57585A"/>
          <w:sz w:val="20"/>
          <w:szCs w:val="20"/>
        </w:rPr>
        <w:t xml:space="preserve"> </w:t>
      </w:r>
      <w:r>
        <w:rPr>
          <w:color w:val="57585A"/>
          <w:spacing w:val="-13"/>
          <w:sz w:val="20"/>
          <w:szCs w:val="20"/>
        </w:rPr>
        <w:t>Plaza</w:t>
      </w:r>
      <w:r>
        <w:rPr>
          <w:color w:val="57585A"/>
          <w:spacing w:val="1"/>
          <w:sz w:val="20"/>
          <w:szCs w:val="20"/>
        </w:rPr>
        <w:t xml:space="preserve"> </w:t>
      </w:r>
      <w:r>
        <w:rPr>
          <w:color w:val="57585A"/>
          <w:spacing w:val="-13"/>
          <w:sz w:val="20"/>
          <w:szCs w:val="20"/>
        </w:rPr>
        <w:t>Huincul. The NOC</w:t>
      </w:r>
      <w:r>
        <w:rPr>
          <w:color w:val="57585A"/>
          <w:spacing w:val="-4"/>
          <w:sz w:val="20"/>
          <w:szCs w:val="20"/>
        </w:rPr>
        <w:t xml:space="preserve"> </w:t>
      </w:r>
      <w:r>
        <w:rPr>
          <w:color w:val="57585A"/>
          <w:spacing w:val="-13"/>
          <w:sz w:val="20"/>
          <w:szCs w:val="20"/>
        </w:rPr>
        <w:t>intends to continue the ex</w:t>
      </w:r>
      <w:r>
        <w:rPr>
          <w:color w:val="57585A"/>
          <w:spacing w:val="-14"/>
          <w:sz w:val="20"/>
          <w:szCs w:val="20"/>
        </w:rPr>
        <w:t>pansion of</w:t>
      </w:r>
      <w:r>
        <w:rPr>
          <w:color w:val="57585A"/>
          <w:spacing w:val="-21"/>
          <w:sz w:val="20"/>
          <w:szCs w:val="20"/>
        </w:rPr>
        <w:t xml:space="preserve"> </w:t>
      </w:r>
      <w:r>
        <w:rPr>
          <w:color w:val="57585A"/>
          <w:spacing w:val="-14"/>
          <w:sz w:val="20"/>
          <w:szCs w:val="20"/>
        </w:rPr>
        <w:t>the</w:t>
      </w:r>
    </w:p>
    <w:p w14:paraId="5697D29C">
      <w:pPr>
        <w:pStyle w:val="4"/>
        <w:spacing w:before="58" w:line="231" w:lineRule="auto"/>
        <w:ind w:left="373"/>
        <w:rPr>
          <w:sz w:val="20"/>
          <w:szCs w:val="20"/>
        </w:rPr>
      </w:pPr>
      <w:r>
        <w:rPr>
          <w:color w:val="57585A"/>
          <w:spacing w:val="-10"/>
          <w:sz w:val="20"/>
          <w:szCs w:val="20"/>
        </w:rPr>
        <w:t xml:space="preserve">midstream infrastructure by reverting some </w:t>
      </w:r>
      <w:r>
        <w:rPr>
          <w:color w:val="57585A"/>
          <w:spacing w:val="-11"/>
          <w:sz w:val="20"/>
          <w:szCs w:val="20"/>
        </w:rPr>
        <w:t>of</w:t>
      </w:r>
      <w:r>
        <w:rPr>
          <w:color w:val="57585A"/>
          <w:spacing w:val="-21"/>
          <w:sz w:val="20"/>
          <w:szCs w:val="20"/>
        </w:rPr>
        <w:t xml:space="preserve"> </w:t>
      </w:r>
      <w:r>
        <w:rPr>
          <w:color w:val="57585A"/>
          <w:spacing w:val="-11"/>
          <w:sz w:val="20"/>
          <w:szCs w:val="20"/>
        </w:rPr>
        <w:t>the existing pipelines, increasing Oldelval pumping capacity and reactivating the</w:t>
      </w:r>
    </w:p>
    <w:p w14:paraId="1F4982C0">
      <w:pPr>
        <w:pStyle w:val="4"/>
        <w:spacing w:before="59" w:line="273" w:lineRule="auto"/>
        <w:ind w:left="373" w:right="424" w:hanging="4"/>
        <w:rPr>
          <w:sz w:val="20"/>
          <w:szCs w:val="20"/>
        </w:rPr>
      </w:pPr>
      <w:r>
        <w:rPr>
          <w:color w:val="57585A"/>
          <w:spacing w:val="-10"/>
          <w:sz w:val="20"/>
          <w:szCs w:val="20"/>
        </w:rPr>
        <w:t>export route to the Pacific Ocean. If realised, these initiat</w:t>
      </w:r>
      <w:r>
        <w:rPr>
          <w:color w:val="57585A"/>
          <w:spacing w:val="-11"/>
          <w:sz w:val="20"/>
          <w:szCs w:val="20"/>
        </w:rPr>
        <w:t>ives</w:t>
      </w:r>
      <w:r>
        <w:rPr>
          <w:color w:val="57585A"/>
          <w:spacing w:val="-15"/>
          <w:sz w:val="20"/>
          <w:szCs w:val="20"/>
        </w:rPr>
        <w:t xml:space="preserve"> </w:t>
      </w:r>
      <w:r>
        <w:rPr>
          <w:color w:val="57585A"/>
          <w:spacing w:val="-11"/>
          <w:sz w:val="20"/>
          <w:szCs w:val="20"/>
        </w:rPr>
        <w:t>will further boost production, providing shale producers</w:t>
      </w:r>
      <w:r>
        <w:rPr>
          <w:color w:val="57585A"/>
          <w:spacing w:val="-16"/>
          <w:sz w:val="20"/>
          <w:szCs w:val="20"/>
        </w:rPr>
        <w:t xml:space="preserve"> </w:t>
      </w:r>
      <w:r>
        <w:rPr>
          <w:color w:val="57585A"/>
          <w:spacing w:val="-11"/>
          <w:sz w:val="20"/>
          <w:szCs w:val="20"/>
        </w:rPr>
        <w:t>with additional</w:t>
      </w:r>
      <w:r>
        <w:rPr>
          <w:color w:val="57585A"/>
          <w:sz w:val="20"/>
          <w:szCs w:val="20"/>
        </w:rPr>
        <w:t xml:space="preserve"> </w:t>
      </w:r>
      <w:r>
        <w:rPr>
          <w:color w:val="57585A"/>
          <w:spacing w:val="-10"/>
          <w:sz w:val="20"/>
          <w:szCs w:val="20"/>
        </w:rPr>
        <w:t>room</w:t>
      </w:r>
      <w:r>
        <w:rPr>
          <w:color w:val="57585A"/>
          <w:spacing w:val="-5"/>
          <w:sz w:val="20"/>
          <w:szCs w:val="20"/>
        </w:rPr>
        <w:t xml:space="preserve"> </w:t>
      </w:r>
      <w:r>
        <w:rPr>
          <w:color w:val="57585A"/>
          <w:spacing w:val="-10"/>
          <w:sz w:val="20"/>
          <w:szCs w:val="20"/>
        </w:rPr>
        <w:t>to grow.</w:t>
      </w:r>
    </w:p>
    <w:p w14:paraId="62B37C0A">
      <w:pPr>
        <w:spacing w:line="273" w:lineRule="auto"/>
        <w:rPr>
          <w:sz w:val="20"/>
          <w:szCs w:val="20"/>
        </w:rPr>
        <w:sectPr>
          <w:footerReference r:id="rId73" w:type="default"/>
          <w:pgSz w:w="11906" w:h="16838"/>
          <w:pgMar w:top="400" w:right="490" w:bottom="883" w:left="490" w:header="0" w:footer="0" w:gutter="0"/>
          <w:cols w:space="720" w:num="1"/>
        </w:sectPr>
      </w:pPr>
    </w:p>
    <w:p w14:paraId="371528B5">
      <w:pPr>
        <w:pStyle w:val="4"/>
        <w:spacing w:before="73" w:line="241" w:lineRule="auto"/>
        <w:ind w:left="7372"/>
        <w:rPr>
          <w:sz w:val="20"/>
          <w:szCs w:val="20"/>
        </w:rPr>
      </w:pPr>
      <w:r>
        <w:drawing>
          <wp:anchor distT="0" distB="0" distL="0" distR="0" simplePos="0" relativeHeight="25192960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30624" behindDoc="0" locked="0" layoutInCell="0" allowOverlap="1">
            <wp:simplePos x="0" y="0"/>
            <wp:positionH relativeFrom="page">
              <wp:posOffset>311150</wp:posOffset>
            </wp:positionH>
            <wp:positionV relativeFrom="page">
              <wp:posOffset>0</wp:posOffset>
            </wp:positionV>
            <wp:extent cx="19050" cy="814070"/>
            <wp:effectExtent l="0" t="0" r="0" b="0"/>
            <wp:wrapNone/>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9A4C7CE">
      <w:pPr>
        <w:pStyle w:val="4"/>
        <w:spacing w:line="278" w:lineRule="auto"/>
      </w:pPr>
    </w:p>
    <w:p w14:paraId="17E21AA9">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9AFD71F">
      <w:pPr>
        <w:pStyle w:val="4"/>
        <w:spacing w:line="470" w:lineRule="auto"/>
      </w:pPr>
    </w:p>
    <w:p w14:paraId="09BD5430">
      <w:pPr>
        <w:pStyle w:val="4"/>
        <w:spacing w:before="58" w:line="231" w:lineRule="auto"/>
        <w:ind w:left="376"/>
        <w:rPr>
          <w:sz w:val="20"/>
          <w:szCs w:val="20"/>
        </w:rPr>
      </w:pPr>
      <w:r>
        <w:rPr>
          <w:color w:val="57585A"/>
          <w:spacing w:val="-12"/>
          <w:sz w:val="20"/>
          <w:szCs w:val="20"/>
        </w:rPr>
        <w:t>Private producers have stepped into the midstream game</w:t>
      </w:r>
      <w:r>
        <w:rPr>
          <w:color w:val="57585A"/>
          <w:spacing w:val="-15"/>
          <w:sz w:val="20"/>
          <w:szCs w:val="20"/>
        </w:rPr>
        <w:t xml:space="preserve"> </w:t>
      </w:r>
      <w:r>
        <w:rPr>
          <w:color w:val="57585A"/>
          <w:spacing w:val="-12"/>
          <w:sz w:val="20"/>
          <w:szCs w:val="20"/>
        </w:rPr>
        <w:t>with a consortium of Riverstone, Southe</w:t>
      </w:r>
      <w:r>
        <w:rPr>
          <w:color w:val="57585A"/>
          <w:spacing w:val="-13"/>
          <w:sz w:val="20"/>
          <w:szCs w:val="20"/>
        </w:rPr>
        <w:t>rn Cross and Vista Oil and Gas</w:t>
      </w:r>
    </w:p>
    <w:p w14:paraId="06CFA256">
      <w:pPr>
        <w:pStyle w:val="4"/>
        <w:spacing w:before="58" w:line="231" w:lineRule="auto"/>
        <w:ind w:left="369"/>
        <w:rPr>
          <w:sz w:val="20"/>
          <w:szCs w:val="20"/>
        </w:rPr>
      </w:pPr>
      <w:r>
        <w:rPr>
          <w:color w:val="57585A"/>
          <w:spacing w:val="-11"/>
          <w:sz w:val="20"/>
          <w:szCs w:val="20"/>
        </w:rPr>
        <w:t>establishing</w:t>
      </w:r>
      <w:r>
        <w:rPr>
          <w:color w:val="57585A"/>
          <w:spacing w:val="-15"/>
          <w:sz w:val="20"/>
          <w:szCs w:val="20"/>
        </w:rPr>
        <w:t xml:space="preserve"> </w:t>
      </w:r>
      <w:r>
        <w:rPr>
          <w:color w:val="57585A"/>
          <w:spacing w:val="-11"/>
          <w:sz w:val="20"/>
          <w:szCs w:val="20"/>
        </w:rPr>
        <w:t>Aleph Midstream, a company</w:t>
      </w:r>
      <w:r>
        <w:rPr>
          <w:color w:val="57585A"/>
          <w:spacing w:val="-16"/>
          <w:sz w:val="20"/>
          <w:szCs w:val="20"/>
        </w:rPr>
        <w:t xml:space="preserve"> </w:t>
      </w:r>
      <w:r>
        <w:rPr>
          <w:color w:val="57585A"/>
          <w:spacing w:val="-11"/>
          <w:sz w:val="20"/>
          <w:szCs w:val="20"/>
        </w:rPr>
        <w:t xml:space="preserve">which is dedicated to expanding the </w:t>
      </w:r>
      <w:r>
        <w:rPr>
          <w:color w:val="57585A"/>
          <w:spacing w:val="-12"/>
          <w:sz w:val="20"/>
          <w:szCs w:val="20"/>
        </w:rPr>
        <w:t>midstream infrastructure in Vaca Muerta. In</w:t>
      </w:r>
    </w:p>
    <w:p w14:paraId="225AECBB">
      <w:pPr>
        <w:pStyle w:val="4"/>
        <w:spacing w:before="58" w:line="273" w:lineRule="auto"/>
        <w:ind w:left="369" w:right="363" w:firstLine="6"/>
        <w:rPr>
          <w:sz w:val="20"/>
          <w:szCs w:val="20"/>
        </w:rPr>
      </w:pPr>
      <w:r>
        <w:rPr>
          <w:color w:val="57585A"/>
          <w:spacing w:val="-11"/>
          <w:sz w:val="20"/>
          <w:szCs w:val="20"/>
        </w:rPr>
        <w:t>November, the government grante</w:t>
      </w:r>
      <w:r>
        <w:rPr>
          <w:color w:val="57585A"/>
          <w:spacing w:val="-12"/>
          <w:sz w:val="20"/>
          <w:szCs w:val="20"/>
        </w:rPr>
        <w:t>d Vista a 35-year concession to transport crude between Neuquén and Rio Negro provinces. The</w:t>
      </w:r>
      <w:r>
        <w:rPr>
          <w:color w:val="57585A"/>
          <w:sz w:val="20"/>
          <w:szCs w:val="20"/>
        </w:rPr>
        <w:t xml:space="preserve"> </w:t>
      </w:r>
      <w:r>
        <w:rPr>
          <w:color w:val="57585A"/>
          <w:spacing w:val="-9"/>
          <w:sz w:val="20"/>
          <w:szCs w:val="20"/>
        </w:rPr>
        <w:t>company plans to build a 49k</w:t>
      </w:r>
      <w:r>
        <w:rPr>
          <w:color w:val="57585A"/>
          <w:spacing w:val="-10"/>
          <w:sz w:val="20"/>
          <w:szCs w:val="20"/>
        </w:rPr>
        <w:t>m long pipeline</w:t>
      </w:r>
      <w:r>
        <w:rPr>
          <w:color w:val="57585A"/>
          <w:spacing w:val="-16"/>
          <w:sz w:val="20"/>
          <w:szCs w:val="20"/>
        </w:rPr>
        <w:t xml:space="preserve"> </w:t>
      </w:r>
      <w:r>
        <w:rPr>
          <w:color w:val="57585A"/>
          <w:spacing w:val="-10"/>
          <w:sz w:val="20"/>
          <w:szCs w:val="20"/>
        </w:rPr>
        <w:t>with the capacity of 5,00cm/d,</w:t>
      </w:r>
      <w:r>
        <w:rPr>
          <w:color w:val="57585A"/>
          <w:spacing w:val="-15"/>
          <w:sz w:val="20"/>
          <w:szCs w:val="20"/>
        </w:rPr>
        <w:t xml:space="preserve"> </w:t>
      </w:r>
      <w:r>
        <w:rPr>
          <w:color w:val="57585A"/>
          <w:spacing w:val="-10"/>
          <w:sz w:val="20"/>
          <w:szCs w:val="20"/>
        </w:rPr>
        <w:t>which can potentially further alleviate bottlenecks,</w:t>
      </w:r>
    </w:p>
    <w:p w14:paraId="156F1F1B">
      <w:pPr>
        <w:pStyle w:val="4"/>
        <w:spacing w:before="37" w:line="231" w:lineRule="auto"/>
        <w:ind w:left="369"/>
        <w:rPr>
          <w:sz w:val="20"/>
          <w:szCs w:val="20"/>
        </w:rPr>
      </w:pPr>
      <w:r>
        <w:rPr>
          <w:color w:val="57585A"/>
          <w:spacing w:val="-12"/>
          <w:sz w:val="20"/>
          <w:szCs w:val="20"/>
        </w:rPr>
        <w:t>enabling the company to transport their production from Bajada de Palo Este and Oeste, Charco de</w:t>
      </w:r>
      <w:r>
        <w:rPr>
          <w:color w:val="57585A"/>
          <w:spacing w:val="-13"/>
          <w:sz w:val="20"/>
          <w:szCs w:val="20"/>
        </w:rPr>
        <w:t>l Palenque and Entre Lomas.</w:t>
      </w:r>
    </w:p>
    <w:p w14:paraId="78BEC1DA">
      <w:pPr>
        <w:pStyle w:val="4"/>
        <w:spacing w:line="287" w:lineRule="auto"/>
      </w:pPr>
    </w:p>
    <w:p w14:paraId="144EF025">
      <w:pPr>
        <w:pStyle w:val="4"/>
        <w:spacing w:before="58" w:line="231" w:lineRule="auto"/>
        <w:ind w:left="361"/>
        <w:rPr>
          <w:sz w:val="20"/>
          <w:szCs w:val="20"/>
        </w:rPr>
      </w:pPr>
      <w:r>
        <w:rPr>
          <w:color w:val="57585A"/>
          <w:spacing w:val="-10"/>
          <w:sz w:val="20"/>
          <w:szCs w:val="20"/>
        </w:rPr>
        <w:t>We highlight other key oil pipeline projects that</w:t>
      </w:r>
      <w:r>
        <w:rPr>
          <w:color w:val="57585A"/>
          <w:spacing w:val="-15"/>
          <w:sz w:val="20"/>
          <w:szCs w:val="20"/>
        </w:rPr>
        <w:t xml:space="preserve"> </w:t>
      </w:r>
      <w:r>
        <w:rPr>
          <w:color w:val="57585A"/>
          <w:spacing w:val="-10"/>
          <w:sz w:val="20"/>
          <w:szCs w:val="20"/>
        </w:rPr>
        <w:t>would rais</w:t>
      </w:r>
      <w:r>
        <w:rPr>
          <w:color w:val="57585A"/>
          <w:spacing w:val="-11"/>
          <w:sz w:val="20"/>
          <w:szCs w:val="20"/>
        </w:rPr>
        <w:t>e exit capacity form Vaca Muerta by 500,000b/d until 2029:</w:t>
      </w:r>
    </w:p>
    <w:p w14:paraId="44174966">
      <w:pPr>
        <w:pStyle w:val="4"/>
        <w:spacing w:line="286" w:lineRule="auto"/>
      </w:pPr>
    </w:p>
    <w:p w14:paraId="7609A913">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The Oldelval projects,</w:t>
      </w:r>
      <w:r>
        <w:rPr>
          <w:color w:val="57585A"/>
          <w:spacing w:val="-15"/>
          <w:sz w:val="20"/>
          <w:szCs w:val="20"/>
        </w:rPr>
        <w:t xml:space="preserve"> </w:t>
      </w:r>
      <w:r>
        <w:rPr>
          <w:color w:val="57585A"/>
          <w:spacing w:val="-10"/>
          <w:sz w:val="20"/>
          <w:szCs w:val="20"/>
        </w:rPr>
        <w:t>which are set to increase capacity from 300,000b/d in Q1 2</w:t>
      </w:r>
      <w:r>
        <w:rPr>
          <w:color w:val="57585A"/>
          <w:spacing w:val="-11"/>
          <w:sz w:val="20"/>
          <w:szCs w:val="20"/>
        </w:rPr>
        <w:t>024 to 540,000b/d in 2029.</w:t>
      </w:r>
    </w:p>
    <w:p w14:paraId="652EF343">
      <w:pPr>
        <w:pStyle w:val="4"/>
        <w:spacing w:before="56" w:line="234" w:lineRule="auto"/>
        <w:ind w:left="357"/>
        <w:rPr>
          <w:sz w:val="20"/>
          <w:szCs w:val="20"/>
        </w:rPr>
      </w:pPr>
      <w:r>
        <w:rPr>
          <w:color w:val="33CCFF"/>
          <w:spacing w:val="-12"/>
          <w:sz w:val="20"/>
          <w:szCs w:val="20"/>
        </w:rPr>
        <w:t xml:space="preserve">•   </w:t>
      </w:r>
      <w:r>
        <w:rPr>
          <w:color w:val="57585A"/>
          <w:spacing w:val="-12"/>
          <w:sz w:val="20"/>
          <w:szCs w:val="20"/>
        </w:rPr>
        <w:t>Vaca Muerta South, developed by</w:t>
      </w:r>
      <w:r>
        <w:rPr>
          <w:color w:val="57585A"/>
          <w:sz w:val="20"/>
          <w:szCs w:val="20"/>
        </w:rPr>
        <w:t xml:space="preserve"> </w:t>
      </w:r>
      <w:r>
        <w:rPr>
          <w:color w:val="57585A"/>
          <w:spacing w:val="-12"/>
          <w:sz w:val="20"/>
          <w:szCs w:val="20"/>
        </w:rPr>
        <w:t>YPF, adding 360,000b/d.</w:t>
      </w:r>
    </w:p>
    <w:p w14:paraId="37EAE17E">
      <w:pPr>
        <w:pStyle w:val="4"/>
        <w:spacing w:line="313" w:lineRule="auto"/>
      </w:pPr>
    </w:p>
    <w:p w14:paraId="1CA447AD">
      <w:pPr>
        <w:pStyle w:val="4"/>
        <w:spacing w:line="313" w:lineRule="auto"/>
      </w:pPr>
    </w:p>
    <w:p w14:paraId="1DEDF61F">
      <w:pPr>
        <w:pStyle w:val="4"/>
        <w:spacing w:before="69" w:line="325" w:lineRule="exact"/>
        <w:ind w:left="378"/>
        <w:outlineLvl w:val="2"/>
        <w:rPr>
          <w:sz w:val="24"/>
          <w:szCs w:val="24"/>
        </w:rPr>
      </w:pPr>
      <w:r>
        <w:rPr>
          <w:b/>
          <w:bCs/>
          <w:color w:val="174174"/>
          <w:spacing w:val="-14"/>
          <w:position w:val="1"/>
          <w:sz w:val="24"/>
          <w:szCs w:val="24"/>
        </w:rPr>
        <w:t>LNG</w:t>
      </w:r>
      <w:r>
        <w:rPr>
          <w:b/>
          <w:bCs/>
          <w:color w:val="174174"/>
          <w:spacing w:val="-8"/>
          <w:position w:val="1"/>
          <w:sz w:val="24"/>
          <w:szCs w:val="24"/>
        </w:rPr>
        <w:t xml:space="preserve"> </w:t>
      </w:r>
      <w:r>
        <w:rPr>
          <w:b/>
          <w:bCs/>
          <w:color w:val="174174"/>
          <w:spacing w:val="-14"/>
          <w:position w:val="1"/>
          <w:sz w:val="24"/>
          <w:szCs w:val="24"/>
        </w:rPr>
        <w:t>Terminals</w:t>
      </w:r>
    </w:p>
    <w:p w14:paraId="5246F219">
      <w:pPr>
        <w:pStyle w:val="4"/>
        <w:spacing w:line="301" w:lineRule="auto"/>
      </w:pPr>
    </w:p>
    <w:p w14:paraId="3070DD29">
      <w:pPr>
        <w:pStyle w:val="4"/>
        <w:spacing w:before="57" w:line="231" w:lineRule="auto"/>
        <w:ind w:left="359"/>
        <w:rPr>
          <w:sz w:val="20"/>
          <w:szCs w:val="20"/>
        </w:rPr>
      </w:pPr>
      <w:r>
        <w:rPr>
          <w:color w:val="57585A"/>
          <w:spacing w:val="-10"/>
          <w:sz w:val="20"/>
          <w:szCs w:val="20"/>
        </w:rPr>
        <w:t>Argentina currently ha</w:t>
      </w:r>
      <w:r>
        <w:rPr>
          <w:color w:val="57585A"/>
          <w:spacing w:val="-11"/>
          <w:sz w:val="20"/>
          <w:szCs w:val="20"/>
        </w:rPr>
        <w:t>s two floating liquified natural gas (FLNG) import terminals</w:t>
      </w:r>
      <w:r>
        <w:rPr>
          <w:color w:val="57585A"/>
          <w:spacing w:val="-15"/>
          <w:sz w:val="20"/>
          <w:szCs w:val="20"/>
        </w:rPr>
        <w:t xml:space="preserve"> </w:t>
      </w:r>
      <w:r>
        <w:rPr>
          <w:color w:val="57585A"/>
          <w:spacing w:val="-11"/>
          <w:sz w:val="20"/>
          <w:szCs w:val="20"/>
        </w:rPr>
        <w:t>with a combined capacity of 8.2bcm. The first</w:t>
      </w:r>
    </w:p>
    <w:p w14:paraId="3C8208C1">
      <w:pPr>
        <w:pStyle w:val="4"/>
        <w:spacing w:before="59" w:line="231" w:lineRule="auto"/>
        <w:ind w:left="363"/>
        <w:rPr>
          <w:sz w:val="20"/>
          <w:szCs w:val="20"/>
        </w:rPr>
      </w:pPr>
      <w:r>
        <w:rPr>
          <w:color w:val="57585A"/>
          <w:spacing w:val="-12"/>
          <w:sz w:val="20"/>
          <w:szCs w:val="20"/>
        </w:rPr>
        <w:t>terminal, the Bahia Blanca GasPort,</w:t>
      </w:r>
      <w:r>
        <w:rPr>
          <w:color w:val="57585A"/>
          <w:spacing w:val="-13"/>
          <w:sz w:val="20"/>
          <w:szCs w:val="20"/>
        </w:rPr>
        <w:t xml:space="preserve"> is a floating regasification vessel, moored at the port of Bahía Blanca.</w:t>
      </w:r>
      <w:r>
        <w:rPr>
          <w:color w:val="57585A"/>
          <w:sz w:val="20"/>
          <w:szCs w:val="20"/>
        </w:rPr>
        <w:t xml:space="preserve"> </w:t>
      </w:r>
      <w:r>
        <w:rPr>
          <w:color w:val="57585A"/>
          <w:spacing w:val="-13"/>
          <w:sz w:val="20"/>
          <w:szCs w:val="20"/>
        </w:rPr>
        <w:t>In September 2010,</w:t>
      </w:r>
    </w:p>
    <w:p w14:paraId="608A4A46">
      <w:pPr>
        <w:pStyle w:val="4"/>
        <w:spacing w:before="59" w:line="273" w:lineRule="auto"/>
        <w:ind w:left="369" w:right="488" w:firstLine="6"/>
        <w:rPr>
          <w:sz w:val="20"/>
          <w:szCs w:val="20"/>
        </w:rPr>
      </w:pPr>
      <w:r>
        <w:rPr>
          <w:color w:val="57585A"/>
          <w:spacing w:val="-11"/>
          <w:sz w:val="20"/>
          <w:szCs w:val="20"/>
        </w:rPr>
        <w:t>Excelerate Energy announced that</w:t>
      </w:r>
      <w:r>
        <w:rPr>
          <w:color w:val="57585A"/>
          <w:spacing w:val="-16"/>
          <w:sz w:val="20"/>
          <w:szCs w:val="20"/>
        </w:rPr>
        <w:t xml:space="preserve"> </w:t>
      </w:r>
      <w:r>
        <w:rPr>
          <w:color w:val="57585A"/>
          <w:spacing w:val="-11"/>
          <w:sz w:val="20"/>
          <w:szCs w:val="20"/>
        </w:rPr>
        <w:t>YPF and Eners</w:t>
      </w:r>
      <w:r>
        <w:rPr>
          <w:color w:val="57585A"/>
          <w:spacing w:val="-12"/>
          <w:sz w:val="20"/>
          <w:szCs w:val="20"/>
        </w:rPr>
        <w:t>a had commissioned it to build a 5.2bcm floating regasification plant 48km north</w:t>
      </w:r>
      <w:r>
        <w:rPr>
          <w:color w:val="57585A"/>
          <w:sz w:val="20"/>
          <w:szCs w:val="20"/>
        </w:rPr>
        <w:t xml:space="preserve"> </w:t>
      </w:r>
      <w:r>
        <w:rPr>
          <w:color w:val="57585A"/>
          <w:spacing w:val="-13"/>
          <w:sz w:val="20"/>
          <w:szCs w:val="20"/>
        </w:rPr>
        <w:t>of Buenos</w:t>
      </w:r>
      <w:r>
        <w:rPr>
          <w:color w:val="57585A"/>
          <w:spacing w:val="-15"/>
          <w:sz w:val="20"/>
          <w:szCs w:val="20"/>
        </w:rPr>
        <w:t xml:space="preserve"> </w:t>
      </w:r>
      <w:r>
        <w:rPr>
          <w:color w:val="57585A"/>
          <w:spacing w:val="-13"/>
          <w:sz w:val="20"/>
          <w:szCs w:val="20"/>
        </w:rPr>
        <w:t>Aires.</w:t>
      </w:r>
      <w:r>
        <w:rPr>
          <w:color w:val="57585A"/>
          <w:spacing w:val="-15"/>
          <w:sz w:val="20"/>
          <w:szCs w:val="20"/>
        </w:rPr>
        <w:t xml:space="preserve"> </w:t>
      </w:r>
      <w:r>
        <w:rPr>
          <w:color w:val="57585A"/>
          <w:spacing w:val="-13"/>
          <w:sz w:val="20"/>
          <w:szCs w:val="20"/>
        </w:rPr>
        <w:t>The</w:t>
      </w:r>
      <w:r>
        <w:rPr>
          <w:color w:val="57585A"/>
          <w:spacing w:val="-12"/>
          <w:sz w:val="20"/>
          <w:szCs w:val="20"/>
        </w:rPr>
        <w:t xml:space="preserve"> </w:t>
      </w:r>
      <w:r>
        <w:rPr>
          <w:color w:val="57585A"/>
          <w:spacing w:val="-13"/>
          <w:sz w:val="20"/>
          <w:szCs w:val="20"/>
        </w:rPr>
        <w:t>termina</w:t>
      </w:r>
      <w:r>
        <w:rPr>
          <w:color w:val="57585A"/>
          <w:spacing w:val="-14"/>
          <w:sz w:val="20"/>
          <w:szCs w:val="20"/>
        </w:rPr>
        <w:t>l, dubbed Escobar LNG, came on stream in May 2011.</w:t>
      </w:r>
    </w:p>
    <w:p w14:paraId="142416E2">
      <w:pPr>
        <w:pStyle w:val="4"/>
        <w:spacing w:line="265" w:lineRule="auto"/>
      </w:pPr>
    </w:p>
    <w:p w14:paraId="0CC5FF47">
      <w:pPr>
        <w:pStyle w:val="4"/>
        <w:spacing w:before="58" w:line="231" w:lineRule="auto"/>
        <w:ind w:left="359"/>
        <w:rPr>
          <w:sz w:val="20"/>
          <w:szCs w:val="20"/>
        </w:rPr>
      </w:pPr>
      <w:r>
        <w:rPr>
          <w:color w:val="57585A"/>
          <w:spacing w:val="-11"/>
          <w:sz w:val="20"/>
          <w:szCs w:val="20"/>
        </w:rPr>
        <w:t>Although</w:t>
      </w:r>
      <w:r>
        <w:rPr>
          <w:color w:val="57585A"/>
          <w:spacing w:val="-16"/>
          <w:sz w:val="20"/>
          <w:szCs w:val="20"/>
        </w:rPr>
        <w:t xml:space="preserve"> </w:t>
      </w:r>
      <w:r>
        <w:rPr>
          <w:color w:val="57585A"/>
          <w:spacing w:val="-11"/>
          <w:sz w:val="20"/>
          <w:szCs w:val="20"/>
        </w:rPr>
        <w:t>Argentina's liquified natural gas (LNG) import capacity is limited, both Chile and Uru</w:t>
      </w:r>
      <w:r>
        <w:rPr>
          <w:color w:val="57585A"/>
          <w:spacing w:val="-12"/>
          <w:sz w:val="20"/>
          <w:szCs w:val="20"/>
        </w:rPr>
        <w:t>guay have</w:t>
      </w:r>
      <w:r>
        <w:rPr>
          <w:color w:val="57585A"/>
          <w:spacing w:val="-1"/>
          <w:sz w:val="20"/>
          <w:szCs w:val="20"/>
        </w:rPr>
        <w:t xml:space="preserve"> </w:t>
      </w:r>
      <w:r>
        <w:rPr>
          <w:color w:val="57585A"/>
          <w:spacing w:val="-12"/>
          <w:sz w:val="20"/>
          <w:szCs w:val="20"/>
        </w:rPr>
        <w:t>put forward proposals to</w:t>
      </w:r>
    </w:p>
    <w:p w14:paraId="45B913E0">
      <w:pPr>
        <w:pStyle w:val="4"/>
        <w:spacing w:before="58" w:line="273" w:lineRule="auto"/>
        <w:ind w:left="366" w:right="413"/>
        <w:rPr>
          <w:sz w:val="20"/>
          <w:szCs w:val="20"/>
        </w:rPr>
      </w:pPr>
      <w:r>
        <w:rPr>
          <w:color w:val="57585A"/>
          <w:spacing w:val="-11"/>
          <w:sz w:val="20"/>
          <w:szCs w:val="20"/>
        </w:rPr>
        <w:t>supply</w:t>
      </w:r>
      <w:r>
        <w:rPr>
          <w:color w:val="57585A"/>
          <w:spacing w:val="-15"/>
          <w:sz w:val="20"/>
          <w:szCs w:val="20"/>
        </w:rPr>
        <w:t xml:space="preserve"> </w:t>
      </w:r>
      <w:r>
        <w:rPr>
          <w:color w:val="57585A"/>
          <w:spacing w:val="-11"/>
          <w:sz w:val="20"/>
          <w:szCs w:val="20"/>
        </w:rPr>
        <w:t>Argentina</w:t>
      </w:r>
      <w:r>
        <w:rPr>
          <w:color w:val="57585A"/>
          <w:spacing w:val="-16"/>
          <w:sz w:val="20"/>
          <w:szCs w:val="20"/>
        </w:rPr>
        <w:t xml:space="preserve"> </w:t>
      </w:r>
      <w:r>
        <w:rPr>
          <w:color w:val="57585A"/>
          <w:spacing w:val="-11"/>
          <w:sz w:val="20"/>
          <w:szCs w:val="20"/>
        </w:rPr>
        <w:t>with externally re-gasified LNG,</w:t>
      </w:r>
      <w:r>
        <w:rPr>
          <w:color w:val="57585A"/>
          <w:spacing w:val="-16"/>
          <w:sz w:val="20"/>
          <w:szCs w:val="20"/>
        </w:rPr>
        <w:t xml:space="preserve"> </w:t>
      </w:r>
      <w:r>
        <w:rPr>
          <w:color w:val="57585A"/>
          <w:spacing w:val="-11"/>
          <w:sz w:val="20"/>
          <w:szCs w:val="20"/>
        </w:rPr>
        <w:t>which is the</w:t>
      </w:r>
      <w:r>
        <w:rPr>
          <w:color w:val="57585A"/>
          <w:spacing w:val="-12"/>
          <w:sz w:val="20"/>
          <w:szCs w:val="20"/>
        </w:rPr>
        <w:t>n imported</w:t>
      </w:r>
      <w:r>
        <w:rPr>
          <w:color w:val="57585A"/>
          <w:spacing w:val="-15"/>
          <w:sz w:val="20"/>
          <w:szCs w:val="20"/>
        </w:rPr>
        <w:t xml:space="preserve"> </w:t>
      </w:r>
      <w:r>
        <w:rPr>
          <w:color w:val="57585A"/>
          <w:spacing w:val="-12"/>
          <w:sz w:val="20"/>
          <w:szCs w:val="20"/>
        </w:rPr>
        <w:t>via pipeline. In February 2016, the energy ministers of Chile</w:t>
      </w:r>
      <w:r>
        <w:rPr>
          <w:color w:val="57585A"/>
          <w:sz w:val="20"/>
          <w:szCs w:val="20"/>
        </w:rPr>
        <w:t xml:space="preserve"> </w:t>
      </w:r>
      <w:r>
        <w:rPr>
          <w:color w:val="57585A"/>
          <w:spacing w:val="-10"/>
          <w:sz w:val="20"/>
          <w:szCs w:val="20"/>
        </w:rPr>
        <w:t>and</w:t>
      </w:r>
      <w:r>
        <w:rPr>
          <w:color w:val="57585A"/>
          <w:spacing w:val="-16"/>
          <w:sz w:val="20"/>
          <w:szCs w:val="20"/>
        </w:rPr>
        <w:t xml:space="preserve"> </w:t>
      </w:r>
      <w:r>
        <w:rPr>
          <w:color w:val="57585A"/>
          <w:spacing w:val="-10"/>
          <w:sz w:val="20"/>
          <w:szCs w:val="20"/>
        </w:rPr>
        <w:t>Argentina announced that bilateral trade of natural gas</w:t>
      </w:r>
      <w:r>
        <w:rPr>
          <w:color w:val="57585A"/>
          <w:spacing w:val="-16"/>
          <w:sz w:val="20"/>
          <w:szCs w:val="20"/>
        </w:rPr>
        <w:t xml:space="preserve"> </w:t>
      </w:r>
      <w:r>
        <w:rPr>
          <w:color w:val="57585A"/>
          <w:spacing w:val="-10"/>
          <w:sz w:val="20"/>
          <w:szCs w:val="20"/>
        </w:rPr>
        <w:t xml:space="preserve">would reverse through underutilised </w:t>
      </w:r>
      <w:r>
        <w:rPr>
          <w:color w:val="57585A"/>
          <w:spacing w:val="-11"/>
          <w:sz w:val="20"/>
          <w:szCs w:val="20"/>
        </w:rPr>
        <w:t>midstream infrastructure.</w:t>
      </w:r>
    </w:p>
    <w:p w14:paraId="29A28A7F">
      <w:pPr>
        <w:pStyle w:val="4"/>
        <w:spacing w:before="37" w:line="231" w:lineRule="auto"/>
        <w:ind w:left="376"/>
        <w:rPr>
          <w:sz w:val="20"/>
          <w:szCs w:val="20"/>
        </w:rPr>
      </w:pPr>
      <w:r>
        <w:rPr>
          <w:color w:val="57585A"/>
          <w:spacing w:val="-9"/>
          <w:sz w:val="20"/>
          <w:szCs w:val="20"/>
        </w:rPr>
        <w:t>Declining long-term demand result</w:t>
      </w:r>
      <w:r>
        <w:rPr>
          <w:color w:val="57585A"/>
          <w:spacing w:val="-10"/>
          <w:sz w:val="20"/>
          <w:szCs w:val="20"/>
        </w:rPr>
        <w:t>ed in the</w:t>
      </w:r>
      <w:r>
        <w:rPr>
          <w:color w:val="57585A"/>
          <w:spacing w:val="-16"/>
          <w:sz w:val="20"/>
          <w:szCs w:val="20"/>
        </w:rPr>
        <w:t xml:space="preserve"> </w:t>
      </w:r>
      <w:r>
        <w:rPr>
          <w:color w:val="57585A"/>
          <w:spacing w:val="-10"/>
          <w:sz w:val="20"/>
          <w:szCs w:val="20"/>
        </w:rPr>
        <w:t>vacillation of</w:t>
      </w:r>
      <w:r>
        <w:rPr>
          <w:color w:val="57585A"/>
          <w:spacing w:val="-25"/>
          <w:sz w:val="20"/>
          <w:szCs w:val="20"/>
        </w:rPr>
        <w:t xml:space="preserve"> </w:t>
      </w:r>
      <w:r>
        <w:rPr>
          <w:color w:val="57585A"/>
          <w:spacing w:val="-10"/>
          <w:sz w:val="20"/>
          <w:szCs w:val="20"/>
        </w:rPr>
        <w:t>Argentina from the Uruguay's import terminal.</w:t>
      </w:r>
    </w:p>
    <w:p w14:paraId="3917686B">
      <w:pPr>
        <w:pStyle w:val="4"/>
        <w:spacing w:line="285" w:lineRule="auto"/>
      </w:pPr>
    </w:p>
    <w:p w14:paraId="3C9EC8F4">
      <w:pPr>
        <w:pStyle w:val="4"/>
        <w:spacing w:line="285" w:lineRule="auto"/>
      </w:pPr>
    </w:p>
    <w:p w14:paraId="4C93EF73">
      <w:pPr>
        <w:pStyle w:val="4"/>
        <w:spacing w:before="58" w:line="271" w:lineRule="exact"/>
        <w:ind w:left="375"/>
        <w:rPr>
          <w:sz w:val="20"/>
          <w:szCs w:val="20"/>
        </w:rPr>
      </w:pPr>
      <w:r>
        <w:rPr>
          <w:b/>
          <w:bCs/>
          <w:color w:val="57585A"/>
          <w:spacing w:val="-12"/>
          <w:position w:val="1"/>
          <w:sz w:val="20"/>
          <w:szCs w:val="20"/>
        </w:rPr>
        <w:t>Bahía Blanca GasPort</w:t>
      </w:r>
    </w:p>
    <w:p w14:paraId="4F6081BD">
      <w:pPr>
        <w:pStyle w:val="4"/>
        <w:spacing w:line="241" w:lineRule="auto"/>
      </w:pPr>
    </w:p>
    <w:p w14:paraId="309B0BC4">
      <w:pPr>
        <w:pStyle w:val="4"/>
        <w:spacing w:before="58" w:line="273" w:lineRule="auto"/>
        <w:ind w:left="362" w:right="460" w:hanging="2"/>
        <w:rPr>
          <w:sz w:val="20"/>
          <w:szCs w:val="20"/>
        </w:rPr>
      </w:pPr>
      <w:r>
        <w:rPr>
          <w:color w:val="57585A"/>
          <w:spacing w:val="-12"/>
          <w:sz w:val="20"/>
          <w:szCs w:val="20"/>
        </w:rPr>
        <w:t xml:space="preserve">The Bahía Blanca GasPort has a </w:t>
      </w:r>
      <w:r>
        <w:rPr>
          <w:color w:val="57585A"/>
          <w:spacing w:val="-13"/>
          <w:sz w:val="20"/>
          <w:szCs w:val="20"/>
        </w:rPr>
        <w:t>maximum capacity of</w:t>
      </w:r>
      <w:r>
        <w:rPr>
          <w:color w:val="57585A"/>
          <w:spacing w:val="-17"/>
          <w:sz w:val="20"/>
          <w:szCs w:val="20"/>
        </w:rPr>
        <w:t xml:space="preserve"> </w:t>
      </w:r>
      <w:r>
        <w:rPr>
          <w:color w:val="57585A"/>
          <w:spacing w:val="-13"/>
          <w:sz w:val="20"/>
          <w:szCs w:val="20"/>
        </w:rPr>
        <w:t>around 3bcm. The facility comprises a floating regasification vessel known as</w:t>
      </w:r>
      <w:r>
        <w:rPr>
          <w:color w:val="57585A"/>
          <w:sz w:val="20"/>
          <w:szCs w:val="20"/>
        </w:rPr>
        <w:t xml:space="preserve"> </w:t>
      </w:r>
      <w:r>
        <w:rPr>
          <w:color w:val="57585A"/>
          <w:spacing w:val="-11"/>
          <w:sz w:val="20"/>
          <w:szCs w:val="20"/>
        </w:rPr>
        <w:t>the Energy Bridge Re-gasification Ve</w:t>
      </w:r>
      <w:r>
        <w:rPr>
          <w:color w:val="57585A"/>
          <w:spacing w:val="-12"/>
          <w:sz w:val="20"/>
          <w:szCs w:val="20"/>
        </w:rPr>
        <w:t>ssel, moored alongside a dedicated</w:t>
      </w:r>
      <w:r>
        <w:rPr>
          <w:color w:val="57585A"/>
          <w:spacing w:val="-18"/>
          <w:sz w:val="20"/>
          <w:szCs w:val="20"/>
        </w:rPr>
        <w:t xml:space="preserve"> </w:t>
      </w:r>
      <w:r>
        <w:rPr>
          <w:color w:val="57585A"/>
          <w:spacing w:val="-12"/>
          <w:sz w:val="20"/>
          <w:szCs w:val="20"/>
        </w:rPr>
        <w:t>jetty, from</w:t>
      </w:r>
      <w:r>
        <w:rPr>
          <w:color w:val="57585A"/>
          <w:spacing w:val="-15"/>
          <w:sz w:val="20"/>
          <w:szCs w:val="20"/>
        </w:rPr>
        <w:t xml:space="preserve"> </w:t>
      </w:r>
      <w:r>
        <w:rPr>
          <w:color w:val="57585A"/>
          <w:spacing w:val="-12"/>
          <w:sz w:val="20"/>
          <w:szCs w:val="20"/>
        </w:rPr>
        <w:t>which it feeds gas into the national gas</w:t>
      </w:r>
    </w:p>
    <w:p w14:paraId="35A5B159">
      <w:pPr>
        <w:pStyle w:val="4"/>
        <w:spacing w:before="37" w:line="231" w:lineRule="auto"/>
        <w:ind w:left="369"/>
        <w:rPr>
          <w:sz w:val="20"/>
          <w:szCs w:val="20"/>
        </w:rPr>
      </w:pPr>
      <w:r>
        <w:rPr>
          <w:color w:val="57585A"/>
          <w:spacing w:val="-13"/>
          <w:sz w:val="20"/>
          <w:szCs w:val="20"/>
        </w:rPr>
        <w:t>distribution system.</w:t>
      </w:r>
      <w:r>
        <w:rPr>
          <w:color w:val="57585A"/>
          <w:spacing w:val="-15"/>
          <w:sz w:val="20"/>
          <w:szCs w:val="20"/>
        </w:rPr>
        <w:t xml:space="preserve"> </w:t>
      </w:r>
      <w:r>
        <w:rPr>
          <w:color w:val="57585A"/>
          <w:spacing w:val="-13"/>
          <w:sz w:val="20"/>
          <w:szCs w:val="20"/>
        </w:rPr>
        <w:t>The project was developed by Excelerate Energy an</w:t>
      </w:r>
      <w:r>
        <w:rPr>
          <w:color w:val="57585A"/>
          <w:spacing w:val="-14"/>
          <w:sz w:val="20"/>
          <w:szCs w:val="20"/>
        </w:rPr>
        <w:t>d YPF.</w:t>
      </w:r>
    </w:p>
    <w:p w14:paraId="646ECF08">
      <w:pPr>
        <w:pStyle w:val="4"/>
        <w:spacing w:line="287" w:lineRule="auto"/>
      </w:pPr>
    </w:p>
    <w:p w14:paraId="11A59FB2">
      <w:pPr>
        <w:pStyle w:val="4"/>
        <w:spacing w:before="57" w:line="273" w:lineRule="auto"/>
        <w:ind w:left="368" w:right="639" w:hanging="9"/>
        <w:rPr>
          <w:sz w:val="20"/>
          <w:szCs w:val="20"/>
        </w:rPr>
      </w:pPr>
      <w:r>
        <w:rPr>
          <w:color w:val="57585A"/>
          <w:spacing w:val="-12"/>
          <w:sz w:val="20"/>
          <w:szCs w:val="20"/>
        </w:rPr>
        <w:t>Argentina currently has one LNG receiving terminal after a contract for the Bahia Blanca FSRU,</w:t>
      </w:r>
      <w:r>
        <w:rPr>
          <w:color w:val="57585A"/>
          <w:spacing w:val="-16"/>
          <w:sz w:val="20"/>
          <w:szCs w:val="20"/>
        </w:rPr>
        <w:t xml:space="preserve"> </w:t>
      </w:r>
      <w:r>
        <w:rPr>
          <w:color w:val="57585A"/>
          <w:spacing w:val="-12"/>
          <w:sz w:val="20"/>
          <w:szCs w:val="20"/>
        </w:rPr>
        <w:t>which had a baseload throughput</w:t>
      </w:r>
      <w:r>
        <w:rPr>
          <w:color w:val="57585A"/>
          <w:sz w:val="20"/>
          <w:szCs w:val="20"/>
        </w:rPr>
        <w:t xml:space="preserve"> </w:t>
      </w:r>
      <w:r>
        <w:rPr>
          <w:color w:val="57585A"/>
          <w:spacing w:val="-10"/>
          <w:sz w:val="20"/>
          <w:szCs w:val="20"/>
        </w:rPr>
        <w:t>capacity of 14mn cu m/d (500mn cu f/d),</w:t>
      </w:r>
      <w:r>
        <w:rPr>
          <w:color w:val="57585A"/>
          <w:spacing w:val="2"/>
          <w:sz w:val="20"/>
          <w:szCs w:val="20"/>
        </w:rPr>
        <w:t xml:space="preserve"> </w:t>
      </w:r>
      <w:r>
        <w:rPr>
          <w:color w:val="57585A"/>
          <w:spacing w:val="-10"/>
          <w:sz w:val="20"/>
          <w:szCs w:val="20"/>
        </w:rPr>
        <w:t>was not renewed.</w:t>
      </w:r>
    </w:p>
    <w:p w14:paraId="49E3723D">
      <w:pPr>
        <w:pStyle w:val="4"/>
        <w:spacing w:line="274" w:lineRule="auto"/>
      </w:pPr>
    </w:p>
    <w:p w14:paraId="248870A4">
      <w:pPr>
        <w:pStyle w:val="4"/>
        <w:spacing w:line="274" w:lineRule="auto"/>
      </w:pPr>
    </w:p>
    <w:p w14:paraId="0B055228">
      <w:pPr>
        <w:pStyle w:val="4"/>
        <w:spacing w:before="59" w:line="270" w:lineRule="exact"/>
        <w:ind w:left="375"/>
        <w:rPr>
          <w:sz w:val="20"/>
          <w:szCs w:val="20"/>
        </w:rPr>
      </w:pPr>
      <w:r>
        <w:rPr>
          <w:b/>
          <w:bCs/>
          <w:color w:val="57585A"/>
          <w:spacing w:val="-13"/>
          <w:position w:val="1"/>
          <w:sz w:val="20"/>
          <w:szCs w:val="20"/>
        </w:rPr>
        <w:t>Escobar LNG</w:t>
      </w:r>
    </w:p>
    <w:p w14:paraId="4FD99075">
      <w:pPr>
        <w:pStyle w:val="4"/>
        <w:spacing w:line="242" w:lineRule="auto"/>
      </w:pPr>
    </w:p>
    <w:p w14:paraId="23D3E18B">
      <w:pPr>
        <w:pStyle w:val="4"/>
        <w:spacing w:before="59" w:line="279" w:lineRule="auto"/>
        <w:ind w:left="371" w:right="582" w:firstLine="5"/>
        <w:rPr>
          <w:sz w:val="20"/>
          <w:szCs w:val="20"/>
        </w:rPr>
      </w:pPr>
      <w:r>
        <w:rPr>
          <w:color w:val="57585A"/>
          <w:spacing w:val="-12"/>
          <w:sz w:val="20"/>
          <w:szCs w:val="20"/>
        </w:rPr>
        <w:t>Escobar LNG is a floating regasification plant, situated some 48km north of Buenos</w:t>
      </w:r>
      <w:r>
        <w:rPr>
          <w:color w:val="57585A"/>
          <w:spacing w:val="-15"/>
          <w:sz w:val="20"/>
          <w:szCs w:val="20"/>
        </w:rPr>
        <w:t xml:space="preserve"> </w:t>
      </w:r>
      <w:r>
        <w:rPr>
          <w:color w:val="57585A"/>
          <w:spacing w:val="-12"/>
          <w:sz w:val="20"/>
          <w:szCs w:val="20"/>
        </w:rPr>
        <w:t>Aires. The project</w:t>
      </w:r>
      <w:r>
        <w:rPr>
          <w:color w:val="57585A"/>
          <w:spacing w:val="-16"/>
          <w:sz w:val="20"/>
          <w:szCs w:val="20"/>
        </w:rPr>
        <w:t xml:space="preserve"> </w:t>
      </w:r>
      <w:r>
        <w:rPr>
          <w:color w:val="57585A"/>
          <w:spacing w:val="-12"/>
          <w:sz w:val="20"/>
          <w:szCs w:val="20"/>
        </w:rPr>
        <w:t>was launched i</w:t>
      </w:r>
      <w:r>
        <w:rPr>
          <w:color w:val="57585A"/>
          <w:spacing w:val="-13"/>
          <w:sz w:val="20"/>
          <w:szCs w:val="20"/>
        </w:rPr>
        <w:t>n September</w:t>
      </w:r>
      <w:r>
        <w:rPr>
          <w:color w:val="57585A"/>
          <w:sz w:val="20"/>
          <w:szCs w:val="20"/>
        </w:rPr>
        <w:t xml:space="preserve"> </w:t>
      </w:r>
      <w:r>
        <w:rPr>
          <w:color w:val="57585A"/>
          <w:spacing w:val="-14"/>
          <w:sz w:val="20"/>
          <w:szCs w:val="20"/>
        </w:rPr>
        <w:t>2010 by US-based Excelerate Energy, YPF and Argentina-based Enersa and received its first cargo in</w:t>
      </w:r>
      <w:r>
        <w:rPr>
          <w:color w:val="57585A"/>
          <w:spacing w:val="-8"/>
          <w:sz w:val="20"/>
          <w:szCs w:val="20"/>
        </w:rPr>
        <w:t xml:space="preserve"> </w:t>
      </w:r>
      <w:r>
        <w:rPr>
          <w:color w:val="57585A"/>
          <w:spacing w:val="-14"/>
          <w:sz w:val="20"/>
          <w:szCs w:val="20"/>
        </w:rPr>
        <w:t>June</w:t>
      </w:r>
      <w:r>
        <w:rPr>
          <w:color w:val="57585A"/>
          <w:spacing w:val="-4"/>
          <w:sz w:val="20"/>
          <w:szCs w:val="20"/>
        </w:rPr>
        <w:t xml:space="preserve"> </w:t>
      </w:r>
      <w:r>
        <w:rPr>
          <w:color w:val="57585A"/>
          <w:spacing w:val="-14"/>
          <w:sz w:val="20"/>
          <w:szCs w:val="20"/>
        </w:rPr>
        <w:t>2011. The facility has a</w:t>
      </w:r>
      <w:r>
        <w:rPr>
          <w:color w:val="57585A"/>
          <w:sz w:val="20"/>
          <w:szCs w:val="20"/>
        </w:rPr>
        <w:t xml:space="preserve"> </w:t>
      </w:r>
      <w:r>
        <w:rPr>
          <w:color w:val="57585A"/>
          <w:spacing w:val="-12"/>
          <w:sz w:val="20"/>
          <w:szCs w:val="20"/>
        </w:rPr>
        <w:t xml:space="preserve">regasification capacity of 5.2bcm per year. Deliveries to Escobar are generally more expensive because of logistical </w:t>
      </w:r>
      <w:r>
        <w:rPr>
          <w:color w:val="57585A"/>
          <w:spacing w:val="-13"/>
          <w:sz w:val="20"/>
          <w:szCs w:val="20"/>
        </w:rPr>
        <w:t>challenges</w:t>
      </w:r>
    </w:p>
    <w:p w14:paraId="6712AFBF">
      <w:pPr>
        <w:pStyle w:val="4"/>
        <w:spacing w:before="37" w:line="279" w:lineRule="auto"/>
        <w:ind w:left="367" w:right="851"/>
        <w:rPr>
          <w:sz w:val="20"/>
          <w:szCs w:val="20"/>
        </w:rPr>
      </w:pPr>
      <w:r>
        <w:rPr>
          <w:color w:val="57585A"/>
          <w:spacing w:val="-11"/>
          <w:sz w:val="20"/>
          <w:szCs w:val="20"/>
        </w:rPr>
        <w:t>associated</w:t>
      </w:r>
      <w:r>
        <w:rPr>
          <w:color w:val="57585A"/>
          <w:spacing w:val="-15"/>
          <w:sz w:val="20"/>
          <w:szCs w:val="20"/>
        </w:rPr>
        <w:t xml:space="preserve"> </w:t>
      </w:r>
      <w:r>
        <w:rPr>
          <w:color w:val="57585A"/>
          <w:spacing w:val="-11"/>
          <w:sz w:val="20"/>
          <w:szCs w:val="20"/>
        </w:rPr>
        <w:t>with its location</w:t>
      </w:r>
      <w:r>
        <w:rPr>
          <w:color w:val="57585A"/>
          <w:spacing w:val="-12"/>
          <w:sz w:val="20"/>
          <w:szCs w:val="20"/>
        </w:rPr>
        <w:t xml:space="preserve"> on a narrow Parana River channel that is only suitable for small or partial cargoes.</w:t>
      </w:r>
      <w:r>
        <w:rPr>
          <w:color w:val="57585A"/>
          <w:sz w:val="20"/>
          <w:szCs w:val="20"/>
        </w:rPr>
        <w:t xml:space="preserve"> </w:t>
      </w:r>
      <w:r>
        <w:rPr>
          <w:color w:val="57585A"/>
          <w:spacing w:val="-12"/>
          <w:sz w:val="20"/>
          <w:szCs w:val="20"/>
        </w:rPr>
        <w:t>Beyond logistical</w:t>
      </w:r>
      <w:r>
        <w:rPr>
          <w:color w:val="57585A"/>
          <w:sz w:val="20"/>
          <w:szCs w:val="20"/>
        </w:rPr>
        <w:t xml:space="preserve"> </w:t>
      </w:r>
      <w:r>
        <w:rPr>
          <w:color w:val="57585A"/>
          <w:spacing w:val="-11"/>
          <w:sz w:val="20"/>
          <w:szCs w:val="20"/>
        </w:rPr>
        <w:t>difficulties, the LNG activities in Escobar have long faced opposition from local residents, encouraging the development</w:t>
      </w:r>
      <w:r>
        <w:rPr>
          <w:color w:val="57585A"/>
          <w:spacing w:val="-12"/>
          <w:sz w:val="20"/>
          <w:szCs w:val="20"/>
        </w:rPr>
        <w:t xml:space="preserve"> of</w:t>
      </w:r>
      <w:r>
        <w:rPr>
          <w:color w:val="57585A"/>
          <w:spacing w:val="-17"/>
          <w:sz w:val="20"/>
          <w:szCs w:val="20"/>
        </w:rPr>
        <w:t xml:space="preserve"> </w:t>
      </w:r>
      <w:r>
        <w:rPr>
          <w:color w:val="57585A"/>
          <w:spacing w:val="-12"/>
          <w:sz w:val="20"/>
          <w:szCs w:val="20"/>
        </w:rPr>
        <w:t>an</w:t>
      </w:r>
      <w:r>
        <w:rPr>
          <w:color w:val="57585A"/>
          <w:sz w:val="20"/>
          <w:szCs w:val="20"/>
        </w:rPr>
        <w:t xml:space="preserve"> </w:t>
      </w:r>
      <w:r>
        <w:rPr>
          <w:color w:val="57585A"/>
          <w:spacing w:val="-11"/>
          <w:sz w:val="20"/>
          <w:szCs w:val="20"/>
        </w:rPr>
        <w:t>additional</w:t>
      </w:r>
      <w:r>
        <w:rPr>
          <w:color w:val="57585A"/>
          <w:spacing w:val="-8"/>
          <w:sz w:val="20"/>
          <w:szCs w:val="20"/>
        </w:rPr>
        <w:t xml:space="preserve"> </w:t>
      </w:r>
      <w:r>
        <w:rPr>
          <w:color w:val="57585A"/>
          <w:spacing w:val="-11"/>
          <w:sz w:val="20"/>
          <w:szCs w:val="20"/>
        </w:rPr>
        <w:t>facility in the Dock Sud area.</w:t>
      </w:r>
    </w:p>
    <w:p w14:paraId="3B8C3AF7">
      <w:pPr>
        <w:spacing w:line="279" w:lineRule="auto"/>
        <w:rPr>
          <w:sz w:val="20"/>
          <w:szCs w:val="20"/>
        </w:rPr>
        <w:sectPr>
          <w:footerReference r:id="rId74" w:type="default"/>
          <w:pgSz w:w="11906" w:h="16838"/>
          <w:pgMar w:top="400" w:right="490" w:bottom="883" w:left="490" w:header="0" w:footer="0" w:gutter="0"/>
          <w:cols w:space="720" w:num="1"/>
        </w:sectPr>
      </w:pPr>
    </w:p>
    <w:p w14:paraId="0DB987E3">
      <w:pPr>
        <w:pStyle w:val="4"/>
        <w:spacing w:before="73" w:line="241" w:lineRule="auto"/>
        <w:ind w:left="7372"/>
        <w:rPr>
          <w:sz w:val="20"/>
          <w:szCs w:val="20"/>
        </w:rPr>
      </w:pPr>
      <w:r>
        <w:drawing>
          <wp:anchor distT="0" distB="0" distL="0" distR="0" simplePos="0" relativeHeight="25193164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32672" behindDoc="0" locked="0" layoutInCell="0" allowOverlap="1">
            <wp:simplePos x="0" y="0"/>
            <wp:positionH relativeFrom="page">
              <wp:posOffset>311150</wp:posOffset>
            </wp:positionH>
            <wp:positionV relativeFrom="page">
              <wp:posOffset>0</wp:posOffset>
            </wp:positionV>
            <wp:extent cx="19050" cy="814070"/>
            <wp:effectExtent l="0" t="0" r="0" b="0"/>
            <wp:wrapNone/>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7A32EE3">
      <w:pPr>
        <w:pStyle w:val="4"/>
        <w:spacing w:line="278" w:lineRule="auto"/>
      </w:pPr>
    </w:p>
    <w:p w14:paraId="7E578DC1">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100AD6B6">
      <w:pPr>
        <w:pStyle w:val="4"/>
        <w:spacing w:line="251" w:lineRule="auto"/>
      </w:pPr>
    </w:p>
    <w:p w14:paraId="1D6B4A75">
      <w:pPr>
        <w:pStyle w:val="4"/>
        <w:spacing w:line="251" w:lineRule="auto"/>
      </w:pPr>
    </w:p>
    <w:p w14:paraId="5B0326A9">
      <w:pPr>
        <w:pStyle w:val="4"/>
        <w:spacing w:line="251" w:lineRule="auto"/>
      </w:pPr>
    </w:p>
    <w:p w14:paraId="63792830">
      <w:pPr>
        <w:pStyle w:val="4"/>
        <w:spacing w:before="58" w:line="241" w:lineRule="auto"/>
        <w:ind w:left="360"/>
        <w:rPr>
          <w:sz w:val="20"/>
          <w:szCs w:val="20"/>
        </w:rPr>
      </w:pPr>
      <w:r>
        <w:rPr>
          <w:b/>
          <w:bCs/>
          <w:color w:val="57585A"/>
          <w:spacing w:val="-11"/>
          <w:sz w:val="20"/>
          <w:szCs w:val="20"/>
        </w:rPr>
        <w:t>Tango LNG Export</w:t>
      </w:r>
      <w:r>
        <w:rPr>
          <w:b/>
          <w:bCs/>
          <w:color w:val="57585A"/>
          <w:spacing w:val="-5"/>
          <w:sz w:val="20"/>
          <w:szCs w:val="20"/>
        </w:rPr>
        <w:t xml:space="preserve"> </w:t>
      </w:r>
      <w:r>
        <w:rPr>
          <w:b/>
          <w:bCs/>
          <w:color w:val="57585A"/>
          <w:spacing w:val="-11"/>
          <w:sz w:val="20"/>
          <w:szCs w:val="20"/>
        </w:rPr>
        <w:t>Terminal</w:t>
      </w:r>
    </w:p>
    <w:p w14:paraId="16A677B9">
      <w:pPr>
        <w:pStyle w:val="4"/>
        <w:spacing w:line="281" w:lineRule="auto"/>
      </w:pPr>
    </w:p>
    <w:p w14:paraId="116C5DA0">
      <w:pPr>
        <w:pStyle w:val="4"/>
        <w:spacing w:before="57" w:line="231" w:lineRule="auto"/>
        <w:ind w:left="376"/>
        <w:rPr>
          <w:sz w:val="20"/>
          <w:szCs w:val="20"/>
        </w:rPr>
      </w:pPr>
      <w:r>
        <w:rPr>
          <w:color w:val="57585A"/>
          <w:spacing w:val="-13"/>
          <w:sz w:val="20"/>
          <w:szCs w:val="20"/>
        </w:rPr>
        <w:t>In</w:t>
      </w:r>
      <w:r>
        <w:rPr>
          <w:color w:val="57585A"/>
          <w:spacing w:val="-24"/>
          <w:sz w:val="20"/>
          <w:szCs w:val="20"/>
        </w:rPr>
        <w:t xml:space="preserve"> </w:t>
      </w:r>
      <w:r>
        <w:rPr>
          <w:color w:val="57585A"/>
          <w:spacing w:val="-13"/>
          <w:sz w:val="20"/>
          <w:szCs w:val="20"/>
        </w:rPr>
        <w:t>June 2019,</w:t>
      </w:r>
      <w:r>
        <w:rPr>
          <w:color w:val="57585A"/>
          <w:spacing w:val="-15"/>
          <w:sz w:val="20"/>
          <w:szCs w:val="20"/>
        </w:rPr>
        <w:t xml:space="preserve"> </w:t>
      </w:r>
      <w:r>
        <w:rPr>
          <w:color w:val="57585A"/>
          <w:spacing w:val="-13"/>
          <w:sz w:val="20"/>
          <w:szCs w:val="20"/>
        </w:rPr>
        <w:t>YPF shipped the</w:t>
      </w:r>
      <w:r>
        <w:rPr>
          <w:color w:val="57585A"/>
          <w:spacing w:val="-12"/>
          <w:sz w:val="20"/>
          <w:szCs w:val="20"/>
        </w:rPr>
        <w:t xml:space="preserve"> </w:t>
      </w:r>
      <w:r>
        <w:rPr>
          <w:color w:val="57585A"/>
          <w:spacing w:val="-13"/>
          <w:sz w:val="20"/>
          <w:szCs w:val="20"/>
        </w:rPr>
        <w:t>first cargo its first LNG exporting ves</w:t>
      </w:r>
      <w:r>
        <w:rPr>
          <w:color w:val="57585A"/>
          <w:spacing w:val="-14"/>
          <w:sz w:val="20"/>
          <w:szCs w:val="20"/>
        </w:rPr>
        <w:t>sel - Tango LNG. This floating LNG vessel has a production</w:t>
      </w:r>
    </w:p>
    <w:p w14:paraId="5101CFF3">
      <w:pPr>
        <w:pStyle w:val="4"/>
        <w:spacing w:before="58" w:line="273" w:lineRule="auto"/>
        <w:ind w:left="375" w:right="718" w:hanging="6"/>
        <w:rPr>
          <w:sz w:val="20"/>
          <w:szCs w:val="20"/>
        </w:rPr>
      </w:pPr>
      <w:r>
        <w:rPr>
          <w:color w:val="57585A"/>
          <w:spacing w:val="-12"/>
          <w:sz w:val="20"/>
          <w:szCs w:val="20"/>
        </w:rPr>
        <w:t>capacity of 500,000mt and is expected to produce eight export cargos per</w:t>
      </w:r>
      <w:r>
        <w:rPr>
          <w:color w:val="57585A"/>
          <w:spacing w:val="-10"/>
          <w:sz w:val="20"/>
          <w:szCs w:val="20"/>
        </w:rPr>
        <w:t xml:space="preserve"> </w:t>
      </w:r>
      <w:r>
        <w:rPr>
          <w:color w:val="57585A"/>
          <w:spacing w:val="-12"/>
          <w:sz w:val="20"/>
          <w:szCs w:val="20"/>
        </w:rPr>
        <w:t>year. Bahia Blanca is connected</w:t>
      </w:r>
      <w:r>
        <w:rPr>
          <w:color w:val="57585A"/>
          <w:spacing w:val="-15"/>
          <w:sz w:val="20"/>
          <w:szCs w:val="20"/>
        </w:rPr>
        <w:t xml:space="preserve"> </w:t>
      </w:r>
      <w:r>
        <w:rPr>
          <w:color w:val="57585A"/>
          <w:spacing w:val="-12"/>
          <w:sz w:val="20"/>
          <w:szCs w:val="20"/>
        </w:rPr>
        <w:t>with Vaca Muerta</w:t>
      </w:r>
      <w:r>
        <w:rPr>
          <w:color w:val="57585A"/>
          <w:spacing w:val="-16"/>
          <w:sz w:val="20"/>
          <w:szCs w:val="20"/>
        </w:rPr>
        <w:t xml:space="preserve"> </w:t>
      </w:r>
      <w:r>
        <w:rPr>
          <w:color w:val="57585A"/>
          <w:spacing w:val="-12"/>
          <w:sz w:val="20"/>
          <w:szCs w:val="20"/>
        </w:rPr>
        <w:t>via</w:t>
      </w:r>
      <w:r>
        <w:rPr>
          <w:color w:val="57585A"/>
          <w:sz w:val="20"/>
          <w:szCs w:val="20"/>
        </w:rPr>
        <w:t xml:space="preserve"> </w:t>
      </w:r>
      <w:r>
        <w:rPr>
          <w:color w:val="57585A"/>
          <w:spacing w:val="-13"/>
          <w:sz w:val="20"/>
          <w:szCs w:val="20"/>
        </w:rPr>
        <w:t>Neuba I gas pipeline.</w:t>
      </w:r>
    </w:p>
    <w:p w14:paraId="1E177EF6">
      <w:pPr>
        <w:pStyle w:val="4"/>
        <w:spacing w:line="291" w:lineRule="auto"/>
      </w:pPr>
    </w:p>
    <w:p w14:paraId="1FDD17E0">
      <w:pPr>
        <w:pStyle w:val="4"/>
        <w:spacing w:line="292" w:lineRule="auto"/>
      </w:pPr>
    </w:p>
    <w:p w14:paraId="20CDE44F">
      <w:pPr>
        <w:pStyle w:val="4"/>
        <w:spacing w:before="58" w:line="166" w:lineRule="auto"/>
        <w:ind w:left="365"/>
        <w:rPr>
          <w:sz w:val="20"/>
          <w:szCs w:val="20"/>
        </w:rPr>
      </w:pPr>
      <w:r>
        <w:rPr>
          <w:b/>
          <w:bCs/>
          <w:color w:val="57585A"/>
          <w:spacing w:val="-10"/>
          <w:sz w:val="20"/>
          <w:szCs w:val="20"/>
        </w:rPr>
        <w:t>Southern Cone LNG (Planned)</w:t>
      </w:r>
    </w:p>
    <w:p w14:paraId="4E2BFCFF">
      <w:pPr>
        <w:pStyle w:val="4"/>
        <w:spacing w:line="317" w:lineRule="auto"/>
      </w:pPr>
    </w:p>
    <w:p w14:paraId="2F290716">
      <w:pPr>
        <w:pStyle w:val="4"/>
        <w:spacing w:before="58" w:line="273" w:lineRule="auto"/>
        <w:ind w:left="371" w:right="510" w:hanging="5"/>
        <w:rPr>
          <w:sz w:val="20"/>
          <w:szCs w:val="20"/>
        </w:rPr>
      </w:pPr>
      <w:r>
        <w:rPr>
          <w:color w:val="57585A"/>
          <w:spacing w:val="-12"/>
          <w:sz w:val="20"/>
          <w:szCs w:val="20"/>
        </w:rPr>
        <w:t>Southern Cone LNG, the market's third FLNG terminal (to be operated by st</w:t>
      </w:r>
      <w:r>
        <w:rPr>
          <w:color w:val="57585A"/>
          <w:spacing w:val="-13"/>
          <w:sz w:val="20"/>
          <w:szCs w:val="20"/>
        </w:rPr>
        <w:t>ate-owned Enarsa)</w:t>
      </w:r>
      <w:r>
        <w:rPr>
          <w:color w:val="57585A"/>
          <w:spacing w:val="-16"/>
          <w:sz w:val="20"/>
          <w:szCs w:val="20"/>
        </w:rPr>
        <w:t xml:space="preserve"> </w:t>
      </w:r>
      <w:r>
        <w:rPr>
          <w:color w:val="57585A"/>
          <w:spacing w:val="-13"/>
          <w:sz w:val="20"/>
          <w:szCs w:val="20"/>
        </w:rPr>
        <w:t>was expected to come on stream in</w:t>
      </w:r>
      <w:r>
        <w:rPr>
          <w:color w:val="57585A"/>
          <w:sz w:val="20"/>
          <w:szCs w:val="20"/>
        </w:rPr>
        <w:t xml:space="preserve"> </w:t>
      </w:r>
      <w:r>
        <w:rPr>
          <w:color w:val="57585A"/>
          <w:spacing w:val="-11"/>
          <w:sz w:val="20"/>
          <w:szCs w:val="20"/>
        </w:rPr>
        <w:t>2014</w:t>
      </w:r>
      <w:r>
        <w:rPr>
          <w:color w:val="57585A"/>
          <w:spacing w:val="-16"/>
          <w:sz w:val="20"/>
          <w:szCs w:val="20"/>
        </w:rPr>
        <w:t xml:space="preserve"> </w:t>
      </w:r>
      <w:r>
        <w:rPr>
          <w:color w:val="57585A"/>
          <w:spacing w:val="-11"/>
          <w:sz w:val="20"/>
          <w:szCs w:val="20"/>
        </w:rPr>
        <w:t>with</w:t>
      </w:r>
      <w:r>
        <w:rPr>
          <w:color w:val="57585A"/>
          <w:spacing w:val="-15"/>
          <w:sz w:val="20"/>
          <w:szCs w:val="20"/>
        </w:rPr>
        <w:t xml:space="preserve"> </w:t>
      </w:r>
      <w:r>
        <w:rPr>
          <w:color w:val="57585A"/>
          <w:spacing w:val="-11"/>
          <w:sz w:val="20"/>
          <w:szCs w:val="20"/>
        </w:rPr>
        <w:t>volumes sourced from Qatar under a 20-ye</w:t>
      </w:r>
      <w:r>
        <w:rPr>
          <w:color w:val="57585A"/>
          <w:spacing w:val="-12"/>
          <w:sz w:val="20"/>
          <w:szCs w:val="20"/>
        </w:rPr>
        <w:t>ar purchase agreement. However, the purchase agreement and project</w:t>
      </w:r>
    </w:p>
    <w:p w14:paraId="619BD0E4">
      <w:pPr>
        <w:pStyle w:val="4"/>
        <w:spacing w:before="37" w:line="273" w:lineRule="auto"/>
        <w:ind w:left="368" w:right="920" w:hanging="2"/>
        <w:rPr>
          <w:sz w:val="20"/>
          <w:szCs w:val="20"/>
        </w:rPr>
      </w:pPr>
      <w:r>
        <w:rPr>
          <w:color w:val="57585A"/>
          <w:spacing w:val="-11"/>
          <w:sz w:val="20"/>
          <w:szCs w:val="20"/>
        </w:rPr>
        <w:t>stalled</w:t>
      </w:r>
      <w:r>
        <w:rPr>
          <w:color w:val="57585A"/>
          <w:spacing w:val="-16"/>
          <w:sz w:val="20"/>
          <w:szCs w:val="20"/>
        </w:rPr>
        <w:t xml:space="preserve"> </w:t>
      </w:r>
      <w:r>
        <w:rPr>
          <w:color w:val="57585A"/>
          <w:spacing w:val="-11"/>
          <w:sz w:val="20"/>
          <w:szCs w:val="20"/>
        </w:rPr>
        <w:t>when the government nationalised</w:t>
      </w:r>
      <w:r>
        <w:rPr>
          <w:color w:val="57585A"/>
          <w:spacing w:val="-16"/>
          <w:sz w:val="20"/>
          <w:szCs w:val="20"/>
        </w:rPr>
        <w:t xml:space="preserve"> </w:t>
      </w:r>
      <w:r>
        <w:rPr>
          <w:color w:val="57585A"/>
          <w:spacing w:val="-11"/>
          <w:sz w:val="20"/>
          <w:szCs w:val="20"/>
        </w:rPr>
        <w:t>YPF, according to reports by the L</w:t>
      </w:r>
      <w:r>
        <w:rPr>
          <w:color w:val="57585A"/>
          <w:spacing w:val="-12"/>
          <w:sz w:val="20"/>
          <w:szCs w:val="20"/>
        </w:rPr>
        <w:t>NG</w:t>
      </w:r>
      <w:r>
        <w:rPr>
          <w:color w:val="57585A"/>
          <w:spacing w:val="-23"/>
          <w:sz w:val="20"/>
          <w:szCs w:val="20"/>
        </w:rPr>
        <w:t xml:space="preserve"> </w:t>
      </w:r>
      <w:r>
        <w:rPr>
          <w:color w:val="57585A"/>
          <w:spacing w:val="-12"/>
          <w:sz w:val="20"/>
          <w:szCs w:val="20"/>
        </w:rPr>
        <w:t>Journal in November 2013.</w:t>
      </w:r>
      <w:r>
        <w:rPr>
          <w:color w:val="57585A"/>
          <w:spacing w:val="-15"/>
          <w:sz w:val="20"/>
          <w:szCs w:val="20"/>
        </w:rPr>
        <w:t xml:space="preserve"> </w:t>
      </w:r>
      <w:r>
        <w:rPr>
          <w:color w:val="57585A"/>
          <w:spacing w:val="-12"/>
          <w:sz w:val="20"/>
          <w:szCs w:val="20"/>
        </w:rPr>
        <w:t>At time of</w:t>
      </w:r>
      <w:r>
        <w:rPr>
          <w:color w:val="57585A"/>
          <w:spacing w:val="-25"/>
          <w:sz w:val="20"/>
          <w:szCs w:val="20"/>
        </w:rPr>
        <w:t xml:space="preserve"> </w:t>
      </w:r>
      <w:r>
        <w:rPr>
          <w:color w:val="57585A"/>
          <w:spacing w:val="-12"/>
          <w:sz w:val="20"/>
          <w:szCs w:val="20"/>
        </w:rPr>
        <w:t>writing</w:t>
      </w:r>
      <w:r>
        <w:rPr>
          <w:color w:val="57585A"/>
          <w:sz w:val="20"/>
          <w:szCs w:val="20"/>
        </w:rPr>
        <w:t xml:space="preserve"> </w:t>
      </w:r>
      <w:r>
        <w:rPr>
          <w:color w:val="57585A"/>
          <w:spacing w:val="-11"/>
          <w:sz w:val="20"/>
          <w:szCs w:val="20"/>
        </w:rPr>
        <w:t>(August 2024), there has not been an update to the project.</w:t>
      </w:r>
    </w:p>
    <w:p w14:paraId="7DC981FE">
      <w:pPr>
        <w:pStyle w:val="4"/>
        <w:spacing w:line="262" w:lineRule="auto"/>
      </w:pPr>
    </w:p>
    <w:p w14:paraId="23479562">
      <w:pPr>
        <w:pStyle w:val="4"/>
        <w:spacing w:before="58" w:line="241" w:lineRule="auto"/>
        <w:ind w:left="375"/>
        <w:rPr>
          <w:sz w:val="20"/>
          <w:szCs w:val="20"/>
        </w:rPr>
      </w:pPr>
      <w:r>
        <w:rPr>
          <w:b/>
          <w:bCs/>
          <w:color w:val="57585A"/>
          <w:spacing w:val="-11"/>
          <w:sz w:val="20"/>
          <w:szCs w:val="20"/>
        </w:rPr>
        <w:t>La Plata LNG (Proposed)</w:t>
      </w:r>
    </w:p>
    <w:p w14:paraId="0C12F56C">
      <w:pPr>
        <w:pStyle w:val="4"/>
        <w:spacing w:line="281" w:lineRule="auto"/>
      </w:pPr>
    </w:p>
    <w:p w14:paraId="4C948B61">
      <w:pPr>
        <w:pStyle w:val="4"/>
        <w:spacing w:before="57" w:line="231" w:lineRule="auto"/>
        <w:ind w:left="376"/>
        <w:rPr>
          <w:sz w:val="20"/>
          <w:szCs w:val="20"/>
        </w:rPr>
      </w:pPr>
      <w:r>
        <w:rPr>
          <w:color w:val="57585A"/>
          <w:spacing w:val="-11"/>
          <w:sz w:val="20"/>
          <w:szCs w:val="20"/>
        </w:rPr>
        <w:t>In October 2016,</w:t>
      </w:r>
      <w:r>
        <w:rPr>
          <w:color w:val="57585A"/>
          <w:spacing w:val="-16"/>
          <w:sz w:val="20"/>
          <w:szCs w:val="20"/>
        </w:rPr>
        <w:t xml:space="preserve"> </w:t>
      </w:r>
      <w:r>
        <w:rPr>
          <w:color w:val="57585A"/>
          <w:spacing w:val="-11"/>
          <w:sz w:val="20"/>
          <w:szCs w:val="20"/>
        </w:rPr>
        <w:t>YPF launched negotiations</w:t>
      </w:r>
      <w:r>
        <w:rPr>
          <w:color w:val="57585A"/>
          <w:spacing w:val="-15"/>
          <w:sz w:val="20"/>
          <w:szCs w:val="20"/>
        </w:rPr>
        <w:t xml:space="preserve"> </w:t>
      </w:r>
      <w:r>
        <w:rPr>
          <w:color w:val="57585A"/>
          <w:spacing w:val="-11"/>
          <w:sz w:val="20"/>
          <w:szCs w:val="20"/>
        </w:rPr>
        <w:t>with Corporacion</w:t>
      </w:r>
      <w:r>
        <w:rPr>
          <w:color w:val="57585A"/>
          <w:spacing w:val="-16"/>
          <w:sz w:val="20"/>
          <w:szCs w:val="20"/>
        </w:rPr>
        <w:t xml:space="preserve"> </w:t>
      </w:r>
      <w:r>
        <w:rPr>
          <w:color w:val="57585A"/>
          <w:spacing w:val="-11"/>
          <w:sz w:val="20"/>
          <w:szCs w:val="20"/>
        </w:rPr>
        <w:t>America to build a third LN</w:t>
      </w:r>
      <w:r>
        <w:rPr>
          <w:color w:val="57585A"/>
          <w:spacing w:val="-12"/>
          <w:sz w:val="20"/>
          <w:szCs w:val="20"/>
        </w:rPr>
        <w:t>G receiving terminal south of Buenos</w:t>
      </w:r>
    </w:p>
    <w:p w14:paraId="310CD2F0">
      <w:pPr>
        <w:pStyle w:val="4"/>
        <w:spacing w:before="59" w:line="273" w:lineRule="auto"/>
        <w:ind w:left="375" w:right="375" w:hanging="16"/>
        <w:rPr>
          <w:sz w:val="20"/>
          <w:szCs w:val="20"/>
        </w:rPr>
      </w:pPr>
      <w:r>
        <w:rPr>
          <w:color w:val="57585A"/>
          <w:spacing w:val="-10"/>
          <w:sz w:val="20"/>
          <w:szCs w:val="20"/>
        </w:rPr>
        <w:t>Aires. The negotiatio</w:t>
      </w:r>
      <w:r>
        <w:rPr>
          <w:color w:val="57585A"/>
          <w:spacing w:val="-11"/>
          <w:sz w:val="20"/>
          <w:szCs w:val="20"/>
        </w:rPr>
        <w:t>ns centre around building regasification facilities on the La Plata River, close to existing port infrastructure in the</w:t>
      </w:r>
      <w:r>
        <w:rPr>
          <w:color w:val="57585A"/>
          <w:sz w:val="20"/>
          <w:szCs w:val="20"/>
        </w:rPr>
        <w:t xml:space="preserve"> </w:t>
      </w:r>
      <w:r>
        <w:rPr>
          <w:color w:val="57585A"/>
          <w:spacing w:val="-11"/>
          <w:sz w:val="20"/>
          <w:szCs w:val="20"/>
        </w:rPr>
        <w:t>Dock Sud district of Buenos</w:t>
      </w:r>
      <w:r>
        <w:rPr>
          <w:color w:val="57585A"/>
          <w:spacing w:val="-15"/>
          <w:sz w:val="20"/>
          <w:szCs w:val="20"/>
        </w:rPr>
        <w:t xml:space="preserve"> </w:t>
      </w:r>
      <w:r>
        <w:rPr>
          <w:color w:val="57585A"/>
          <w:spacing w:val="-11"/>
          <w:sz w:val="20"/>
          <w:szCs w:val="20"/>
        </w:rPr>
        <w:t>Aires. Dock Sud is an industr</w:t>
      </w:r>
      <w:r>
        <w:rPr>
          <w:color w:val="57585A"/>
          <w:spacing w:val="-12"/>
          <w:sz w:val="20"/>
          <w:szCs w:val="20"/>
        </w:rPr>
        <w:t>ial hub that encompasses an oil refinery and petrochemical activities.</w:t>
      </w:r>
    </w:p>
    <w:p w14:paraId="53C1292F">
      <w:pPr>
        <w:pStyle w:val="4"/>
        <w:spacing w:line="262" w:lineRule="auto"/>
      </w:pPr>
    </w:p>
    <w:p w14:paraId="3275F435">
      <w:pPr>
        <w:pStyle w:val="4"/>
        <w:spacing w:before="58" w:line="270" w:lineRule="exact"/>
        <w:ind w:left="359"/>
        <w:rPr>
          <w:sz w:val="20"/>
          <w:szCs w:val="20"/>
        </w:rPr>
      </w:pPr>
      <w:r>
        <w:rPr>
          <w:b/>
          <w:bCs/>
          <w:color w:val="57585A"/>
          <w:spacing w:val="-10"/>
          <w:position w:val="1"/>
          <w:sz w:val="20"/>
          <w:szCs w:val="20"/>
        </w:rPr>
        <w:t>YPF-Petronas LNG</w:t>
      </w:r>
      <w:r>
        <w:rPr>
          <w:b/>
          <w:bCs/>
          <w:color w:val="57585A"/>
          <w:spacing w:val="-8"/>
          <w:position w:val="1"/>
          <w:sz w:val="20"/>
          <w:szCs w:val="20"/>
        </w:rPr>
        <w:t xml:space="preserve"> </w:t>
      </w:r>
      <w:r>
        <w:rPr>
          <w:b/>
          <w:bCs/>
          <w:color w:val="57585A"/>
          <w:spacing w:val="-10"/>
          <w:position w:val="1"/>
          <w:sz w:val="20"/>
          <w:szCs w:val="20"/>
        </w:rPr>
        <w:t>Terminal</w:t>
      </w:r>
    </w:p>
    <w:p w14:paraId="7C871A61">
      <w:pPr>
        <w:pStyle w:val="4"/>
        <w:spacing w:line="241" w:lineRule="auto"/>
      </w:pPr>
    </w:p>
    <w:p w14:paraId="15BDFF7B">
      <w:pPr>
        <w:pStyle w:val="4"/>
        <w:spacing w:before="59" w:line="231" w:lineRule="auto"/>
        <w:ind w:left="369"/>
        <w:rPr>
          <w:sz w:val="20"/>
          <w:szCs w:val="20"/>
        </w:rPr>
      </w:pPr>
      <w:r>
        <w:rPr>
          <w:color w:val="57585A"/>
          <w:spacing w:val="-11"/>
          <w:sz w:val="20"/>
          <w:szCs w:val="20"/>
        </w:rPr>
        <w:t>On September 1 2022, represent</w:t>
      </w:r>
      <w:r>
        <w:rPr>
          <w:color w:val="57585A"/>
          <w:spacing w:val="-12"/>
          <w:sz w:val="20"/>
          <w:szCs w:val="20"/>
        </w:rPr>
        <w:t>atives of</w:t>
      </w:r>
      <w:r>
        <w:rPr>
          <w:color w:val="57585A"/>
          <w:spacing w:val="-25"/>
          <w:sz w:val="20"/>
          <w:szCs w:val="20"/>
        </w:rPr>
        <w:t xml:space="preserve"> </w:t>
      </w:r>
      <w:r>
        <w:rPr>
          <w:color w:val="57585A"/>
          <w:spacing w:val="-12"/>
          <w:sz w:val="20"/>
          <w:szCs w:val="20"/>
        </w:rPr>
        <w:t>YPF and Petronas signed a memorandum of understanding under</w:t>
      </w:r>
      <w:r>
        <w:rPr>
          <w:color w:val="57585A"/>
          <w:spacing w:val="-16"/>
          <w:sz w:val="20"/>
          <w:szCs w:val="20"/>
        </w:rPr>
        <w:t xml:space="preserve"> </w:t>
      </w:r>
      <w:r>
        <w:rPr>
          <w:color w:val="57585A"/>
          <w:spacing w:val="-12"/>
          <w:sz w:val="20"/>
          <w:szCs w:val="20"/>
        </w:rPr>
        <w:t>which the two</w:t>
      </w:r>
    </w:p>
    <w:p w14:paraId="123E0D73">
      <w:pPr>
        <w:pStyle w:val="4"/>
        <w:spacing w:before="58" w:line="273" w:lineRule="auto"/>
        <w:ind w:left="369" w:right="543"/>
        <w:rPr>
          <w:sz w:val="20"/>
          <w:szCs w:val="20"/>
        </w:rPr>
      </w:pPr>
      <w:r>
        <w:rPr>
          <w:color w:val="57585A"/>
          <w:spacing w:val="-11"/>
          <w:sz w:val="20"/>
          <w:szCs w:val="20"/>
        </w:rPr>
        <w:t>companies agreed to pursue collaboration in an integrated LNG project and other areas including upstream oil, petroch</w:t>
      </w:r>
      <w:r>
        <w:rPr>
          <w:color w:val="57585A"/>
          <w:spacing w:val="-12"/>
          <w:sz w:val="20"/>
          <w:szCs w:val="20"/>
        </w:rPr>
        <w:t>emicals or</w:t>
      </w:r>
      <w:r>
        <w:rPr>
          <w:color w:val="57585A"/>
          <w:sz w:val="20"/>
          <w:szCs w:val="20"/>
        </w:rPr>
        <w:t xml:space="preserve"> </w:t>
      </w:r>
      <w:r>
        <w:rPr>
          <w:color w:val="57585A"/>
          <w:spacing w:val="-12"/>
          <w:sz w:val="20"/>
          <w:szCs w:val="20"/>
        </w:rPr>
        <w:t>clean energy. In August 2024, YPF and Petronas, w</w:t>
      </w:r>
      <w:r>
        <w:rPr>
          <w:color w:val="57585A"/>
          <w:spacing w:val="-13"/>
          <w:sz w:val="20"/>
          <w:szCs w:val="20"/>
        </w:rPr>
        <w:t>hich are planning an export terminal in Argentina, announced Rio Negro as a</w:t>
      </w:r>
    </w:p>
    <w:p w14:paraId="74B2A50E">
      <w:pPr>
        <w:pStyle w:val="4"/>
        <w:spacing w:before="38" w:line="280" w:lineRule="auto"/>
        <w:ind w:left="363" w:right="464" w:firstLine="10"/>
        <w:rPr>
          <w:sz w:val="20"/>
          <w:szCs w:val="20"/>
        </w:rPr>
      </w:pPr>
      <w:r>
        <w:rPr>
          <w:color w:val="57585A"/>
          <w:spacing w:val="-11"/>
          <w:sz w:val="20"/>
          <w:szCs w:val="20"/>
        </w:rPr>
        <w:t>location for their</w:t>
      </w:r>
      <w:r>
        <w:rPr>
          <w:color w:val="57585A"/>
          <w:spacing w:val="-12"/>
          <w:sz w:val="20"/>
          <w:szCs w:val="20"/>
        </w:rPr>
        <w:t xml:space="preserve"> </w:t>
      </w:r>
      <w:r>
        <w:rPr>
          <w:color w:val="57585A"/>
          <w:spacing w:val="-11"/>
          <w:sz w:val="20"/>
          <w:szCs w:val="20"/>
        </w:rPr>
        <w:t>flagship project. The companies</w:t>
      </w:r>
      <w:r>
        <w:rPr>
          <w:color w:val="57585A"/>
          <w:spacing w:val="-12"/>
          <w:sz w:val="20"/>
          <w:szCs w:val="20"/>
        </w:rPr>
        <w:t xml:space="preserve"> </w:t>
      </w:r>
      <w:r>
        <w:rPr>
          <w:color w:val="57585A"/>
          <w:spacing w:val="-11"/>
          <w:sz w:val="20"/>
          <w:szCs w:val="20"/>
        </w:rPr>
        <w:t>target an FID in H2 2025.</w:t>
      </w:r>
      <w:r>
        <w:rPr>
          <w:color w:val="57585A"/>
          <w:spacing w:val="-12"/>
          <w:sz w:val="20"/>
          <w:szCs w:val="20"/>
        </w:rPr>
        <w:t xml:space="preserve"> In December 2024 however, it is</w:t>
      </w:r>
      <w:r>
        <w:rPr>
          <w:color w:val="57585A"/>
          <w:spacing w:val="-2"/>
          <w:sz w:val="20"/>
          <w:szCs w:val="20"/>
        </w:rPr>
        <w:t xml:space="preserve"> </w:t>
      </w:r>
      <w:r>
        <w:rPr>
          <w:color w:val="57585A"/>
          <w:spacing w:val="-12"/>
          <w:sz w:val="20"/>
          <w:szCs w:val="20"/>
        </w:rPr>
        <w:t>reported that Petronas</w:t>
      </w:r>
      <w:r>
        <w:rPr>
          <w:color w:val="57585A"/>
          <w:sz w:val="20"/>
          <w:szCs w:val="20"/>
        </w:rPr>
        <w:t xml:space="preserve"> </w:t>
      </w:r>
      <w:r>
        <w:rPr>
          <w:color w:val="57585A"/>
          <w:spacing w:val="-11"/>
          <w:sz w:val="20"/>
          <w:szCs w:val="20"/>
        </w:rPr>
        <w:t>is exiting the project, but that it</w:t>
      </w:r>
      <w:r>
        <w:rPr>
          <w:color w:val="57585A"/>
          <w:spacing w:val="-15"/>
          <w:sz w:val="20"/>
          <w:szCs w:val="20"/>
        </w:rPr>
        <w:t xml:space="preserve"> </w:t>
      </w:r>
      <w:r>
        <w:rPr>
          <w:color w:val="57585A"/>
          <w:spacing w:val="-11"/>
          <w:sz w:val="20"/>
          <w:szCs w:val="20"/>
        </w:rPr>
        <w:t>will be replaced by Shell. Shell and</w:t>
      </w:r>
      <w:r>
        <w:rPr>
          <w:color w:val="57585A"/>
          <w:spacing w:val="-16"/>
          <w:sz w:val="20"/>
          <w:szCs w:val="20"/>
        </w:rPr>
        <w:t xml:space="preserve"> </w:t>
      </w:r>
      <w:r>
        <w:rPr>
          <w:color w:val="57585A"/>
          <w:spacing w:val="-11"/>
          <w:sz w:val="20"/>
          <w:szCs w:val="20"/>
        </w:rPr>
        <w:t>YPF signed an agreemen</w:t>
      </w:r>
      <w:r>
        <w:rPr>
          <w:color w:val="57585A"/>
          <w:spacing w:val="-12"/>
          <w:sz w:val="20"/>
          <w:szCs w:val="20"/>
        </w:rPr>
        <w:t>t to develop the initial phase ofthe LNG</w:t>
      </w:r>
      <w:r>
        <w:rPr>
          <w:color w:val="57585A"/>
          <w:sz w:val="20"/>
          <w:szCs w:val="20"/>
        </w:rPr>
        <w:t xml:space="preserve"> </w:t>
      </w:r>
      <w:r>
        <w:rPr>
          <w:color w:val="57585A"/>
          <w:spacing w:val="-11"/>
          <w:sz w:val="20"/>
          <w:szCs w:val="20"/>
        </w:rPr>
        <w:t>terminal. The</w:t>
      </w:r>
      <w:r>
        <w:rPr>
          <w:color w:val="57585A"/>
          <w:spacing w:val="-12"/>
          <w:sz w:val="20"/>
          <w:szCs w:val="20"/>
        </w:rPr>
        <w:t xml:space="preserve"> </w:t>
      </w:r>
      <w:r>
        <w:rPr>
          <w:color w:val="57585A"/>
          <w:spacing w:val="-11"/>
          <w:sz w:val="20"/>
          <w:szCs w:val="20"/>
        </w:rPr>
        <w:t>terminal aims</w:t>
      </w:r>
      <w:r>
        <w:rPr>
          <w:color w:val="57585A"/>
          <w:spacing w:val="-13"/>
          <w:sz w:val="20"/>
          <w:szCs w:val="20"/>
        </w:rPr>
        <w:t xml:space="preserve"> </w:t>
      </w:r>
      <w:r>
        <w:rPr>
          <w:color w:val="57585A"/>
          <w:spacing w:val="-11"/>
          <w:sz w:val="20"/>
          <w:szCs w:val="20"/>
        </w:rPr>
        <w:t>to produce</w:t>
      </w:r>
      <w:r>
        <w:rPr>
          <w:color w:val="57585A"/>
          <w:spacing w:val="-12"/>
          <w:sz w:val="20"/>
          <w:szCs w:val="20"/>
        </w:rPr>
        <w:t xml:space="preserve"> some 10mtpa of LNG.</w:t>
      </w:r>
    </w:p>
    <w:p w14:paraId="57C78869">
      <w:pPr>
        <w:pStyle w:val="4"/>
        <w:spacing w:line="262" w:lineRule="auto"/>
      </w:pPr>
    </w:p>
    <w:p w14:paraId="5E600E37">
      <w:pPr>
        <w:pStyle w:val="4"/>
        <w:spacing w:before="58" w:line="294" w:lineRule="auto"/>
        <w:ind w:left="362" w:right="697" w:hanging="2"/>
        <w:rPr>
          <w:sz w:val="20"/>
          <w:szCs w:val="20"/>
        </w:rPr>
      </w:pPr>
      <w:r>
        <w:rPr>
          <w:color w:val="57585A"/>
          <w:spacing w:val="-13"/>
          <w:sz w:val="20"/>
          <w:szCs w:val="20"/>
        </w:rPr>
        <w:t>There are other projects in early-planning stages. TGS, Pan American Ener</w:t>
      </w:r>
      <w:r>
        <w:rPr>
          <w:color w:val="57585A"/>
          <w:spacing w:val="-14"/>
          <w:sz w:val="20"/>
          <w:szCs w:val="20"/>
        </w:rPr>
        <w:t>gy and some others plan some small scale LNG export</w:t>
      </w:r>
      <w:r>
        <w:rPr>
          <w:color w:val="57585A"/>
          <w:sz w:val="20"/>
          <w:szCs w:val="20"/>
        </w:rPr>
        <w:t xml:space="preserve"> </w:t>
      </w:r>
      <w:r>
        <w:rPr>
          <w:color w:val="57585A"/>
          <w:spacing w:val="-9"/>
          <w:sz w:val="20"/>
          <w:szCs w:val="20"/>
        </w:rPr>
        <w:t>facilities</w:t>
      </w:r>
    </w:p>
    <w:p w14:paraId="595B8FDE">
      <w:pPr>
        <w:pStyle w:val="4"/>
        <w:spacing w:line="283" w:lineRule="auto"/>
      </w:pPr>
    </w:p>
    <w:p w14:paraId="79BE720D">
      <w:pPr>
        <w:pStyle w:val="4"/>
        <w:spacing w:line="284" w:lineRule="auto"/>
      </w:pPr>
    </w:p>
    <w:p w14:paraId="5722F55F">
      <w:pPr>
        <w:pStyle w:val="4"/>
        <w:spacing w:before="70" w:line="241" w:lineRule="auto"/>
        <w:ind w:left="378"/>
        <w:outlineLvl w:val="2"/>
        <w:rPr>
          <w:sz w:val="24"/>
          <w:szCs w:val="24"/>
        </w:rPr>
      </w:pPr>
      <w:r>
        <w:rPr>
          <w:b/>
          <w:bCs/>
          <w:color w:val="174174"/>
          <w:spacing w:val="-10"/>
          <w:sz w:val="24"/>
          <w:szCs w:val="24"/>
        </w:rPr>
        <w:t>Natural Gas PipelinesAnd Storage</w:t>
      </w:r>
    </w:p>
    <w:p w14:paraId="73E2D0CB">
      <w:pPr>
        <w:pStyle w:val="4"/>
        <w:spacing w:line="348" w:lineRule="auto"/>
      </w:pPr>
    </w:p>
    <w:p w14:paraId="0D9C3C34">
      <w:pPr>
        <w:pStyle w:val="4"/>
        <w:spacing w:before="57" w:line="273" w:lineRule="auto"/>
        <w:ind w:left="372" w:right="580" w:hanging="13"/>
        <w:rPr>
          <w:sz w:val="20"/>
          <w:szCs w:val="20"/>
        </w:rPr>
      </w:pPr>
      <w:r>
        <w:rPr>
          <w:color w:val="57585A"/>
          <w:spacing w:val="-10"/>
          <w:sz w:val="20"/>
          <w:szCs w:val="20"/>
        </w:rPr>
        <w:t>Argentina first started storing gas</w:t>
      </w:r>
      <w:r>
        <w:rPr>
          <w:color w:val="57585A"/>
          <w:spacing w:val="-16"/>
          <w:sz w:val="20"/>
          <w:szCs w:val="20"/>
        </w:rPr>
        <w:t xml:space="preserve"> </w:t>
      </w:r>
      <w:r>
        <w:rPr>
          <w:color w:val="57585A"/>
          <w:spacing w:val="-10"/>
          <w:sz w:val="20"/>
          <w:szCs w:val="20"/>
        </w:rPr>
        <w:t>with the inauguration of</w:t>
      </w:r>
      <w:r>
        <w:rPr>
          <w:color w:val="57585A"/>
          <w:spacing w:val="-21"/>
          <w:sz w:val="20"/>
          <w:szCs w:val="20"/>
        </w:rPr>
        <w:t xml:space="preserve"> </w:t>
      </w:r>
      <w:r>
        <w:rPr>
          <w:color w:val="57585A"/>
          <w:spacing w:val="-10"/>
          <w:sz w:val="20"/>
          <w:szCs w:val="20"/>
        </w:rPr>
        <w:t>the Diadema gas storage pilot project in</w:t>
      </w:r>
      <w:r>
        <w:rPr>
          <w:color w:val="57585A"/>
          <w:spacing w:val="-11"/>
          <w:sz w:val="20"/>
          <w:szCs w:val="20"/>
        </w:rPr>
        <w:t xml:space="preserve"> 2001. Located in the southern</w:t>
      </w:r>
      <w:r>
        <w:rPr>
          <w:color w:val="57585A"/>
          <w:sz w:val="20"/>
          <w:szCs w:val="20"/>
        </w:rPr>
        <w:t xml:space="preserve"> </w:t>
      </w:r>
      <w:r>
        <w:rPr>
          <w:color w:val="57585A"/>
          <w:spacing w:val="-11"/>
          <w:sz w:val="20"/>
          <w:szCs w:val="20"/>
        </w:rPr>
        <w:t>province of Chubut, the Diadema facility is part</w:t>
      </w:r>
      <w:r>
        <w:rPr>
          <w:color w:val="57585A"/>
          <w:spacing w:val="-12"/>
          <w:sz w:val="20"/>
          <w:szCs w:val="20"/>
        </w:rPr>
        <w:t xml:space="preserve"> of</w:t>
      </w:r>
      <w:r>
        <w:rPr>
          <w:color w:val="57585A"/>
          <w:spacing w:val="-16"/>
          <w:sz w:val="20"/>
          <w:szCs w:val="20"/>
        </w:rPr>
        <w:t xml:space="preserve"> </w:t>
      </w:r>
      <w:r>
        <w:rPr>
          <w:color w:val="57585A"/>
          <w:spacing w:val="-12"/>
          <w:sz w:val="20"/>
          <w:szCs w:val="20"/>
        </w:rPr>
        <w:t>a depleted gas field. Diadema</w:t>
      </w:r>
      <w:r>
        <w:rPr>
          <w:color w:val="57585A"/>
          <w:spacing w:val="-16"/>
          <w:sz w:val="20"/>
          <w:szCs w:val="20"/>
        </w:rPr>
        <w:t xml:space="preserve"> </w:t>
      </w:r>
      <w:r>
        <w:rPr>
          <w:color w:val="57585A"/>
          <w:spacing w:val="-12"/>
          <w:sz w:val="20"/>
          <w:szCs w:val="20"/>
        </w:rPr>
        <w:t>was</w:t>
      </w:r>
      <w:r>
        <w:rPr>
          <w:color w:val="57585A"/>
          <w:spacing w:val="-17"/>
          <w:sz w:val="20"/>
          <w:szCs w:val="20"/>
        </w:rPr>
        <w:t xml:space="preserve"> </w:t>
      </w:r>
      <w:r>
        <w:rPr>
          <w:color w:val="57585A"/>
          <w:spacing w:val="-12"/>
          <w:sz w:val="20"/>
          <w:szCs w:val="20"/>
        </w:rPr>
        <w:t>joined in 2003 by the Lunlunta Carrizal gas</w:t>
      </w:r>
    </w:p>
    <w:p w14:paraId="451E8DCB">
      <w:pPr>
        <w:pStyle w:val="4"/>
        <w:spacing w:before="37" w:line="273" w:lineRule="auto"/>
        <w:ind w:left="359" w:right="502" w:firstLine="6"/>
        <w:rPr>
          <w:sz w:val="20"/>
          <w:szCs w:val="20"/>
        </w:rPr>
      </w:pPr>
      <w:r>
        <w:rPr>
          <w:color w:val="57585A"/>
          <w:spacing w:val="-12"/>
          <w:sz w:val="20"/>
          <w:szCs w:val="20"/>
        </w:rPr>
        <w:t>storage facility, located close to Mendoza city in Mendoza province. The facility, operate</w:t>
      </w:r>
      <w:r>
        <w:rPr>
          <w:color w:val="57585A"/>
          <w:spacing w:val="-13"/>
          <w:sz w:val="20"/>
          <w:szCs w:val="20"/>
        </w:rPr>
        <w:t>d by YPF, came on stream as a pilot project,</w:t>
      </w:r>
      <w:r>
        <w:rPr>
          <w:color w:val="57585A"/>
          <w:sz w:val="20"/>
          <w:szCs w:val="20"/>
        </w:rPr>
        <w:t xml:space="preserve"> </w:t>
      </w:r>
      <w:r>
        <w:rPr>
          <w:color w:val="57585A"/>
          <w:spacing w:val="-10"/>
          <w:sz w:val="20"/>
          <w:szCs w:val="20"/>
        </w:rPr>
        <w:t>with an injection and</w:t>
      </w:r>
      <w:r>
        <w:rPr>
          <w:color w:val="57585A"/>
          <w:spacing w:val="-16"/>
          <w:sz w:val="20"/>
          <w:szCs w:val="20"/>
        </w:rPr>
        <w:t xml:space="preserve"> </w:t>
      </w:r>
      <w:r>
        <w:rPr>
          <w:color w:val="57585A"/>
          <w:spacing w:val="-10"/>
          <w:sz w:val="20"/>
          <w:szCs w:val="20"/>
        </w:rPr>
        <w:t>withdrawa</w:t>
      </w:r>
      <w:r>
        <w:rPr>
          <w:color w:val="57585A"/>
          <w:spacing w:val="-11"/>
          <w:sz w:val="20"/>
          <w:szCs w:val="20"/>
        </w:rPr>
        <w:t>l capacity of 1.0mcm a day.</w:t>
      </w:r>
    </w:p>
    <w:p w14:paraId="3F6A2AD2">
      <w:pPr>
        <w:pStyle w:val="4"/>
        <w:spacing w:line="266" w:lineRule="auto"/>
      </w:pPr>
    </w:p>
    <w:p w14:paraId="01C3BB2C">
      <w:pPr>
        <w:pStyle w:val="4"/>
        <w:spacing w:before="58" w:line="279" w:lineRule="auto"/>
        <w:ind w:left="369" w:right="552" w:firstLine="6"/>
        <w:rPr>
          <w:sz w:val="20"/>
          <w:szCs w:val="20"/>
        </w:rPr>
      </w:pPr>
      <w:r>
        <w:rPr>
          <w:color w:val="57585A"/>
          <w:spacing w:val="-11"/>
          <w:sz w:val="20"/>
          <w:szCs w:val="20"/>
        </w:rPr>
        <w:t>Former president Mauricio Macri postponed the tender for new gas p</w:t>
      </w:r>
      <w:r>
        <w:rPr>
          <w:color w:val="57585A"/>
          <w:spacing w:val="-12"/>
          <w:sz w:val="20"/>
          <w:szCs w:val="20"/>
        </w:rPr>
        <w:t>ipeline from September 12 to November 12. The proposed</w:t>
      </w:r>
      <w:r>
        <w:rPr>
          <w:color w:val="57585A"/>
          <w:sz w:val="20"/>
          <w:szCs w:val="20"/>
        </w:rPr>
        <w:t xml:space="preserve"> </w:t>
      </w:r>
      <w:r>
        <w:rPr>
          <w:color w:val="57585A"/>
          <w:spacing w:val="-11"/>
          <w:sz w:val="20"/>
          <w:szCs w:val="20"/>
        </w:rPr>
        <w:t>pipeline</w:t>
      </w:r>
      <w:r>
        <w:rPr>
          <w:color w:val="57585A"/>
          <w:spacing w:val="-15"/>
          <w:sz w:val="20"/>
          <w:szCs w:val="20"/>
        </w:rPr>
        <w:t xml:space="preserve"> </w:t>
      </w:r>
      <w:r>
        <w:rPr>
          <w:color w:val="57585A"/>
          <w:spacing w:val="-11"/>
          <w:sz w:val="20"/>
          <w:szCs w:val="20"/>
        </w:rPr>
        <w:t>would connect Neuquen and Salliqueló in Buenos</w:t>
      </w:r>
      <w:r>
        <w:rPr>
          <w:color w:val="57585A"/>
          <w:spacing w:val="-16"/>
          <w:sz w:val="20"/>
          <w:szCs w:val="20"/>
        </w:rPr>
        <w:t xml:space="preserve"> </w:t>
      </w:r>
      <w:r>
        <w:rPr>
          <w:color w:val="57585A"/>
          <w:spacing w:val="-11"/>
          <w:sz w:val="20"/>
          <w:szCs w:val="20"/>
        </w:rPr>
        <w:t>Air</w:t>
      </w:r>
      <w:r>
        <w:rPr>
          <w:color w:val="57585A"/>
          <w:spacing w:val="-12"/>
          <w:sz w:val="20"/>
          <w:szCs w:val="20"/>
        </w:rPr>
        <w:t>es region (referred to as the Neuquen-Salliquelo Pipeline and as the</w:t>
      </w:r>
      <w:r>
        <w:rPr>
          <w:color w:val="57585A"/>
          <w:sz w:val="20"/>
          <w:szCs w:val="20"/>
        </w:rPr>
        <w:t xml:space="preserve"> </w:t>
      </w:r>
      <w:r>
        <w:rPr>
          <w:color w:val="57585A"/>
          <w:spacing w:val="-12"/>
          <w:sz w:val="20"/>
          <w:szCs w:val="20"/>
        </w:rPr>
        <w:t>Central Gas Pipeline). In</w:t>
      </w:r>
      <w:r>
        <w:rPr>
          <w:color w:val="57585A"/>
          <w:spacing w:val="-13"/>
          <w:sz w:val="20"/>
          <w:szCs w:val="20"/>
        </w:rPr>
        <w:t xml:space="preserve"> </w:t>
      </w:r>
      <w:r>
        <w:rPr>
          <w:color w:val="57585A"/>
          <w:spacing w:val="-12"/>
          <w:sz w:val="20"/>
          <w:szCs w:val="20"/>
        </w:rPr>
        <w:t>July 2020, the project</w:t>
      </w:r>
      <w:r>
        <w:rPr>
          <w:color w:val="57585A"/>
          <w:spacing w:val="-16"/>
          <w:sz w:val="20"/>
          <w:szCs w:val="20"/>
        </w:rPr>
        <w:t xml:space="preserve"> </w:t>
      </w:r>
      <w:r>
        <w:rPr>
          <w:color w:val="57585A"/>
          <w:spacing w:val="-12"/>
          <w:sz w:val="20"/>
          <w:szCs w:val="20"/>
        </w:rPr>
        <w:t>was cancelled. Infrastructure bottlenecks in Vaca Muerta</w:t>
      </w:r>
      <w:r>
        <w:rPr>
          <w:color w:val="57585A"/>
          <w:spacing w:val="-1"/>
          <w:sz w:val="20"/>
          <w:szCs w:val="20"/>
        </w:rPr>
        <w:t xml:space="preserve"> </w:t>
      </w:r>
      <w:r>
        <w:rPr>
          <w:color w:val="57585A"/>
          <w:spacing w:val="-12"/>
          <w:sz w:val="20"/>
          <w:szCs w:val="20"/>
        </w:rPr>
        <w:t>remain one of</w:t>
      </w:r>
      <w:r>
        <w:rPr>
          <w:color w:val="57585A"/>
          <w:spacing w:val="-22"/>
          <w:sz w:val="20"/>
          <w:szCs w:val="20"/>
        </w:rPr>
        <w:t xml:space="preserve"> </w:t>
      </w:r>
      <w:r>
        <w:rPr>
          <w:color w:val="57585A"/>
          <w:spacing w:val="-12"/>
          <w:sz w:val="20"/>
          <w:szCs w:val="20"/>
        </w:rPr>
        <w:t>the</w:t>
      </w:r>
      <w:r>
        <w:rPr>
          <w:color w:val="57585A"/>
          <w:spacing w:val="-1"/>
          <w:sz w:val="20"/>
          <w:szCs w:val="20"/>
        </w:rPr>
        <w:t xml:space="preserve"> </w:t>
      </w:r>
      <w:r>
        <w:rPr>
          <w:color w:val="57585A"/>
          <w:spacing w:val="-12"/>
          <w:sz w:val="20"/>
          <w:szCs w:val="20"/>
        </w:rPr>
        <w:t>main</w:t>
      </w:r>
    </w:p>
    <w:p w14:paraId="714DF0F8">
      <w:pPr>
        <w:pStyle w:val="4"/>
        <w:spacing w:before="37" w:line="231" w:lineRule="auto"/>
        <w:ind w:left="369"/>
        <w:rPr>
          <w:sz w:val="20"/>
          <w:szCs w:val="20"/>
        </w:rPr>
      </w:pPr>
      <w:r>
        <w:rPr>
          <w:color w:val="57585A"/>
          <w:spacing w:val="-10"/>
          <w:sz w:val="20"/>
          <w:szCs w:val="20"/>
        </w:rPr>
        <w:t>downside risk factor for natural gas production growth over the long term.</w:t>
      </w:r>
    </w:p>
    <w:p w14:paraId="3D932E61">
      <w:pPr>
        <w:spacing w:line="231" w:lineRule="auto"/>
        <w:rPr>
          <w:sz w:val="20"/>
          <w:szCs w:val="20"/>
        </w:rPr>
        <w:sectPr>
          <w:footerReference r:id="rId75" w:type="default"/>
          <w:pgSz w:w="11906" w:h="16838"/>
          <w:pgMar w:top="400" w:right="490" w:bottom="883" w:left="490" w:header="0" w:footer="0" w:gutter="0"/>
          <w:cols w:space="720" w:num="1"/>
        </w:sectPr>
      </w:pPr>
    </w:p>
    <w:p w14:paraId="4FBEC2C8">
      <w:pPr>
        <w:pStyle w:val="4"/>
        <w:spacing w:before="73" w:line="241" w:lineRule="auto"/>
        <w:ind w:left="7372"/>
        <w:rPr>
          <w:sz w:val="20"/>
          <w:szCs w:val="20"/>
        </w:rPr>
      </w:pPr>
      <w:r>
        <w:drawing>
          <wp:anchor distT="0" distB="0" distL="0" distR="0" simplePos="0" relativeHeight="25193369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34720" behindDoc="0" locked="0" layoutInCell="0" allowOverlap="1">
            <wp:simplePos x="0" y="0"/>
            <wp:positionH relativeFrom="page">
              <wp:posOffset>311150</wp:posOffset>
            </wp:positionH>
            <wp:positionV relativeFrom="page">
              <wp:posOffset>0</wp:posOffset>
            </wp:positionV>
            <wp:extent cx="19050" cy="814070"/>
            <wp:effectExtent l="0" t="0" r="0" b="0"/>
            <wp:wrapNone/>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A7A58F5">
      <w:pPr>
        <w:pStyle w:val="4"/>
        <w:spacing w:line="278" w:lineRule="auto"/>
      </w:pPr>
    </w:p>
    <w:p w14:paraId="3BC28273">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84C76E4">
      <w:pPr>
        <w:pStyle w:val="4"/>
        <w:spacing w:line="289" w:lineRule="auto"/>
      </w:pPr>
    </w:p>
    <w:p w14:paraId="0A9D6144">
      <w:pPr>
        <w:pStyle w:val="4"/>
        <w:spacing w:line="289" w:lineRule="auto"/>
      </w:pPr>
    </w:p>
    <w:p w14:paraId="642BD6C0">
      <w:pPr>
        <w:pStyle w:val="4"/>
        <w:spacing w:line="289" w:lineRule="auto"/>
      </w:pPr>
    </w:p>
    <w:p w14:paraId="55019B6A">
      <w:pPr>
        <w:pStyle w:val="4"/>
        <w:spacing w:before="69" w:line="184" w:lineRule="auto"/>
        <w:ind w:left="370"/>
        <w:outlineLvl w:val="2"/>
        <w:rPr>
          <w:sz w:val="24"/>
          <w:szCs w:val="24"/>
        </w:rPr>
      </w:pPr>
      <w:r>
        <w:rPr>
          <w:b/>
          <w:bCs/>
          <w:color w:val="174174"/>
          <w:spacing w:val="-13"/>
          <w:sz w:val="24"/>
          <w:szCs w:val="24"/>
        </w:rPr>
        <w:t>Gas Pipelines</w:t>
      </w:r>
    </w:p>
    <w:p w14:paraId="6776CCAF">
      <w:pPr>
        <w:pStyle w:val="4"/>
        <w:spacing w:line="354" w:lineRule="auto"/>
      </w:pPr>
    </w:p>
    <w:p w14:paraId="54F84FC9">
      <w:pPr>
        <w:pStyle w:val="4"/>
        <w:spacing w:before="57" w:line="241" w:lineRule="auto"/>
        <w:ind w:left="375"/>
        <w:rPr>
          <w:sz w:val="20"/>
          <w:szCs w:val="20"/>
        </w:rPr>
      </w:pPr>
      <w:r>
        <w:rPr>
          <w:b/>
          <w:bCs/>
          <w:color w:val="57585A"/>
          <w:spacing w:val="-7"/>
          <w:sz w:val="20"/>
          <w:szCs w:val="20"/>
        </w:rPr>
        <w:t>Néstor Kirchner pipeline (first ph</w:t>
      </w:r>
      <w:r>
        <w:rPr>
          <w:b/>
          <w:bCs/>
          <w:color w:val="57585A"/>
          <w:spacing w:val="-8"/>
          <w:sz w:val="20"/>
          <w:szCs w:val="20"/>
        </w:rPr>
        <w:t>ase online mid-2023)</w:t>
      </w:r>
    </w:p>
    <w:p w14:paraId="2300C8B8">
      <w:pPr>
        <w:pStyle w:val="4"/>
        <w:spacing w:line="281" w:lineRule="auto"/>
      </w:pPr>
    </w:p>
    <w:p w14:paraId="39D22CE7">
      <w:pPr>
        <w:pStyle w:val="4"/>
        <w:spacing w:before="58" w:line="273" w:lineRule="auto"/>
        <w:ind w:left="359" w:right="523" w:firstLine="16"/>
        <w:rPr>
          <w:sz w:val="20"/>
          <w:szCs w:val="20"/>
        </w:rPr>
      </w:pPr>
      <w:r>
        <w:rPr>
          <w:color w:val="57585A"/>
          <w:spacing w:val="-11"/>
          <w:sz w:val="20"/>
          <w:szCs w:val="20"/>
        </w:rPr>
        <w:t>Néstor Kirchner pipeline project is divided into two phases,</w:t>
      </w:r>
      <w:r>
        <w:rPr>
          <w:color w:val="57585A"/>
          <w:spacing w:val="-16"/>
          <w:sz w:val="20"/>
          <w:szCs w:val="20"/>
        </w:rPr>
        <w:t xml:space="preserve"> </w:t>
      </w:r>
      <w:r>
        <w:rPr>
          <w:color w:val="57585A"/>
          <w:spacing w:val="-11"/>
          <w:sz w:val="20"/>
          <w:szCs w:val="20"/>
        </w:rPr>
        <w:t>with a total budget estimated at USD3.5bn according to media repor</w:t>
      </w:r>
      <w:r>
        <w:rPr>
          <w:color w:val="57585A"/>
          <w:spacing w:val="-12"/>
          <w:sz w:val="20"/>
          <w:szCs w:val="20"/>
        </w:rPr>
        <w:t>ts.</w:t>
      </w:r>
      <w:r>
        <w:rPr>
          <w:color w:val="57585A"/>
          <w:sz w:val="20"/>
          <w:szCs w:val="20"/>
        </w:rPr>
        <w:t xml:space="preserve"> </w:t>
      </w:r>
      <w:r>
        <w:rPr>
          <w:color w:val="57585A"/>
          <w:spacing w:val="-11"/>
          <w:sz w:val="20"/>
          <w:szCs w:val="20"/>
        </w:rPr>
        <w:t>According to government plans, the first phase became operational in mid-2023 and cos</w:t>
      </w:r>
      <w:r>
        <w:rPr>
          <w:color w:val="57585A"/>
          <w:spacing w:val="-12"/>
          <w:sz w:val="20"/>
          <w:szCs w:val="20"/>
        </w:rPr>
        <w:t>t USD1.6bn.</w:t>
      </w:r>
    </w:p>
    <w:p w14:paraId="029F1CD5">
      <w:pPr>
        <w:pStyle w:val="4"/>
        <w:spacing w:line="264" w:lineRule="auto"/>
      </w:pPr>
    </w:p>
    <w:p w14:paraId="5E6BC269">
      <w:pPr>
        <w:pStyle w:val="4"/>
        <w:spacing w:before="57" w:line="283" w:lineRule="auto"/>
        <w:ind w:left="366" w:right="415" w:hanging="6"/>
        <w:rPr>
          <w:sz w:val="20"/>
          <w:szCs w:val="20"/>
        </w:rPr>
      </w:pPr>
      <w:r>
        <w:rPr>
          <w:color w:val="57585A"/>
          <w:spacing w:val="-11"/>
          <w:sz w:val="20"/>
          <w:szCs w:val="20"/>
        </w:rPr>
        <w:t>The first phase connects Tratayén</w:t>
      </w:r>
      <w:r>
        <w:rPr>
          <w:color w:val="57585A"/>
          <w:spacing w:val="-16"/>
          <w:sz w:val="20"/>
          <w:szCs w:val="20"/>
        </w:rPr>
        <w:t xml:space="preserve"> </w:t>
      </w:r>
      <w:r>
        <w:rPr>
          <w:color w:val="57585A"/>
          <w:spacing w:val="-11"/>
          <w:sz w:val="20"/>
          <w:szCs w:val="20"/>
        </w:rPr>
        <w:t>with Salliqueló in the</w:t>
      </w:r>
      <w:r>
        <w:rPr>
          <w:color w:val="57585A"/>
          <w:spacing w:val="-15"/>
          <w:sz w:val="20"/>
          <w:szCs w:val="20"/>
        </w:rPr>
        <w:t xml:space="preserve"> </w:t>
      </w:r>
      <w:r>
        <w:rPr>
          <w:color w:val="57585A"/>
          <w:spacing w:val="-11"/>
          <w:sz w:val="20"/>
          <w:szCs w:val="20"/>
        </w:rPr>
        <w:t>western p</w:t>
      </w:r>
      <w:r>
        <w:rPr>
          <w:color w:val="57585A"/>
          <w:spacing w:val="-12"/>
          <w:sz w:val="20"/>
          <w:szCs w:val="20"/>
        </w:rPr>
        <w:t>art of Buenos</w:t>
      </w:r>
      <w:r>
        <w:rPr>
          <w:color w:val="57585A"/>
          <w:spacing w:val="-16"/>
          <w:sz w:val="20"/>
          <w:szCs w:val="20"/>
        </w:rPr>
        <w:t xml:space="preserve"> </w:t>
      </w:r>
      <w:r>
        <w:rPr>
          <w:color w:val="57585A"/>
          <w:spacing w:val="-12"/>
          <w:sz w:val="20"/>
          <w:szCs w:val="20"/>
        </w:rPr>
        <w:t>Aires province. The pipeline has added 24mcm/d of</w:t>
      </w:r>
      <w:r>
        <w:rPr>
          <w:color w:val="57585A"/>
          <w:sz w:val="20"/>
          <w:szCs w:val="20"/>
        </w:rPr>
        <w:t xml:space="preserve"> </w:t>
      </w:r>
      <w:r>
        <w:rPr>
          <w:color w:val="57585A"/>
          <w:spacing w:val="-12"/>
          <w:sz w:val="20"/>
          <w:szCs w:val="20"/>
        </w:rPr>
        <w:t>gas exit capacity from the Neuquén Basin, increasing the overall transport capacity from the basin by approx. 30%. There are three</w:t>
      </w:r>
      <w:r>
        <w:rPr>
          <w:color w:val="57585A"/>
          <w:spacing w:val="1"/>
          <w:sz w:val="20"/>
          <w:szCs w:val="20"/>
        </w:rPr>
        <w:t xml:space="preserve"> </w:t>
      </w:r>
      <w:r>
        <w:rPr>
          <w:color w:val="57585A"/>
          <w:spacing w:val="-11"/>
          <w:sz w:val="20"/>
          <w:szCs w:val="20"/>
        </w:rPr>
        <w:t>key pipelines that transport natural gas from the basin in operations currently: TGN Centro Oeaste (34mcm/d), Neuba</w:t>
      </w:r>
      <w:r>
        <w:rPr>
          <w:color w:val="57585A"/>
          <w:spacing w:val="-12"/>
          <w:sz w:val="20"/>
          <w:szCs w:val="20"/>
        </w:rPr>
        <w:t xml:space="preserve"> I (15mcm/d),</w:t>
      </w:r>
      <w:r>
        <w:rPr>
          <w:color w:val="57585A"/>
          <w:sz w:val="20"/>
          <w:szCs w:val="20"/>
        </w:rPr>
        <w:t xml:space="preserve"> </w:t>
      </w:r>
      <w:r>
        <w:rPr>
          <w:color w:val="57585A"/>
          <w:spacing w:val="-10"/>
          <w:sz w:val="20"/>
          <w:szCs w:val="20"/>
        </w:rPr>
        <w:t>and Neuba II (32mcm/d). We hav</w:t>
      </w:r>
      <w:r>
        <w:rPr>
          <w:color w:val="57585A"/>
          <w:spacing w:val="-11"/>
          <w:sz w:val="20"/>
          <w:szCs w:val="20"/>
        </w:rPr>
        <w:t>e highlighted that limited midstream capacity has been one of</w:t>
      </w:r>
      <w:r>
        <w:rPr>
          <w:color w:val="57585A"/>
          <w:spacing w:val="-21"/>
          <w:sz w:val="20"/>
          <w:szCs w:val="20"/>
        </w:rPr>
        <w:t xml:space="preserve"> </w:t>
      </w:r>
      <w:r>
        <w:rPr>
          <w:color w:val="57585A"/>
          <w:spacing w:val="-11"/>
          <w:sz w:val="20"/>
          <w:szCs w:val="20"/>
        </w:rPr>
        <w:t>the key hurdles for upstream</w:t>
      </w:r>
    </w:p>
    <w:p w14:paraId="1D60CDBA">
      <w:pPr>
        <w:pStyle w:val="4"/>
        <w:spacing w:before="38" w:line="279" w:lineRule="auto"/>
        <w:ind w:left="363" w:right="555" w:firstLine="6"/>
        <w:rPr>
          <w:sz w:val="20"/>
          <w:szCs w:val="20"/>
        </w:rPr>
      </w:pPr>
      <w:r>
        <w:rPr>
          <w:color w:val="57585A"/>
          <w:spacing w:val="-10"/>
          <w:sz w:val="20"/>
          <w:szCs w:val="20"/>
        </w:rPr>
        <w:t>companies in</w:t>
      </w:r>
      <w:r>
        <w:rPr>
          <w:color w:val="57585A"/>
          <w:spacing w:val="-16"/>
          <w:sz w:val="20"/>
          <w:szCs w:val="20"/>
        </w:rPr>
        <w:t xml:space="preserve"> </w:t>
      </w:r>
      <w:r>
        <w:rPr>
          <w:color w:val="57585A"/>
          <w:spacing w:val="-10"/>
          <w:sz w:val="20"/>
          <w:szCs w:val="20"/>
        </w:rPr>
        <w:t>Argentina to raise production. With</w:t>
      </w:r>
      <w:r>
        <w:rPr>
          <w:color w:val="57585A"/>
          <w:spacing w:val="-11"/>
          <w:sz w:val="20"/>
          <w:szCs w:val="20"/>
        </w:rPr>
        <w:t xml:space="preserve"> that,</w:t>
      </w:r>
      <w:r>
        <w:rPr>
          <w:color w:val="57585A"/>
          <w:spacing w:val="-15"/>
          <w:sz w:val="20"/>
          <w:szCs w:val="20"/>
        </w:rPr>
        <w:t xml:space="preserve"> </w:t>
      </w:r>
      <w:r>
        <w:rPr>
          <w:color w:val="57585A"/>
          <w:spacing w:val="-11"/>
          <w:sz w:val="20"/>
          <w:szCs w:val="20"/>
        </w:rPr>
        <w:t>we expect that additional exit capacity</w:t>
      </w:r>
      <w:r>
        <w:rPr>
          <w:color w:val="57585A"/>
          <w:spacing w:val="-16"/>
          <w:sz w:val="20"/>
          <w:szCs w:val="20"/>
        </w:rPr>
        <w:t xml:space="preserve"> </w:t>
      </w:r>
      <w:r>
        <w:rPr>
          <w:color w:val="57585A"/>
          <w:spacing w:val="-11"/>
          <w:sz w:val="20"/>
          <w:szCs w:val="20"/>
        </w:rPr>
        <w:t>will lead to increase in production. In</w:t>
      </w:r>
      <w:r>
        <w:rPr>
          <w:color w:val="57585A"/>
          <w:sz w:val="20"/>
          <w:szCs w:val="20"/>
        </w:rPr>
        <w:t xml:space="preserve"> </w:t>
      </w:r>
      <w:r>
        <w:rPr>
          <w:color w:val="57585A"/>
          <w:spacing w:val="-11"/>
          <w:sz w:val="20"/>
          <w:szCs w:val="20"/>
        </w:rPr>
        <w:t>September 2022, the tender for engineering for</w:t>
      </w:r>
      <w:r>
        <w:rPr>
          <w:color w:val="57585A"/>
          <w:spacing w:val="2"/>
          <w:sz w:val="20"/>
          <w:szCs w:val="20"/>
        </w:rPr>
        <w:t xml:space="preserve"> </w:t>
      </w:r>
      <w:r>
        <w:rPr>
          <w:color w:val="57585A"/>
          <w:spacing w:val="-11"/>
          <w:sz w:val="20"/>
          <w:szCs w:val="20"/>
        </w:rPr>
        <w:t>the phase two project</w:t>
      </w:r>
      <w:r>
        <w:rPr>
          <w:color w:val="57585A"/>
          <w:spacing w:val="-16"/>
          <w:sz w:val="20"/>
          <w:szCs w:val="20"/>
        </w:rPr>
        <w:t xml:space="preserve"> </w:t>
      </w:r>
      <w:r>
        <w:rPr>
          <w:color w:val="57585A"/>
          <w:spacing w:val="-11"/>
          <w:sz w:val="20"/>
          <w:szCs w:val="20"/>
        </w:rPr>
        <w:t>was launched. Given limited details on the project's phase</w:t>
      </w:r>
      <w:r>
        <w:rPr>
          <w:color w:val="57585A"/>
          <w:sz w:val="20"/>
          <w:szCs w:val="20"/>
        </w:rPr>
        <w:t xml:space="preserve"> </w:t>
      </w:r>
      <w:r>
        <w:rPr>
          <w:color w:val="57585A"/>
          <w:spacing w:val="-10"/>
          <w:sz w:val="20"/>
          <w:szCs w:val="20"/>
        </w:rPr>
        <w:t>two,</w:t>
      </w:r>
      <w:r>
        <w:rPr>
          <w:color w:val="57585A"/>
          <w:spacing w:val="-16"/>
          <w:sz w:val="20"/>
          <w:szCs w:val="20"/>
        </w:rPr>
        <w:t xml:space="preserve"> </w:t>
      </w:r>
      <w:r>
        <w:rPr>
          <w:color w:val="57585A"/>
          <w:spacing w:val="-10"/>
          <w:sz w:val="20"/>
          <w:szCs w:val="20"/>
        </w:rPr>
        <w:t>we have not</w:t>
      </w:r>
      <w:r>
        <w:rPr>
          <w:color w:val="57585A"/>
          <w:spacing w:val="-15"/>
          <w:sz w:val="20"/>
          <w:szCs w:val="20"/>
        </w:rPr>
        <w:t xml:space="preserve"> </w:t>
      </w:r>
      <w:r>
        <w:rPr>
          <w:color w:val="57585A"/>
          <w:spacing w:val="-10"/>
          <w:sz w:val="20"/>
          <w:szCs w:val="20"/>
        </w:rPr>
        <w:t xml:space="preserve">yet incorporated it into our forecast. Our Infrastructure team points at the possibility that phase </w:t>
      </w:r>
      <w:r>
        <w:rPr>
          <w:color w:val="57585A"/>
          <w:spacing w:val="-11"/>
          <w:sz w:val="20"/>
          <w:szCs w:val="20"/>
        </w:rPr>
        <w:t>two of Néstor</w:t>
      </w:r>
    </w:p>
    <w:p w14:paraId="345489BC">
      <w:pPr>
        <w:pStyle w:val="4"/>
        <w:spacing w:before="37" w:line="231" w:lineRule="auto"/>
        <w:ind w:left="376"/>
        <w:rPr>
          <w:sz w:val="20"/>
          <w:szCs w:val="20"/>
        </w:rPr>
      </w:pPr>
      <w:r>
        <w:rPr>
          <w:color w:val="57585A"/>
          <w:spacing w:val="-12"/>
          <w:sz w:val="20"/>
          <w:szCs w:val="20"/>
        </w:rPr>
        <w:t>Kirchner Pipeline could use Mainland China's financing.</w:t>
      </w:r>
    </w:p>
    <w:p w14:paraId="6A540202">
      <w:pPr>
        <w:pStyle w:val="4"/>
        <w:spacing w:line="284" w:lineRule="auto"/>
      </w:pPr>
    </w:p>
    <w:p w14:paraId="40CF62FE">
      <w:pPr>
        <w:pStyle w:val="4"/>
        <w:spacing w:before="58" w:line="270" w:lineRule="exact"/>
        <w:ind w:left="368"/>
        <w:rPr>
          <w:sz w:val="20"/>
          <w:szCs w:val="20"/>
        </w:rPr>
      </w:pPr>
      <w:r>
        <w:rPr>
          <w:b/>
          <w:bCs/>
          <w:color w:val="57585A"/>
          <w:spacing w:val="-11"/>
          <w:position w:val="1"/>
          <w:sz w:val="20"/>
          <w:szCs w:val="20"/>
        </w:rPr>
        <w:t>Gasoducto del Pacífico</w:t>
      </w:r>
    </w:p>
    <w:p w14:paraId="3A955D8B">
      <w:pPr>
        <w:pStyle w:val="4"/>
        <w:spacing w:line="241" w:lineRule="auto"/>
      </w:pPr>
    </w:p>
    <w:p w14:paraId="629B6DCB">
      <w:pPr>
        <w:pStyle w:val="4"/>
        <w:spacing w:before="59" w:line="231" w:lineRule="auto"/>
        <w:ind w:left="360"/>
        <w:rPr>
          <w:sz w:val="20"/>
          <w:szCs w:val="20"/>
        </w:rPr>
      </w:pPr>
      <w:r>
        <w:rPr>
          <w:color w:val="57585A"/>
          <w:spacing w:val="-13"/>
          <w:sz w:val="20"/>
          <w:szCs w:val="20"/>
        </w:rPr>
        <w:t>The Gasoducto del Pacífico (also known as TransGas), links southern Chile's city of Concepción with Argentina's Neuquén Basin.</w:t>
      </w:r>
    </w:p>
    <w:p w14:paraId="1768E530">
      <w:pPr>
        <w:pStyle w:val="4"/>
        <w:spacing w:before="58" w:line="231" w:lineRule="auto"/>
        <w:ind w:left="361"/>
        <w:rPr>
          <w:sz w:val="20"/>
          <w:szCs w:val="20"/>
        </w:rPr>
      </w:pPr>
      <w:r>
        <w:rPr>
          <w:color w:val="57585A"/>
          <w:spacing w:val="-10"/>
          <w:sz w:val="20"/>
          <w:szCs w:val="20"/>
        </w:rPr>
        <w:t>With Chile's first LNG import terminal on strea</w:t>
      </w:r>
      <w:r>
        <w:rPr>
          <w:color w:val="57585A"/>
          <w:spacing w:val="-11"/>
          <w:sz w:val="20"/>
          <w:szCs w:val="20"/>
        </w:rPr>
        <w:t>m there is the possibility of Chile eventually exporting gas to</w:t>
      </w:r>
      <w:r>
        <w:rPr>
          <w:color w:val="57585A"/>
          <w:spacing w:val="-15"/>
          <w:sz w:val="20"/>
          <w:szCs w:val="20"/>
        </w:rPr>
        <w:t xml:space="preserve"> </w:t>
      </w:r>
      <w:r>
        <w:rPr>
          <w:color w:val="57585A"/>
          <w:spacing w:val="-11"/>
          <w:sz w:val="20"/>
          <w:szCs w:val="20"/>
        </w:rPr>
        <w:t>Argentina</w:t>
      </w:r>
      <w:r>
        <w:rPr>
          <w:color w:val="57585A"/>
          <w:spacing w:val="-13"/>
          <w:sz w:val="20"/>
          <w:szCs w:val="20"/>
        </w:rPr>
        <w:t xml:space="preserve"> </w:t>
      </w:r>
      <w:r>
        <w:rPr>
          <w:color w:val="57585A"/>
          <w:spacing w:val="-11"/>
          <w:sz w:val="20"/>
          <w:szCs w:val="20"/>
        </w:rPr>
        <w:t>through</w:t>
      </w:r>
      <w:r>
        <w:rPr>
          <w:color w:val="57585A"/>
          <w:spacing w:val="-12"/>
          <w:sz w:val="20"/>
          <w:szCs w:val="20"/>
        </w:rPr>
        <w:t xml:space="preserve"> </w:t>
      </w:r>
      <w:r>
        <w:rPr>
          <w:color w:val="57585A"/>
          <w:spacing w:val="-11"/>
          <w:sz w:val="20"/>
          <w:szCs w:val="20"/>
        </w:rPr>
        <w:t>the</w:t>
      </w:r>
    </w:p>
    <w:p w14:paraId="163ABC7F">
      <w:pPr>
        <w:pStyle w:val="4"/>
        <w:spacing w:before="59" w:line="231" w:lineRule="auto"/>
        <w:ind w:left="369"/>
        <w:rPr>
          <w:sz w:val="20"/>
          <w:szCs w:val="20"/>
        </w:rPr>
      </w:pPr>
      <w:r>
        <w:rPr>
          <w:color w:val="57585A"/>
          <w:spacing w:val="-10"/>
          <w:sz w:val="20"/>
          <w:szCs w:val="20"/>
        </w:rPr>
        <w:t>existing pipeline infrastructure, reversing the lo</w:t>
      </w:r>
      <w:r>
        <w:rPr>
          <w:color w:val="57585A"/>
          <w:spacing w:val="-11"/>
          <w:sz w:val="20"/>
          <w:szCs w:val="20"/>
        </w:rPr>
        <w:t>ng-standing energy relationship between the</w:t>
      </w:r>
      <w:r>
        <w:rPr>
          <w:color w:val="57585A"/>
          <w:spacing w:val="-15"/>
          <w:sz w:val="20"/>
          <w:szCs w:val="20"/>
        </w:rPr>
        <w:t xml:space="preserve"> </w:t>
      </w:r>
      <w:r>
        <w:rPr>
          <w:color w:val="57585A"/>
          <w:spacing w:val="-11"/>
          <w:sz w:val="20"/>
          <w:szCs w:val="20"/>
        </w:rPr>
        <w:t>Andean neighbours.</w:t>
      </w:r>
      <w:r>
        <w:rPr>
          <w:color w:val="57585A"/>
          <w:spacing w:val="-16"/>
          <w:sz w:val="20"/>
          <w:szCs w:val="20"/>
        </w:rPr>
        <w:t xml:space="preserve"> </w:t>
      </w:r>
      <w:r>
        <w:rPr>
          <w:color w:val="57585A"/>
          <w:spacing w:val="-11"/>
          <w:sz w:val="20"/>
          <w:szCs w:val="20"/>
        </w:rPr>
        <w:t>Argentina's</w:t>
      </w:r>
    </w:p>
    <w:p w14:paraId="4A27C753">
      <w:pPr>
        <w:pStyle w:val="4"/>
        <w:spacing w:before="58" w:line="273" w:lineRule="auto"/>
        <w:ind w:left="369" w:right="405"/>
        <w:rPr>
          <w:sz w:val="20"/>
          <w:szCs w:val="20"/>
        </w:rPr>
      </w:pPr>
      <w:r>
        <w:rPr>
          <w:color w:val="57585A"/>
          <w:spacing w:val="-11"/>
          <w:sz w:val="20"/>
          <w:szCs w:val="20"/>
        </w:rPr>
        <w:t>energy supplies to Chile have been falling progressively over the current decade on the back of lower output and growing domestic</w:t>
      </w:r>
      <w:r>
        <w:rPr>
          <w:color w:val="57585A"/>
          <w:spacing w:val="5"/>
          <w:sz w:val="20"/>
          <w:szCs w:val="20"/>
        </w:rPr>
        <w:t xml:space="preserve"> </w:t>
      </w:r>
      <w:r>
        <w:rPr>
          <w:color w:val="57585A"/>
          <w:spacing w:val="-11"/>
          <w:sz w:val="20"/>
          <w:szCs w:val="20"/>
        </w:rPr>
        <w:t>demand. The decline in the gas trade accelerated</w:t>
      </w:r>
      <w:r>
        <w:rPr>
          <w:color w:val="57585A"/>
          <w:spacing w:val="4"/>
          <w:sz w:val="20"/>
          <w:szCs w:val="20"/>
        </w:rPr>
        <w:t xml:space="preserve"> </w:t>
      </w:r>
      <w:r>
        <w:rPr>
          <w:color w:val="57585A"/>
          <w:spacing w:val="-11"/>
          <w:sz w:val="20"/>
          <w:szCs w:val="20"/>
        </w:rPr>
        <w:t>sharply after 2004,</w:t>
      </w:r>
      <w:r>
        <w:rPr>
          <w:color w:val="57585A"/>
          <w:spacing w:val="-12"/>
          <w:sz w:val="20"/>
          <w:szCs w:val="20"/>
        </w:rPr>
        <w:t xml:space="preserve"> </w:t>
      </w:r>
      <w:r>
        <w:rPr>
          <w:color w:val="57585A"/>
          <w:spacing w:val="-11"/>
          <w:sz w:val="20"/>
          <w:szCs w:val="20"/>
        </w:rPr>
        <w:t>following</w:t>
      </w:r>
      <w:r>
        <w:rPr>
          <w:color w:val="57585A"/>
          <w:spacing w:val="-13"/>
          <w:sz w:val="20"/>
          <w:szCs w:val="20"/>
        </w:rPr>
        <w:t xml:space="preserve"> </w:t>
      </w:r>
      <w:r>
        <w:rPr>
          <w:color w:val="57585A"/>
          <w:spacing w:val="-11"/>
          <w:sz w:val="20"/>
          <w:szCs w:val="20"/>
        </w:rPr>
        <w:t>the imposition of</w:t>
      </w:r>
      <w:r>
        <w:rPr>
          <w:color w:val="57585A"/>
          <w:spacing w:val="-16"/>
          <w:sz w:val="20"/>
          <w:szCs w:val="20"/>
        </w:rPr>
        <w:t xml:space="preserve"> </w:t>
      </w:r>
      <w:r>
        <w:rPr>
          <w:color w:val="57585A"/>
          <w:spacing w:val="-11"/>
          <w:sz w:val="20"/>
          <w:szCs w:val="20"/>
        </w:rPr>
        <w:t>gas restrictions by</w:t>
      </w:r>
      <w:r>
        <w:rPr>
          <w:color w:val="57585A"/>
          <w:spacing w:val="-16"/>
          <w:sz w:val="20"/>
          <w:szCs w:val="20"/>
        </w:rPr>
        <w:t xml:space="preserve"> </w:t>
      </w:r>
      <w:r>
        <w:rPr>
          <w:color w:val="57585A"/>
          <w:spacing w:val="-11"/>
          <w:sz w:val="20"/>
          <w:szCs w:val="20"/>
        </w:rPr>
        <w:t>Argentina's</w:t>
      </w:r>
    </w:p>
    <w:p w14:paraId="5CC6A2E7">
      <w:pPr>
        <w:pStyle w:val="4"/>
        <w:spacing w:before="37" w:line="231" w:lineRule="auto"/>
        <w:ind w:left="367"/>
        <w:rPr>
          <w:sz w:val="20"/>
          <w:szCs w:val="20"/>
        </w:rPr>
      </w:pPr>
      <w:r>
        <w:rPr>
          <w:color w:val="57585A"/>
          <w:spacing w:val="-9"/>
          <w:sz w:val="20"/>
          <w:szCs w:val="20"/>
        </w:rPr>
        <w:t>government.</w:t>
      </w:r>
    </w:p>
    <w:p w14:paraId="4A2D04D5">
      <w:pPr>
        <w:pStyle w:val="4"/>
        <w:spacing w:line="287" w:lineRule="auto"/>
      </w:pPr>
    </w:p>
    <w:p w14:paraId="65CD635A">
      <w:pPr>
        <w:pStyle w:val="4"/>
        <w:spacing w:before="58" w:line="280" w:lineRule="auto"/>
        <w:ind w:left="369" w:right="426"/>
        <w:rPr>
          <w:sz w:val="20"/>
          <w:szCs w:val="20"/>
        </w:rPr>
      </w:pPr>
      <w:r>
        <w:rPr>
          <w:color w:val="57585A"/>
          <w:spacing w:val="-11"/>
          <w:sz w:val="20"/>
          <w:szCs w:val="20"/>
        </w:rPr>
        <w:t>Chile's Empresa Nacional del Petróle</w:t>
      </w:r>
      <w:r>
        <w:rPr>
          <w:color w:val="57585A"/>
          <w:spacing w:val="-12"/>
          <w:sz w:val="20"/>
          <w:szCs w:val="20"/>
        </w:rPr>
        <w:t>o announced on</w:t>
      </w:r>
      <w:r>
        <w:rPr>
          <w:color w:val="57585A"/>
          <w:spacing w:val="-24"/>
          <w:sz w:val="20"/>
          <w:szCs w:val="20"/>
        </w:rPr>
        <w:t xml:space="preserve"> </w:t>
      </w:r>
      <w:r>
        <w:rPr>
          <w:color w:val="57585A"/>
          <w:spacing w:val="-12"/>
          <w:sz w:val="20"/>
          <w:szCs w:val="20"/>
        </w:rPr>
        <w:t>June 18 2009 that it had increased</w:t>
      </w:r>
      <w:r>
        <w:rPr>
          <w:color w:val="57585A"/>
          <w:spacing w:val="-3"/>
          <w:sz w:val="20"/>
          <w:szCs w:val="20"/>
        </w:rPr>
        <w:t xml:space="preserve"> </w:t>
      </w:r>
      <w:r>
        <w:rPr>
          <w:color w:val="57585A"/>
          <w:spacing w:val="-12"/>
          <w:sz w:val="20"/>
          <w:szCs w:val="20"/>
        </w:rPr>
        <w:t>its stake</w:t>
      </w:r>
      <w:r>
        <w:rPr>
          <w:color w:val="57585A"/>
          <w:spacing w:val="-4"/>
          <w:sz w:val="20"/>
          <w:szCs w:val="20"/>
        </w:rPr>
        <w:t xml:space="preserve"> </w:t>
      </w:r>
      <w:r>
        <w:rPr>
          <w:color w:val="57585A"/>
          <w:spacing w:val="-12"/>
          <w:sz w:val="20"/>
          <w:szCs w:val="20"/>
        </w:rPr>
        <w:t>in the operating entity Gasoducto</w:t>
      </w:r>
      <w:r>
        <w:rPr>
          <w:color w:val="57585A"/>
          <w:sz w:val="20"/>
          <w:szCs w:val="20"/>
        </w:rPr>
        <w:t xml:space="preserve"> </w:t>
      </w:r>
      <w:r>
        <w:rPr>
          <w:color w:val="57585A"/>
          <w:spacing w:val="-13"/>
          <w:sz w:val="20"/>
          <w:szCs w:val="20"/>
        </w:rPr>
        <w:t xml:space="preserve">del Pacífico from 18.2% to 22.8% at a cost of USD6.88mn, while Gasco raised its stake from 20% to 30% </w:t>
      </w:r>
      <w:r>
        <w:rPr>
          <w:color w:val="57585A"/>
          <w:spacing w:val="-14"/>
          <w:sz w:val="20"/>
          <w:szCs w:val="20"/>
        </w:rPr>
        <w:t>for USD9.97mn. A 15%</w:t>
      </w:r>
    </w:p>
    <w:p w14:paraId="5ED53DF7">
      <w:pPr>
        <w:pStyle w:val="4"/>
        <w:spacing w:before="25" w:line="279" w:lineRule="auto"/>
        <w:ind w:left="363" w:right="398" w:firstLine="3"/>
        <w:rPr>
          <w:sz w:val="20"/>
          <w:szCs w:val="20"/>
        </w:rPr>
      </w:pPr>
      <w:r>
        <w:rPr>
          <w:color w:val="57585A"/>
          <w:spacing w:val="-12"/>
          <w:sz w:val="20"/>
          <w:szCs w:val="20"/>
        </w:rPr>
        <w:t>stake in the pipeline was acquired by Argentina's</w:t>
      </w:r>
      <w:r>
        <w:rPr>
          <w:color w:val="57585A"/>
          <w:spacing w:val="-15"/>
          <w:sz w:val="20"/>
          <w:szCs w:val="20"/>
        </w:rPr>
        <w:t xml:space="preserve"> </w:t>
      </w:r>
      <w:r>
        <w:rPr>
          <w:color w:val="57585A"/>
          <w:spacing w:val="-13"/>
          <w:sz w:val="20"/>
          <w:szCs w:val="20"/>
        </w:rPr>
        <w:t>Trigas, a subsidiary of</w:t>
      </w:r>
      <w:r>
        <w:rPr>
          <w:color w:val="57585A"/>
          <w:spacing w:val="-25"/>
          <w:sz w:val="20"/>
          <w:szCs w:val="20"/>
        </w:rPr>
        <w:t xml:space="preserve"> </w:t>
      </w:r>
      <w:r>
        <w:rPr>
          <w:color w:val="57585A"/>
          <w:spacing w:val="-13"/>
          <w:sz w:val="20"/>
          <w:szCs w:val="20"/>
        </w:rPr>
        <w:t>Yaconi-Santa Cruz.</w:t>
      </w:r>
      <w:r>
        <w:rPr>
          <w:color w:val="57585A"/>
          <w:spacing w:val="-15"/>
          <w:sz w:val="20"/>
          <w:szCs w:val="20"/>
        </w:rPr>
        <w:t xml:space="preserve"> </w:t>
      </w:r>
      <w:r>
        <w:rPr>
          <w:color w:val="57585A"/>
          <w:spacing w:val="-13"/>
          <w:sz w:val="20"/>
          <w:szCs w:val="20"/>
        </w:rPr>
        <w:t>According to energy news provider Platts,</w:t>
      </w:r>
      <w:r>
        <w:rPr>
          <w:color w:val="57585A"/>
          <w:sz w:val="20"/>
          <w:szCs w:val="20"/>
        </w:rPr>
        <w:t xml:space="preserve"> </w:t>
      </w:r>
      <w:r>
        <w:rPr>
          <w:color w:val="57585A"/>
          <w:spacing w:val="-12"/>
          <w:sz w:val="20"/>
          <w:szCs w:val="20"/>
        </w:rPr>
        <w:t>the stakes</w:t>
      </w:r>
      <w:r>
        <w:rPr>
          <w:color w:val="57585A"/>
          <w:spacing w:val="-15"/>
          <w:sz w:val="20"/>
          <w:szCs w:val="20"/>
        </w:rPr>
        <w:t xml:space="preserve"> </w:t>
      </w:r>
      <w:r>
        <w:rPr>
          <w:color w:val="57585A"/>
          <w:spacing w:val="-12"/>
          <w:sz w:val="20"/>
          <w:szCs w:val="20"/>
        </w:rPr>
        <w:t>were acquired from</w:t>
      </w:r>
      <w:r>
        <w:rPr>
          <w:color w:val="57585A"/>
          <w:spacing w:val="-16"/>
          <w:sz w:val="20"/>
          <w:szCs w:val="20"/>
        </w:rPr>
        <w:t xml:space="preserve"> </w:t>
      </w:r>
      <w:r>
        <w:rPr>
          <w:color w:val="57585A"/>
          <w:spacing w:val="-12"/>
          <w:sz w:val="20"/>
          <w:szCs w:val="20"/>
        </w:rPr>
        <w:t>YPF and US independ</w:t>
      </w:r>
      <w:r>
        <w:rPr>
          <w:color w:val="57585A"/>
          <w:spacing w:val="-13"/>
          <w:sz w:val="20"/>
          <w:szCs w:val="20"/>
        </w:rPr>
        <w:t>ent El Paso,</w:t>
      </w:r>
      <w:r>
        <w:rPr>
          <w:color w:val="57585A"/>
          <w:spacing w:val="-15"/>
          <w:sz w:val="20"/>
          <w:szCs w:val="20"/>
        </w:rPr>
        <w:t xml:space="preserve"> </w:t>
      </w:r>
      <w:r>
        <w:rPr>
          <w:color w:val="57585A"/>
          <w:spacing w:val="-13"/>
          <w:sz w:val="20"/>
          <w:szCs w:val="20"/>
        </w:rPr>
        <w:t>which have exited the consortium.</w:t>
      </w:r>
      <w:r>
        <w:rPr>
          <w:color w:val="57585A"/>
          <w:spacing w:val="-16"/>
          <w:sz w:val="20"/>
          <w:szCs w:val="20"/>
        </w:rPr>
        <w:t xml:space="preserve"> </w:t>
      </w:r>
      <w:r>
        <w:rPr>
          <w:color w:val="57585A"/>
          <w:spacing w:val="-13"/>
          <w:sz w:val="20"/>
          <w:szCs w:val="20"/>
        </w:rPr>
        <w:t>Another 30% of Gasoducto del</w:t>
      </w:r>
      <w:r>
        <w:rPr>
          <w:color w:val="57585A"/>
          <w:sz w:val="20"/>
          <w:szCs w:val="20"/>
        </w:rPr>
        <w:t xml:space="preserve"> </w:t>
      </w:r>
      <w:r>
        <w:rPr>
          <w:color w:val="57585A"/>
          <w:spacing w:val="-12"/>
          <w:sz w:val="20"/>
          <w:szCs w:val="20"/>
        </w:rPr>
        <w:t>Pacífico remains in the hands of North</w:t>
      </w:r>
      <w:r>
        <w:rPr>
          <w:color w:val="57585A"/>
          <w:spacing w:val="-15"/>
          <w:sz w:val="20"/>
          <w:szCs w:val="20"/>
        </w:rPr>
        <w:t xml:space="preserve"> </w:t>
      </w:r>
      <w:r>
        <w:rPr>
          <w:color w:val="57585A"/>
          <w:spacing w:val="-12"/>
          <w:sz w:val="20"/>
          <w:szCs w:val="20"/>
        </w:rPr>
        <w:t>Ame</w:t>
      </w:r>
      <w:r>
        <w:rPr>
          <w:color w:val="57585A"/>
          <w:spacing w:val="-13"/>
          <w:sz w:val="20"/>
          <w:szCs w:val="20"/>
        </w:rPr>
        <w:t>rica's pipeline company TransCanada.</w:t>
      </w:r>
    </w:p>
    <w:p w14:paraId="4A679643">
      <w:pPr>
        <w:pStyle w:val="4"/>
        <w:spacing w:line="264" w:lineRule="auto"/>
      </w:pPr>
    </w:p>
    <w:p w14:paraId="6DA22DB3">
      <w:pPr>
        <w:pStyle w:val="4"/>
        <w:spacing w:before="58" w:line="286" w:lineRule="auto"/>
        <w:ind w:left="359" w:right="468"/>
        <w:rPr>
          <w:sz w:val="20"/>
          <w:szCs w:val="20"/>
        </w:rPr>
      </w:pPr>
      <w:r>
        <w:rPr>
          <w:color w:val="57585A"/>
          <w:spacing w:val="-11"/>
          <w:sz w:val="20"/>
          <w:szCs w:val="20"/>
        </w:rPr>
        <w:t>The Pacífico pipeline began operating in 1999 but in recent</w:t>
      </w:r>
      <w:r>
        <w:rPr>
          <w:color w:val="57585A"/>
          <w:spacing w:val="-16"/>
          <w:sz w:val="20"/>
          <w:szCs w:val="20"/>
        </w:rPr>
        <w:t xml:space="preserve"> </w:t>
      </w:r>
      <w:r>
        <w:rPr>
          <w:color w:val="57585A"/>
          <w:spacing w:val="-11"/>
          <w:sz w:val="20"/>
          <w:szCs w:val="20"/>
        </w:rPr>
        <w:t>years</w:t>
      </w:r>
      <w:r>
        <w:rPr>
          <w:color w:val="57585A"/>
          <w:spacing w:val="-1"/>
          <w:sz w:val="20"/>
          <w:szCs w:val="20"/>
        </w:rPr>
        <w:t xml:space="preserve"> </w:t>
      </w:r>
      <w:r>
        <w:rPr>
          <w:color w:val="57585A"/>
          <w:spacing w:val="-11"/>
          <w:sz w:val="20"/>
          <w:szCs w:val="20"/>
        </w:rPr>
        <w:t>has</w:t>
      </w:r>
      <w:r>
        <w:rPr>
          <w:color w:val="57585A"/>
          <w:spacing w:val="-2"/>
          <w:sz w:val="20"/>
          <w:szCs w:val="20"/>
        </w:rPr>
        <w:t xml:space="preserve"> </w:t>
      </w:r>
      <w:r>
        <w:rPr>
          <w:color w:val="57585A"/>
          <w:spacing w:val="-11"/>
          <w:sz w:val="20"/>
          <w:szCs w:val="20"/>
        </w:rPr>
        <w:t>been</w:t>
      </w:r>
      <w:r>
        <w:rPr>
          <w:color w:val="57585A"/>
          <w:spacing w:val="-2"/>
          <w:sz w:val="20"/>
          <w:szCs w:val="20"/>
        </w:rPr>
        <w:t xml:space="preserve"> </w:t>
      </w:r>
      <w:r>
        <w:rPr>
          <w:color w:val="57585A"/>
          <w:spacing w:val="-11"/>
          <w:sz w:val="20"/>
          <w:szCs w:val="20"/>
        </w:rPr>
        <w:t>running at a fractio</w:t>
      </w:r>
      <w:r>
        <w:rPr>
          <w:color w:val="57585A"/>
          <w:spacing w:val="-12"/>
          <w:sz w:val="20"/>
          <w:szCs w:val="20"/>
        </w:rPr>
        <w:t>n of its 3.1bcm capacity because of</w:t>
      </w:r>
      <w:r>
        <w:rPr>
          <w:color w:val="57585A"/>
          <w:sz w:val="20"/>
          <w:szCs w:val="20"/>
        </w:rPr>
        <w:t xml:space="preserve"> </w:t>
      </w:r>
      <w:r>
        <w:rPr>
          <w:color w:val="57585A"/>
          <w:spacing w:val="-10"/>
          <w:sz w:val="20"/>
          <w:szCs w:val="20"/>
        </w:rPr>
        <w:t>the imposition of restrictions on gas exports by</w:t>
      </w:r>
      <w:r>
        <w:rPr>
          <w:color w:val="57585A"/>
          <w:spacing w:val="-16"/>
          <w:sz w:val="20"/>
          <w:szCs w:val="20"/>
        </w:rPr>
        <w:t xml:space="preserve"> </w:t>
      </w:r>
      <w:r>
        <w:rPr>
          <w:color w:val="57585A"/>
          <w:spacing w:val="-10"/>
          <w:sz w:val="20"/>
          <w:szCs w:val="20"/>
        </w:rPr>
        <w:t>Argentina's government,</w:t>
      </w:r>
      <w:r>
        <w:rPr>
          <w:color w:val="57585A"/>
          <w:spacing w:val="-15"/>
          <w:sz w:val="20"/>
          <w:szCs w:val="20"/>
        </w:rPr>
        <w:t xml:space="preserve"> </w:t>
      </w:r>
      <w:r>
        <w:rPr>
          <w:color w:val="57585A"/>
          <w:spacing w:val="-10"/>
          <w:sz w:val="20"/>
          <w:szCs w:val="20"/>
        </w:rPr>
        <w:t>which has struggled to boost production to meet grow</w:t>
      </w:r>
      <w:r>
        <w:rPr>
          <w:color w:val="57585A"/>
          <w:spacing w:val="-11"/>
          <w:sz w:val="20"/>
          <w:szCs w:val="20"/>
        </w:rPr>
        <w:t>ing</w:t>
      </w:r>
      <w:r>
        <w:rPr>
          <w:color w:val="57585A"/>
          <w:sz w:val="20"/>
          <w:szCs w:val="20"/>
        </w:rPr>
        <w:t xml:space="preserve"> </w:t>
      </w:r>
      <w:r>
        <w:rPr>
          <w:color w:val="57585A"/>
          <w:spacing w:val="-12"/>
          <w:sz w:val="20"/>
          <w:szCs w:val="20"/>
        </w:rPr>
        <w:t>domestic demand.</w:t>
      </w:r>
      <w:r>
        <w:rPr>
          <w:color w:val="57585A"/>
          <w:spacing w:val="-14"/>
          <w:sz w:val="20"/>
          <w:szCs w:val="20"/>
        </w:rPr>
        <w:t xml:space="preserve"> </w:t>
      </w:r>
      <w:r>
        <w:rPr>
          <w:color w:val="57585A"/>
          <w:spacing w:val="-12"/>
          <w:sz w:val="20"/>
          <w:szCs w:val="20"/>
        </w:rPr>
        <w:t>As</w:t>
      </w:r>
      <w:r>
        <w:rPr>
          <w:color w:val="57585A"/>
          <w:spacing w:val="-16"/>
          <w:sz w:val="20"/>
          <w:szCs w:val="20"/>
        </w:rPr>
        <w:t xml:space="preserve"> </w:t>
      </w:r>
      <w:r>
        <w:rPr>
          <w:color w:val="57585A"/>
          <w:spacing w:val="-12"/>
          <w:sz w:val="20"/>
          <w:szCs w:val="20"/>
        </w:rPr>
        <w:t>well as receiving imports</w:t>
      </w:r>
      <w:r>
        <w:rPr>
          <w:color w:val="57585A"/>
          <w:spacing w:val="-15"/>
          <w:sz w:val="20"/>
          <w:szCs w:val="20"/>
        </w:rPr>
        <w:t xml:space="preserve"> </w:t>
      </w:r>
      <w:r>
        <w:rPr>
          <w:color w:val="57585A"/>
          <w:spacing w:val="-12"/>
          <w:sz w:val="20"/>
          <w:szCs w:val="20"/>
        </w:rPr>
        <w:t>via Pacífico, Chile imports</w:t>
      </w:r>
      <w:r>
        <w:rPr>
          <w:color w:val="57585A"/>
          <w:spacing w:val="-16"/>
          <w:sz w:val="20"/>
          <w:szCs w:val="20"/>
        </w:rPr>
        <w:t xml:space="preserve"> </w:t>
      </w:r>
      <w:r>
        <w:rPr>
          <w:color w:val="57585A"/>
          <w:spacing w:val="-12"/>
          <w:sz w:val="20"/>
          <w:szCs w:val="20"/>
        </w:rPr>
        <w:t>Argentina's gas through the GasAndes pipeline,</w:t>
      </w:r>
      <w:r>
        <w:rPr>
          <w:color w:val="57585A"/>
          <w:spacing w:val="-15"/>
          <w:sz w:val="20"/>
          <w:szCs w:val="20"/>
        </w:rPr>
        <w:t xml:space="preserve"> </w:t>
      </w:r>
      <w:r>
        <w:rPr>
          <w:color w:val="57585A"/>
          <w:spacing w:val="-12"/>
          <w:sz w:val="20"/>
          <w:szCs w:val="20"/>
        </w:rPr>
        <w:t>with the</w:t>
      </w:r>
      <w:r>
        <w:rPr>
          <w:color w:val="57585A"/>
          <w:sz w:val="20"/>
          <w:szCs w:val="20"/>
        </w:rPr>
        <w:t xml:space="preserve">  </w:t>
      </w:r>
      <w:r>
        <w:rPr>
          <w:color w:val="57585A"/>
          <w:spacing w:val="-11"/>
          <w:sz w:val="20"/>
          <w:szCs w:val="20"/>
        </w:rPr>
        <w:t>trunkline running from the city of La Mora to Chile's capital Santiago. In 2008, the</w:t>
      </w:r>
      <w:r>
        <w:rPr>
          <w:color w:val="57585A"/>
          <w:spacing w:val="-8"/>
          <w:sz w:val="20"/>
          <w:szCs w:val="20"/>
        </w:rPr>
        <w:t xml:space="preserve"> </w:t>
      </w:r>
      <w:r>
        <w:rPr>
          <w:color w:val="57585A"/>
          <w:spacing w:val="-11"/>
          <w:sz w:val="20"/>
          <w:szCs w:val="20"/>
        </w:rPr>
        <w:t>year</w:t>
      </w:r>
      <w:r>
        <w:rPr>
          <w:color w:val="57585A"/>
          <w:spacing w:val="-16"/>
          <w:sz w:val="20"/>
          <w:szCs w:val="20"/>
        </w:rPr>
        <w:t xml:space="preserve"> </w:t>
      </w:r>
      <w:r>
        <w:rPr>
          <w:color w:val="57585A"/>
          <w:spacing w:val="-11"/>
          <w:sz w:val="20"/>
          <w:szCs w:val="20"/>
        </w:rPr>
        <w:t>Argentina became a net gas importer, total</w:t>
      </w:r>
      <w:r>
        <w:rPr>
          <w:color w:val="57585A"/>
          <w:sz w:val="20"/>
          <w:szCs w:val="20"/>
        </w:rPr>
        <w:t xml:space="preserve"> </w:t>
      </w:r>
      <w:r>
        <w:rPr>
          <w:color w:val="57585A"/>
          <w:spacing w:val="-11"/>
          <w:sz w:val="20"/>
          <w:szCs w:val="20"/>
        </w:rPr>
        <w:t>volumes of</w:t>
      </w:r>
      <w:r>
        <w:rPr>
          <w:color w:val="57585A"/>
          <w:spacing w:val="-17"/>
          <w:sz w:val="20"/>
          <w:szCs w:val="20"/>
        </w:rPr>
        <w:t xml:space="preserve"> </w:t>
      </w:r>
      <w:r>
        <w:rPr>
          <w:color w:val="57585A"/>
          <w:spacing w:val="-11"/>
          <w:sz w:val="20"/>
          <w:szCs w:val="20"/>
        </w:rPr>
        <w:t>gas received by Chile from its eastern neighbour stood at merely 0.69bcm, down from 4.07bcm in 2000, acco</w:t>
      </w:r>
      <w:r>
        <w:rPr>
          <w:color w:val="57585A"/>
          <w:spacing w:val="-12"/>
          <w:sz w:val="20"/>
          <w:szCs w:val="20"/>
        </w:rPr>
        <w:t>rding to</w:t>
      </w:r>
      <w:r>
        <w:rPr>
          <w:color w:val="57585A"/>
          <w:sz w:val="20"/>
          <w:szCs w:val="20"/>
        </w:rPr>
        <w:t xml:space="preserve"> </w:t>
      </w:r>
      <w:r>
        <w:rPr>
          <w:color w:val="57585A"/>
          <w:spacing w:val="-13"/>
          <w:sz w:val="20"/>
          <w:szCs w:val="20"/>
        </w:rPr>
        <w:t>Cedigaz data.</w:t>
      </w:r>
    </w:p>
    <w:p w14:paraId="15A28DC1">
      <w:pPr>
        <w:pStyle w:val="4"/>
        <w:spacing w:line="274" w:lineRule="auto"/>
      </w:pPr>
    </w:p>
    <w:p w14:paraId="3C3E36D1">
      <w:pPr>
        <w:pStyle w:val="4"/>
        <w:spacing w:line="274" w:lineRule="auto"/>
      </w:pPr>
    </w:p>
    <w:p w14:paraId="4E934364">
      <w:pPr>
        <w:pStyle w:val="4"/>
        <w:spacing w:before="58" w:line="270" w:lineRule="exact"/>
        <w:ind w:left="368"/>
        <w:rPr>
          <w:sz w:val="20"/>
          <w:szCs w:val="20"/>
        </w:rPr>
      </w:pPr>
      <w:r>
        <w:rPr>
          <w:b/>
          <w:bCs/>
          <w:color w:val="57585A"/>
          <w:spacing w:val="-10"/>
          <w:position w:val="1"/>
          <w:sz w:val="20"/>
          <w:szCs w:val="20"/>
        </w:rPr>
        <w:t>Gasoducto del Noreste</w:t>
      </w:r>
    </w:p>
    <w:p w14:paraId="60787D4C">
      <w:pPr>
        <w:pStyle w:val="4"/>
        <w:spacing w:line="241" w:lineRule="auto"/>
      </w:pPr>
    </w:p>
    <w:p w14:paraId="26CD6B01">
      <w:pPr>
        <w:pStyle w:val="4"/>
        <w:spacing w:before="59" w:line="231" w:lineRule="auto"/>
        <w:ind w:left="369"/>
        <w:rPr>
          <w:sz w:val="20"/>
          <w:szCs w:val="20"/>
        </w:rPr>
      </w:pPr>
      <w:r>
        <w:rPr>
          <w:color w:val="57585A"/>
          <w:spacing w:val="-12"/>
          <w:sz w:val="20"/>
          <w:szCs w:val="20"/>
        </w:rPr>
        <w:t>Construction of Enarsa's Gasoducto del Noreste (GNEA) gas pipeline across n</w:t>
      </w:r>
      <w:r>
        <w:rPr>
          <w:color w:val="57585A"/>
          <w:spacing w:val="-13"/>
          <w:sz w:val="20"/>
          <w:szCs w:val="20"/>
        </w:rPr>
        <w:t>orth-eastern</w:t>
      </w:r>
      <w:r>
        <w:rPr>
          <w:color w:val="57585A"/>
          <w:spacing w:val="-16"/>
          <w:sz w:val="20"/>
          <w:szCs w:val="20"/>
        </w:rPr>
        <w:t xml:space="preserve"> </w:t>
      </w:r>
      <w:r>
        <w:rPr>
          <w:color w:val="57585A"/>
          <w:spacing w:val="-13"/>
          <w:sz w:val="20"/>
          <w:szCs w:val="20"/>
        </w:rPr>
        <w:t>Argentina began in 2011,</w:t>
      </w:r>
      <w:r>
        <w:rPr>
          <w:color w:val="57585A"/>
          <w:spacing w:val="-16"/>
          <w:sz w:val="20"/>
          <w:szCs w:val="20"/>
        </w:rPr>
        <w:t xml:space="preserve"> </w:t>
      </w:r>
      <w:r>
        <w:rPr>
          <w:color w:val="57585A"/>
          <w:spacing w:val="-13"/>
          <w:sz w:val="20"/>
          <w:szCs w:val="20"/>
        </w:rPr>
        <w:t>with</w:t>
      </w:r>
    </w:p>
    <w:p w14:paraId="4F1DB8C5">
      <w:pPr>
        <w:pStyle w:val="4"/>
        <w:spacing w:before="59" w:line="279" w:lineRule="auto"/>
        <w:ind w:left="360" w:right="512" w:firstLine="8"/>
        <w:rPr>
          <w:sz w:val="20"/>
          <w:szCs w:val="20"/>
        </w:rPr>
      </w:pPr>
      <w:r>
        <w:rPr>
          <w:color w:val="57585A"/>
          <w:spacing w:val="-10"/>
          <w:sz w:val="20"/>
          <w:szCs w:val="20"/>
        </w:rPr>
        <w:t>completion anticipated in 2019. The project</w:t>
      </w:r>
      <w:r>
        <w:rPr>
          <w:color w:val="57585A"/>
          <w:spacing w:val="-16"/>
          <w:sz w:val="20"/>
          <w:szCs w:val="20"/>
        </w:rPr>
        <w:t xml:space="preserve"> </w:t>
      </w:r>
      <w:r>
        <w:rPr>
          <w:color w:val="57585A"/>
          <w:spacing w:val="-10"/>
          <w:sz w:val="20"/>
          <w:szCs w:val="20"/>
        </w:rPr>
        <w:t xml:space="preserve">was originally due </w:t>
      </w:r>
      <w:r>
        <w:rPr>
          <w:color w:val="57585A"/>
          <w:spacing w:val="-11"/>
          <w:sz w:val="20"/>
          <w:szCs w:val="20"/>
        </w:rPr>
        <w:t>online in 2011, but no engineering contracts have been signed</w:t>
      </w:r>
      <w:r>
        <w:rPr>
          <w:color w:val="57585A"/>
          <w:spacing w:val="-15"/>
          <w:sz w:val="20"/>
          <w:szCs w:val="20"/>
        </w:rPr>
        <w:t xml:space="preserve"> </w:t>
      </w:r>
      <w:r>
        <w:rPr>
          <w:color w:val="57585A"/>
          <w:spacing w:val="-11"/>
          <w:sz w:val="20"/>
          <w:szCs w:val="20"/>
        </w:rPr>
        <w:t>yet.</w:t>
      </w:r>
      <w:r>
        <w:rPr>
          <w:color w:val="57585A"/>
          <w:sz w:val="20"/>
          <w:szCs w:val="20"/>
        </w:rPr>
        <w:t xml:space="preserve"> </w:t>
      </w:r>
      <w:r>
        <w:rPr>
          <w:color w:val="57585A"/>
          <w:spacing w:val="-11"/>
          <w:sz w:val="20"/>
          <w:szCs w:val="20"/>
        </w:rPr>
        <w:t>The governor of</w:t>
      </w:r>
      <w:r>
        <w:rPr>
          <w:color w:val="57585A"/>
          <w:spacing w:val="-21"/>
          <w:sz w:val="20"/>
          <w:szCs w:val="20"/>
        </w:rPr>
        <w:t xml:space="preserve"> </w:t>
      </w:r>
      <w:r>
        <w:rPr>
          <w:color w:val="57585A"/>
          <w:spacing w:val="-11"/>
          <w:sz w:val="20"/>
          <w:szCs w:val="20"/>
        </w:rPr>
        <w:t>the participating Misiones Province, Maurice Closs, signed project</w:t>
      </w:r>
      <w:r>
        <w:rPr>
          <w:color w:val="57585A"/>
          <w:spacing w:val="-12"/>
          <w:sz w:val="20"/>
          <w:szCs w:val="20"/>
        </w:rPr>
        <w:t xml:space="preserve"> plans for GNEA</w:t>
      </w:r>
      <w:r>
        <w:rPr>
          <w:color w:val="57585A"/>
          <w:spacing w:val="-15"/>
          <w:sz w:val="20"/>
          <w:szCs w:val="20"/>
        </w:rPr>
        <w:t xml:space="preserve"> </w:t>
      </w:r>
      <w:r>
        <w:rPr>
          <w:color w:val="57585A"/>
          <w:spacing w:val="-12"/>
          <w:sz w:val="20"/>
          <w:szCs w:val="20"/>
        </w:rPr>
        <w:t>with the governors ofthe four</w:t>
      </w:r>
      <w:r>
        <w:rPr>
          <w:color w:val="57585A"/>
          <w:sz w:val="20"/>
          <w:szCs w:val="20"/>
        </w:rPr>
        <w:t xml:space="preserve">   </w:t>
      </w:r>
      <w:r>
        <w:rPr>
          <w:color w:val="57585A"/>
          <w:spacing w:val="-12"/>
          <w:sz w:val="20"/>
          <w:szCs w:val="20"/>
        </w:rPr>
        <w:t>remaining participating provinces - Chaco, Corrientes, Formosa and Salta - and Argentina's minister</w:t>
      </w:r>
      <w:r>
        <w:rPr>
          <w:color w:val="57585A"/>
          <w:spacing w:val="-13"/>
          <w:sz w:val="20"/>
          <w:szCs w:val="20"/>
        </w:rPr>
        <w:t xml:space="preserve"> of planning,</w:t>
      </w:r>
      <w:r>
        <w:rPr>
          <w:color w:val="57585A"/>
          <w:spacing w:val="-23"/>
          <w:sz w:val="20"/>
          <w:szCs w:val="20"/>
        </w:rPr>
        <w:t xml:space="preserve"> </w:t>
      </w:r>
      <w:r>
        <w:rPr>
          <w:color w:val="57585A"/>
          <w:spacing w:val="-13"/>
          <w:sz w:val="20"/>
          <w:szCs w:val="20"/>
        </w:rPr>
        <w:t>Julio De Vido, in</w:t>
      </w:r>
    </w:p>
    <w:p w14:paraId="10071B03">
      <w:pPr>
        <w:pStyle w:val="4"/>
        <w:spacing w:before="37" w:line="261" w:lineRule="exact"/>
        <w:ind w:left="371"/>
        <w:rPr>
          <w:sz w:val="20"/>
          <w:szCs w:val="20"/>
        </w:rPr>
      </w:pPr>
      <w:r>
        <w:rPr>
          <w:color w:val="57585A"/>
          <w:spacing w:val="-12"/>
          <w:position w:val="1"/>
          <w:sz w:val="20"/>
          <w:szCs w:val="20"/>
        </w:rPr>
        <w:t>2011.</w:t>
      </w:r>
    </w:p>
    <w:p w14:paraId="7CED8477">
      <w:pPr>
        <w:pStyle w:val="4"/>
        <w:spacing w:line="247" w:lineRule="auto"/>
      </w:pPr>
    </w:p>
    <w:p w14:paraId="42A0FD80">
      <w:pPr>
        <w:pStyle w:val="4"/>
        <w:spacing w:before="59" w:line="231" w:lineRule="auto"/>
        <w:ind w:left="359"/>
        <w:rPr>
          <w:sz w:val="20"/>
          <w:szCs w:val="20"/>
        </w:rPr>
      </w:pPr>
      <w:r>
        <w:rPr>
          <w:color w:val="57585A"/>
          <w:spacing w:val="-11"/>
          <w:sz w:val="20"/>
          <w:szCs w:val="20"/>
        </w:rPr>
        <w:t>Although the project has bee</w:t>
      </w:r>
      <w:r>
        <w:rPr>
          <w:color w:val="57585A"/>
          <w:spacing w:val="-12"/>
          <w:sz w:val="20"/>
          <w:szCs w:val="20"/>
        </w:rPr>
        <w:t>n delayed, there are some signs of progress after President Christina Fernandez de Kirchner opened a</w:t>
      </w:r>
    </w:p>
    <w:p w14:paraId="44076AC9">
      <w:pPr>
        <w:spacing w:line="231" w:lineRule="auto"/>
        <w:rPr>
          <w:sz w:val="20"/>
          <w:szCs w:val="20"/>
        </w:rPr>
        <w:sectPr>
          <w:footerReference r:id="rId76" w:type="default"/>
          <w:pgSz w:w="11906" w:h="16838"/>
          <w:pgMar w:top="400" w:right="490" w:bottom="883" w:left="490" w:header="0" w:footer="0" w:gutter="0"/>
          <w:cols w:space="720" w:num="1"/>
        </w:sectPr>
      </w:pPr>
    </w:p>
    <w:p w14:paraId="2F205CAC">
      <w:pPr>
        <w:pStyle w:val="4"/>
        <w:spacing w:before="73" w:line="241" w:lineRule="auto"/>
        <w:ind w:left="7372"/>
        <w:rPr>
          <w:sz w:val="20"/>
          <w:szCs w:val="20"/>
        </w:rPr>
      </w:pPr>
      <w:r>
        <w:drawing>
          <wp:anchor distT="0" distB="0" distL="0" distR="0" simplePos="0" relativeHeight="25193574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36768" behindDoc="0" locked="0" layoutInCell="0" allowOverlap="1">
            <wp:simplePos x="0" y="0"/>
            <wp:positionH relativeFrom="page">
              <wp:posOffset>311150</wp:posOffset>
            </wp:positionH>
            <wp:positionV relativeFrom="page">
              <wp:posOffset>0</wp:posOffset>
            </wp:positionV>
            <wp:extent cx="19050" cy="814070"/>
            <wp:effectExtent l="0" t="0" r="0" b="0"/>
            <wp:wrapNone/>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BA712D1">
      <w:pPr>
        <w:pStyle w:val="4"/>
        <w:spacing w:line="278" w:lineRule="auto"/>
      </w:pPr>
    </w:p>
    <w:p w14:paraId="0374F64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9496BD5">
      <w:pPr>
        <w:pStyle w:val="4"/>
        <w:spacing w:line="469" w:lineRule="auto"/>
      </w:pPr>
    </w:p>
    <w:p w14:paraId="78F9F7A4">
      <w:pPr>
        <w:pStyle w:val="4"/>
        <w:spacing w:before="57" w:line="283" w:lineRule="auto"/>
        <w:ind w:left="366" w:right="481" w:hanging="3"/>
        <w:rPr>
          <w:sz w:val="20"/>
          <w:szCs w:val="20"/>
        </w:rPr>
      </w:pPr>
      <w:r>
        <w:rPr>
          <w:color w:val="57585A"/>
          <w:spacing w:val="-11"/>
          <w:sz w:val="20"/>
          <w:szCs w:val="20"/>
        </w:rPr>
        <w:t>tender for construction contracts in February 2014 for the first three phases</w:t>
      </w:r>
      <w:r>
        <w:rPr>
          <w:color w:val="57585A"/>
          <w:spacing w:val="-16"/>
          <w:sz w:val="20"/>
          <w:szCs w:val="20"/>
        </w:rPr>
        <w:t xml:space="preserve"> </w:t>
      </w:r>
      <w:r>
        <w:rPr>
          <w:color w:val="57585A"/>
          <w:spacing w:val="-11"/>
          <w:sz w:val="20"/>
          <w:szCs w:val="20"/>
        </w:rPr>
        <w:t xml:space="preserve">which have a combined cost of </w:t>
      </w:r>
      <w:r>
        <w:rPr>
          <w:color w:val="57585A"/>
          <w:spacing w:val="-12"/>
          <w:sz w:val="20"/>
          <w:szCs w:val="20"/>
        </w:rPr>
        <w:t>USD490mn. The Salta</w:t>
      </w:r>
      <w:r>
        <w:rPr>
          <w:color w:val="57585A"/>
          <w:sz w:val="20"/>
          <w:szCs w:val="20"/>
        </w:rPr>
        <w:t xml:space="preserve"> </w:t>
      </w:r>
      <w:r>
        <w:rPr>
          <w:color w:val="57585A"/>
          <w:spacing w:val="-12"/>
          <w:sz w:val="20"/>
          <w:szCs w:val="20"/>
        </w:rPr>
        <w:t>stretch</w:t>
      </w:r>
      <w:r>
        <w:rPr>
          <w:color w:val="57585A"/>
          <w:spacing w:val="-16"/>
          <w:sz w:val="20"/>
          <w:szCs w:val="20"/>
        </w:rPr>
        <w:t xml:space="preserve"> </w:t>
      </w:r>
      <w:r>
        <w:rPr>
          <w:color w:val="57585A"/>
          <w:spacing w:val="-12"/>
          <w:sz w:val="20"/>
          <w:szCs w:val="20"/>
        </w:rPr>
        <w:t>was awarded to Vertua, the Formosa tranche</w:t>
      </w:r>
      <w:r>
        <w:rPr>
          <w:color w:val="57585A"/>
          <w:spacing w:val="-15"/>
          <w:sz w:val="20"/>
          <w:szCs w:val="20"/>
        </w:rPr>
        <w:t xml:space="preserve"> </w:t>
      </w:r>
      <w:r>
        <w:rPr>
          <w:color w:val="57585A"/>
          <w:spacing w:val="-12"/>
          <w:sz w:val="20"/>
          <w:szCs w:val="20"/>
        </w:rPr>
        <w:t>was awarded</w:t>
      </w:r>
      <w:r>
        <w:rPr>
          <w:color w:val="57585A"/>
          <w:spacing w:val="-13"/>
          <w:sz w:val="20"/>
          <w:szCs w:val="20"/>
        </w:rPr>
        <w:t xml:space="preserve"> </w:t>
      </w:r>
      <w:r>
        <w:rPr>
          <w:color w:val="57585A"/>
          <w:spacing w:val="-12"/>
          <w:sz w:val="20"/>
          <w:szCs w:val="20"/>
        </w:rPr>
        <w:t>t</w:t>
      </w:r>
      <w:r>
        <w:rPr>
          <w:color w:val="57585A"/>
          <w:spacing w:val="-13"/>
          <w:sz w:val="20"/>
          <w:szCs w:val="20"/>
        </w:rPr>
        <w:t>o</w:t>
      </w:r>
      <w:r>
        <w:rPr>
          <w:color w:val="57585A"/>
          <w:spacing w:val="-14"/>
          <w:sz w:val="20"/>
          <w:szCs w:val="20"/>
        </w:rPr>
        <w:t xml:space="preserve"> </w:t>
      </w:r>
      <w:r>
        <w:rPr>
          <w:color w:val="57585A"/>
          <w:spacing w:val="-13"/>
          <w:sz w:val="20"/>
          <w:szCs w:val="20"/>
        </w:rPr>
        <w:t>Techint-Panedile, and the Santa-Fe section</w:t>
      </w:r>
      <w:r>
        <w:rPr>
          <w:color w:val="57585A"/>
          <w:spacing w:val="-15"/>
          <w:sz w:val="20"/>
          <w:szCs w:val="20"/>
        </w:rPr>
        <w:t xml:space="preserve"> </w:t>
      </w:r>
      <w:r>
        <w:rPr>
          <w:color w:val="57585A"/>
          <w:spacing w:val="-13"/>
          <w:sz w:val="20"/>
          <w:szCs w:val="20"/>
        </w:rPr>
        <w:t>was contracted</w:t>
      </w:r>
      <w:r>
        <w:rPr>
          <w:color w:val="57585A"/>
          <w:spacing w:val="-12"/>
          <w:sz w:val="20"/>
          <w:szCs w:val="20"/>
        </w:rPr>
        <w:t xml:space="preserve"> </w:t>
      </w:r>
      <w:r>
        <w:rPr>
          <w:color w:val="57585A"/>
          <w:spacing w:val="-13"/>
          <w:sz w:val="20"/>
          <w:szCs w:val="20"/>
        </w:rPr>
        <w:t>to</w:t>
      </w:r>
      <w:r>
        <w:rPr>
          <w:color w:val="57585A"/>
          <w:sz w:val="20"/>
          <w:szCs w:val="20"/>
        </w:rPr>
        <w:t xml:space="preserve"> </w:t>
      </w:r>
      <w:r>
        <w:rPr>
          <w:color w:val="57585A"/>
          <w:spacing w:val="-13"/>
          <w:sz w:val="20"/>
          <w:szCs w:val="20"/>
        </w:rPr>
        <w:t>Helport-CPC-Rovella Carranza and Contreras Hermanos in August 2014. The 1,460km GNEA pipeline will have an initial capacity of</w:t>
      </w:r>
      <w:r>
        <w:rPr>
          <w:color w:val="57585A"/>
          <w:spacing w:val="7"/>
          <w:sz w:val="20"/>
          <w:szCs w:val="20"/>
        </w:rPr>
        <w:t xml:space="preserve"> </w:t>
      </w:r>
      <w:r>
        <w:rPr>
          <w:color w:val="57585A"/>
          <w:spacing w:val="-12"/>
          <w:sz w:val="20"/>
          <w:szCs w:val="20"/>
        </w:rPr>
        <w:t>7.3bcm per annum. It is designed to be expanded to 11bcm per annum by the end of</w:t>
      </w:r>
      <w:r>
        <w:rPr>
          <w:color w:val="57585A"/>
          <w:spacing w:val="-21"/>
          <w:sz w:val="20"/>
          <w:szCs w:val="20"/>
        </w:rPr>
        <w:t xml:space="preserve"> </w:t>
      </w:r>
      <w:r>
        <w:rPr>
          <w:color w:val="57585A"/>
          <w:spacing w:val="-12"/>
          <w:sz w:val="20"/>
          <w:szCs w:val="20"/>
        </w:rPr>
        <w:t>the decade. GNEA</w:t>
      </w:r>
      <w:r>
        <w:rPr>
          <w:color w:val="57585A"/>
          <w:spacing w:val="-16"/>
          <w:sz w:val="20"/>
          <w:szCs w:val="20"/>
        </w:rPr>
        <w:t xml:space="preserve"> </w:t>
      </w:r>
      <w:r>
        <w:rPr>
          <w:color w:val="57585A"/>
          <w:spacing w:val="-12"/>
          <w:sz w:val="20"/>
          <w:szCs w:val="20"/>
        </w:rPr>
        <w:t>will connect to</w:t>
      </w:r>
      <w:r>
        <w:rPr>
          <w:color w:val="57585A"/>
          <w:spacing w:val="-16"/>
          <w:sz w:val="20"/>
          <w:szCs w:val="20"/>
        </w:rPr>
        <w:t xml:space="preserve"> </w:t>
      </w:r>
      <w:r>
        <w:rPr>
          <w:color w:val="57585A"/>
          <w:spacing w:val="-12"/>
          <w:sz w:val="20"/>
          <w:szCs w:val="20"/>
        </w:rPr>
        <w:t>YPBF's</w:t>
      </w:r>
    </w:p>
    <w:p w14:paraId="0059343D">
      <w:pPr>
        <w:pStyle w:val="4"/>
        <w:spacing w:before="36" w:line="231" w:lineRule="auto"/>
        <w:ind w:left="352"/>
        <w:rPr>
          <w:sz w:val="20"/>
          <w:szCs w:val="20"/>
        </w:rPr>
      </w:pPr>
      <w:r>
        <w:rPr>
          <w:color w:val="57585A"/>
          <w:spacing w:val="-11"/>
          <w:sz w:val="20"/>
          <w:szCs w:val="20"/>
        </w:rPr>
        <w:t>Juana</w:t>
      </w:r>
      <w:r>
        <w:rPr>
          <w:color w:val="57585A"/>
          <w:spacing w:val="-16"/>
          <w:sz w:val="20"/>
          <w:szCs w:val="20"/>
        </w:rPr>
        <w:t xml:space="preserve"> </w:t>
      </w:r>
      <w:r>
        <w:rPr>
          <w:color w:val="57585A"/>
          <w:spacing w:val="-11"/>
          <w:sz w:val="20"/>
          <w:szCs w:val="20"/>
        </w:rPr>
        <w:t>Azurdy pipeline in Bolivia and</w:t>
      </w:r>
      <w:r>
        <w:rPr>
          <w:color w:val="57585A"/>
          <w:spacing w:val="-16"/>
          <w:sz w:val="20"/>
          <w:szCs w:val="20"/>
        </w:rPr>
        <w:t xml:space="preserve"> </w:t>
      </w:r>
      <w:r>
        <w:rPr>
          <w:color w:val="57585A"/>
          <w:spacing w:val="-11"/>
          <w:sz w:val="20"/>
          <w:szCs w:val="20"/>
        </w:rPr>
        <w:t>will supply gas to app</w:t>
      </w:r>
      <w:r>
        <w:rPr>
          <w:color w:val="57585A"/>
          <w:spacing w:val="-12"/>
          <w:sz w:val="20"/>
          <w:szCs w:val="20"/>
        </w:rPr>
        <w:t>roximately 380,000 users in northern and central</w:t>
      </w:r>
      <w:r>
        <w:rPr>
          <w:color w:val="57585A"/>
          <w:spacing w:val="-15"/>
          <w:sz w:val="20"/>
          <w:szCs w:val="20"/>
        </w:rPr>
        <w:t xml:space="preserve"> </w:t>
      </w:r>
      <w:r>
        <w:rPr>
          <w:color w:val="57585A"/>
          <w:spacing w:val="-12"/>
          <w:sz w:val="20"/>
          <w:szCs w:val="20"/>
        </w:rPr>
        <w:t>Argentina.</w:t>
      </w:r>
    </w:p>
    <w:p w14:paraId="24E50657">
      <w:pPr>
        <w:pStyle w:val="4"/>
        <w:spacing w:line="285" w:lineRule="auto"/>
      </w:pPr>
    </w:p>
    <w:p w14:paraId="48982D23">
      <w:pPr>
        <w:pStyle w:val="4"/>
        <w:spacing w:line="285" w:lineRule="auto"/>
      </w:pPr>
    </w:p>
    <w:p w14:paraId="5A9FD0CF">
      <w:pPr>
        <w:pStyle w:val="4"/>
        <w:spacing w:before="58" w:line="241" w:lineRule="auto"/>
        <w:ind w:left="360"/>
        <w:rPr>
          <w:sz w:val="20"/>
          <w:szCs w:val="20"/>
        </w:rPr>
      </w:pPr>
      <w:r>
        <w:rPr>
          <w:b/>
          <w:bCs/>
          <w:color w:val="57585A"/>
          <w:spacing w:val="-9"/>
          <w:sz w:val="20"/>
          <w:szCs w:val="20"/>
        </w:rPr>
        <w:t>Tierra del Fuego Link</w:t>
      </w:r>
    </w:p>
    <w:p w14:paraId="178AA86D">
      <w:pPr>
        <w:pStyle w:val="4"/>
        <w:spacing w:line="282" w:lineRule="auto"/>
      </w:pPr>
    </w:p>
    <w:p w14:paraId="5B59A4C7">
      <w:pPr>
        <w:pStyle w:val="4"/>
        <w:spacing w:before="57" w:line="279" w:lineRule="auto"/>
        <w:ind w:left="359" w:right="741"/>
        <w:jc w:val="both"/>
        <w:rPr>
          <w:sz w:val="20"/>
          <w:szCs w:val="20"/>
        </w:rPr>
      </w:pPr>
      <w:r>
        <w:rPr>
          <w:color w:val="57585A"/>
          <w:spacing w:val="-10"/>
          <w:sz w:val="20"/>
          <w:szCs w:val="20"/>
        </w:rPr>
        <w:t>Argentina constructed a new 38km subsea gas pipeline in 2</w:t>
      </w:r>
      <w:r>
        <w:rPr>
          <w:color w:val="57585A"/>
          <w:spacing w:val="-11"/>
          <w:sz w:val="20"/>
          <w:szCs w:val="20"/>
        </w:rPr>
        <w:t>010 to double the supply capacity from the southernmost island of</w:t>
      </w:r>
      <w:r>
        <w:rPr>
          <w:color w:val="57585A"/>
          <w:sz w:val="20"/>
          <w:szCs w:val="20"/>
        </w:rPr>
        <w:t xml:space="preserve"> </w:t>
      </w:r>
      <w:r>
        <w:rPr>
          <w:color w:val="57585A"/>
          <w:spacing w:val="-11"/>
          <w:sz w:val="20"/>
          <w:szCs w:val="20"/>
        </w:rPr>
        <w:t>Tierra del Fuego to the mainland. The pipeline,</w:t>
      </w:r>
      <w:r>
        <w:rPr>
          <w:color w:val="57585A"/>
          <w:spacing w:val="-5"/>
          <w:sz w:val="20"/>
          <w:szCs w:val="20"/>
        </w:rPr>
        <w:t xml:space="preserve"> </w:t>
      </w:r>
      <w:r>
        <w:rPr>
          <w:color w:val="57585A"/>
          <w:spacing w:val="-11"/>
          <w:sz w:val="20"/>
          <w:szCs w:val="20"/>
        </w:rPr>
        <w:t>which links up</w:t>
      </w:r>
      <w:r>
        <w:rPr>
          <w:color w:val="57585A"/>
          <w:spacing w:val="-16"/>
          <w:sz w:val="20"/>
          <w:szCs w:val="20"/>
        </w:rPr>
        <w:t xml:space="preserve"> </w:t>
      </w:r>
      <w:r>
        <w:rPr>
          <w:color w:val="57585A"/>
          <w:spacing w:val="-11"/>
          <w:sz w:val="20"/>
          <w:szCs w:val="20"/>
        </w:rPr>
        <w:t>with the national trunkline system,</w:t>
      </w:r>
      <w:r>
        <w:rPr>
          <w:color w:val="57585A"/>
          <w:spacing w:val="-15"/>
          <w:sz w:val="20"/>
          <w:szCs w:val="20"/>
        </w:rPr>
        <w:t xml:space="preserve"> </w:t>
      </w:r>
      <w:r>
        <w:rPr>
          <w:color w:val="57585A"/>
          <w:spacing w:val="-11"/>
          <w:sz w:val="20"/>
          <w:szCs w:val="20"/>
        </w:rPr>
        <w:t>will help to connect gas fields</w:t>
      </w:r>
      <w:r>
        <w:rPr>
          <w:color w:val="57585A"/>
          <w:sz w:val="20"/>
          <w:szCs w:val="20"/>
        </w:rPr>
        <w:t xml:space="preserve"> </w:t>
      </w:r>
      <w:r>
        <w:rPr>
          <w:color w:val="57585A"/>
          <w:spacing w:val="-10"/>
          <w:sz w:val="20"/>
          <w:szCs w:val="20"/>
        </w:rPr>
        <w:t>offshore Tierra del Fuego to large domestic</w:t>
      </w:r>
      <w:r>
        <w:rPr>
          <w:color w:val="57585A"/>
          <w:spacing w:val="-11"/>
          <w:sz w:val="20"/>
          <w:szCs w:val="20"/>
        </w:rPr>
        <w:t xml:space="preserve"> markets further north, stimulating E&amp;P in the southernmost province.</w:t>
      </w:r>
    </w:p>
    <w:p w14:paraId="34812F41">
      <w:pPr>
        <w:pStyle w:val="4"/>
        <w:spacing w:line="265" w:lineRule="auto"/>
      </w:pPr>
    </w:p>
    <w:p w14:paraId="76FE5D7D">
      <w:pPr>
        <w:pStyle w:val="4"/>
        <w:spacing w:before="59" w:line="273" w:lineRule="auto"/>
        <w:ind w:left="375" w:right="551" w:hanging="15"/>
        <w:rPr>
          <w:sz w:val="20"/>
          <w:szCs w:val="20"/>
        </w:rPr>
      </w:pPr>
      <w:r>
        <w:rPr>
          <w:color w:val="57585A"/>
          <w:spacing w:val="-11"/>
          <w:sz w:val="20"/>
          <w:szCs w:val="20"/>
        </w:rPr>
        <w:t>The pipeline runs parallel to an existing 30-</w:t>
      </w:r>
      <w:r>
        <w:rPr>
          <w:color w:val="57585A"/>
          <w:spacing w:val="-12"/>
          <w:sz w:val="20"/>
          <w:szCs w:val="20"/>
        </w:rPr>
        <w:t>year-old subsea link, connecting Cape Espíritu Santo in</w:t>
      </w:r>
      <w:r>
        <w:rPr>
          <w:color w:val="57585A"/>
          <w:spacing w:val="-15"/>
          <w:sz w:val="20"/>
          <w:szCs w:val="20"/>
        </w:rPr>
        <w:t xml:space="preserve"> </w:t>
      </w:r>
      <w:r>
        <w:rPr>
          <w:color w:val="57585A"/>
          <w:spacing w:val="-12"/>
          <w:sz w:val="20"/>
          <w:szCs w:val="20"/>
        </w:rPr>
        <w:t>Argentina's section of</w:t>
      </w:r>
      <w:r>
        <w:rPr>
          <w:color w:val="57585A"/>
          <w:spacing w:val="-24"/>
          <w:sz w:val="20"/>
          <w:szCs w:val="20"/>
        </w:rPr>
        <w:t xml:space="preserve"> </w:t>
      </w:r>
      <w:r>
        <w:rPr>
          <w:color w:val="57585A"/>
          <w:spacing w:val="-12"/>
          <w:sz w:val="20"/>
          <w:szCs w:val="20"/>
        </w:rPr>
        <w:t>Tierra del</w:t>
      </w:r>
      <w:r>
        <w:rPr>
          <w:color w:val="57585A"/>
          <w:sz w:val="20"/>
          <w:szCs w:val="20"/>
        </w:rPr>
        <w:t xml:space="preserve"> </w:t>
      </w:r>
      <w:r>
        <w:rPr>
          <w:color w:val="57585A"/>
          <w:spacing w:val="-13"/>
          <w:sz w:val="20"/>
          <w:szCs w:val="20"/>
        </w:rPr>
        <w:t>Fuego to Cape</w:t>
      </w:r>
      <w:r>
        <w:rPr>
          <w:color w:val="57585A"/>
          <w:spacing w:val="-15"/>
          <w:sz w:val="20"/>
          <w:szCs w:val="20"/>
        </w:rPr>
        <w:t xml:space="preserve"> </w:t>
      </w:r>
      <w:r>
        <w:rPr>
          <w:color w:val="57585A"/>
          <w:spacing w:val="-13"/>
          <w:sz w:val="20"/>
          <w:szCs w:val="20"/>
        </w:rPr>
        <w:t>Vírgenes in Santa Cruz Province. The pipeline adds 6.2bcm of carrying capacity, doubling Tierra del Fuego</w:t>
      </w:r>
      <w:r>
        <w:rPr>
          <w:color w:val="57585A"/>
          <w:spacing w:val="-14"/>
          <w:sz w:val="20"/>
          <w:szCs w:val="20"/>
        </w:rPr>
        <w:t>'s</w:t>
      </w:r>
    </w:p>
    <w:p w14:paraId="03FC6B17">
      <w:pPr>
        <w:pStyle w:val="4"/>
        <w:spacing w:before="36" w:line="273" w:lineRule="auto"/>
        <w:ind w:left="375" w:right="711" w:hanging="2"/>
        <w:rPr>
          <w:sz w:val="20"/>
          <w:szCs w:val="20"/>
        </w:rPr>
      </w:pPr>
      <w:r>
        <w:rPr>
          <w:color w:val="57585A"/>
          <w:spacing w:val="-11"/>
          <w:sz w:val="20"/>
          <w:szCs w:val="20"/>
        </w:rPr>
        <w:t>maximum send-out</w:t>
      </w:r>
      <w:r>
        <w:rPr>
          <w:color w:val="57585A"/>
          <w:spacing w:val="-16"/>
          <w:sz w:val="20"/>
          <w:szCs w:val="20"/>
        </w:rPr>
        <w:t xml:space="preserve"> </w:t>
      </w:r>
      <w:r>
        <w:rPr>
          <w:color w:val="57585A"/>
          <w:spacing w:val="-11"/>
          <w:sz w:val="20"/>
          <w:szCs w:val="20"/>
        </w:rPr>
        <w:t>volumes.</w:t>
      </w:r>
      <w:r>
        <w:rPr>
          <w:color w:val="57585A"/>
          <w:spacing w:val="-14"/>
          <w:sz w:val="20"/>
          <w:szCs w:val="20"/>
        </w:rPr>
        <w:t xml:space="preserve"> </w:t>
      </w:r>
      <w:r>
        <w:rPr>
          <w:color w:val="57585A"/>
          <w:spacing w:val="-11"/>
          <w:sz w:val="20"/>
          <w:szCs w:val="20"/>
        </w:rPr>
        <w:t>The project</w:t>
      </w:r>
      <w:r>
        <w:rPr>
          <w:color w:val="57585A"/>
          <w:spacing w:val="-16"/>
          <w:sz w:val="20"/>
          <w:szCs w:val="20"/>
        </w:rPr>
        <w:t xml:space="preserve"> </w:t>
      </w:r>
      <w:r>
        <w:rPr>
          <w:color w:val="57585A"/>
          <w:spacing w:val="-11"/>
          <w:sz w:val="20"/>
          <w:szCs w:val="20"/>
        </w:rPr>
        <w:t>was carried out on behalf</w:t>
      </w:r>
      <w:r>
        <w:rPr>
          <w:color w:val="57585A"/>
          <w:spacing w:val="-15"/>
          <w:sz w:val="20"/>
          <w:szCs w:val="20"/>
        </w:rPr>
        <w:t xml:space="preserve"> </w:t>
      </w:r>
      <w:r>
        <w:rPr>
          <w:color w:val="57585A"/>
          <w:spacing w:val="-11"/>
          <w:sz w:val="20"/>
          <w:szCs w:val="20"/>
        </w:rPr>
        <w:t>of</w:t>
      </w:r>
      <w:r>
        <w:rPr>
          <w:color w:val="57585A"/>
          <w:spacing w:val="-21"/>
          <w:sz w:val="20"/>
          <w:szCs w:val="20"/>
        </w:rPr>
        <w:t xml:space="preserve"> </w:t>
      </w:r>
      <w:r>
        <w:rPr>
          <w:color w:val="57585A"/>
          <w:spacing w:val="-11"/>
          <w:sz w:val="20"/>
          <w:szCs w:val="20"/>
        </w:rPr>
        <w:t>the government by aJV between Netherlands-b</w:t>
      </w:r>
      <w:r>
        <w:rPr>
          <w:color w:val="57585A"/>
          <w:spacing w:val="-12"/>
          <w:sz w:val="20"/>
          <w:szCs w:val="20"/>
        </w:rPr>
        <w:t>ased firm</w:t>
      </w:r>
      <w:r>
        <w:rPr>
          <w:color w:val="57585A"/>
          <w:sz w:val="20"/>
          <w:szCs w:val="20"/>
        </w:rPr>
        <w:t xml:space="preserve"> </w:t>
      </w:r>
      <w:r>
        <w:rPr>
          <w:color w:val="57585A"/>
          <w:spacing w:val="-14"/>
          <w:sz w:val="20"/>
          <w:szCs w:val="20"/>
        </w:rPr>
        <w:t>Royal Boskalis Westminster and Switzerland-based</w:t>
      </w:r>
      <w:r>
        <w:rPr>
          <w:color w:val="57585A"/>
          <w:spacing w:val="-3"/>
          <w:sz w:val="20"/>
          <w:szCs w:val="20"/>
        </w:rPr>
        <w:t xml:space="preserve"> </w:t>
      </w:r>
      <w:r>
        <w:rPr>
          <w:color w:val="57585A"/>
          <w:spacing w:val="-14"/>
          <w:sz w:val="20"/>
          <w:szCs w:val="20"/>
        </w:rPr>
        <w:t>Allseas Group at a cost of USD265mn.</w:t>
      </w:r>
    </w:p>
    <w:p w14:paraId="68E7D7F5">
      <w:pPr>
        <w:pStyle w:val="4"/>
        <w:spacing w:line="274" w:lineRule="auto"/>
      </w:pPr>
    </w:p>
    <w:p w14:paraId="51A1C7F9">
      <w:pPr>
        <w:pStyle w:val="4"/>
        <w:spacing w:line="274" w:lineRule="auto"/>
      </w:pPr>
    </w:p>
    <w:p w14:paraId="44338B0B">
      <w:pPr>
        <w:pStyle w:val="4"/>
        <w:spacing w:before="59" w:line="241" w:lineRule="auto"/>
        <w:ind w:left="375"/>
        <w:rPr>
          <w:sz w:val="20"/>
          <w:szCs w:val="20"/>
        </w:rPr>
      </w:pPr>
      <w:r>
        <w:rPr>
          <w:b/>
          <w:bCs/>
          <w:color w:val="57585A"/>
          <w:spacing w:val="-7"/>
          <w:sz w:val="20"/>
          <w:szCs w:val="20"/>
        </w:rPr>
        <w:t>Bolivia-Argentina Interconnector</w:t>
      </w:r>
    </w:p>
    <w:p w14:paraId="47B85281">
      <w:pPr>
        <w:pStyle w:val="4"/>
        <w:spacing w:line="280" w:lineRule="auto"/>
      </w:pPr>
    </w:p>
    <w:p w14:paraId="4ED9569D">
      <w:pPr>
        <w:pStyle w:val="4"/>
        <w:spacing w:before="58" w:line="294" w:lineRule="auto"/>
        <w:ind w:left="363" w:right="705" w:firstLine="12"/>
        <w:rPr>
          <w:sz w:val="20"/>
          <w:szCs w:val="20"/>
        </w:rPr>
      </w:pPr>
      <w:r>
        <w:rPr>
          <w:color w:val="57585A"/>
          <w:spacing w:val="-12"/>
          <w:sz w:val="20"/>
          <w:szCs w:val="20"/>
        </w:rPr>
        <w:t xml:space="preserve">In March 2010, Bolivia signed a long-awaited gas supply deal with Argentina. </w:t>
      </w:r>
      <w:r>
        <w:rPr>
          <w:color w:val="57585A"/>
          <w:spacing w:val="-13"/>
          <w:sz w:val="20"/>
          <w:szCs w:val="20"/>
        </w:rPr>
        <w:t>The deal bound the two sides to gradually raise gas</w:t>
      </w:r>
      <w:r>
        <w:rPr>
          <w:color w:val="57585A"/>
          <w:sz w:val="20"/>
          <w:szCs w:val="20"/>
        </w:rPr>
        <w:t xml:space="preserve"> </w:t>
      </w:r>
      <w:r>
        <w:rPr>
          <w:color w:val="57585A"/>
          <w:spacing w:val="-10"/>
          <w:sz w:val="20"/>
          <w:szCs w:val="20"/>
        </w:rPr>
        <w:t>trade</w:t>
      </w:r>
      <w:r>
        <w:rPr>
          <w:color w:val="57585A"/>
          <w:spacing w:val="-16"/>
          <w:sz w:val="20"/>
          <w:szCs w:val="20"/>
        </w:rPr>
        <w:t xml:space="preserve"> </w:t>
      </w:r>
      <w:r>
        <w:rPr>
          <w:color w:val="57585A"/>
          <w:spacing w:val="-10"/>
          <w:sz w:val="20"/>
          <w:szCs w:val="20"/>
        </w:rPr>
        <w:t xml:space="preserve">volumes from around 1.7bcm </w:t>
      </w:r>
      <w:r>
        <w:rPr>
          <w:color w:val="57585A"/>
          <w:spacing w:val="-11"/>
          <w:sz w:val="20"/>
          <w:szCs w:val="20"/>
        </w:rPr>
        <w:t>to 10.1bcm.</w:t>
      </w:r>
    </w:p>
    <w:p w14:paraId="64784382">
      <w:pPr>
        <w:pStyle w:val="4"/>
        <w:spacing w:before="285" w:line="273" w:lineRule="auto"/>
        <w:ind w:left="368" w:right="560" w:hanging="8"/>
        <w:rPr>
          <w:sz w:val="20"/>
          <w:szCs w:val="20"/>
        </w:rPr>
      </w:pPr>
      <w:r>
        <w:rPr>
          <w:color w:val="57585A"/>
          <w:spacing w:val="-11"/>
          <w:sz w:val="20"/>
          <w:szCs w:val="20"/>
        </w:rPr>
        <w:t>The majority of new gas</w:t>
      </w:r>
      <w:r>
        <w:rPr>
          <w:color w:val="57585A"/>
          <w:spacing w:val="-15"/>
          <w:sz w:val="20"/>
          <w:szCs w:val="20"/>
        </w:rPr>
        <w:t xml:space="preserve"> </w:t>
      </w:r>
      <w:r>
        <w:rPr>
          <w:color w:val="57585A"/>
          <w:spacing w:val="-11"/>
          <w:sz w:val="20"/>
          <w:szCs w:val="20"/>
        </w:rPr>
        <w:t>will come from new phases ofthe Margarita field in the southern Bolivian province of</w:t>
      </w:r>
      <w:r>
        <w:rPr>
          <w:color w:val="57585A"/>
          <w:spacing w:val="-19"/>
          <w:sz w:val="20"/>
          <w:szCs w:val="20"/>
        </w:rPr>
        <w:t xml:space="preserve"> </w:t>
      </w:r>
      <w:r>
        <w:rPr>
          <w:color w:val="57585A"/>
          <w:spacing w:val="-11"/>
          <w:sz w:val="20"/>
          <w:szCs w:val="20"/>
        </w:rPr>
        <w:t xml:space="preserve">Santa </w:t>
      </w:r>
      <w:r>
        <w:rPr>
          <w:color w:val="57585A"/>
          <w:spacing w:val="-12"/>
          <w:sz w:val="20"/>
          <w:szCs w:val="20"/>
        </w:rPr>
        <w:t>Cruz,</w:t>
      </w:r>
      <w:r>
        <w:rPr>
          <w:color w:val="57585A"/>
          <w:spacing w:val="-15"/>
          <w:sz w:val="20"/>
          <w:szCs w:val="20"/>
        </w:rPr>
        <w:t xml:space="preserve"> </w:t>
      </w:r>
      <w:r>
        <w:rPr>
          <w:color w:val="57585A"/>
          <w:spacing w:val="-12"/>
          <w:sz w:val="20"/>
          <w:szCs w:val="20"/>
        </w:rPr>
        <w:t>which is</w:t>
      </w:r>
      <w:r>
        <w:rPr>
          <w:color w:val="57585A"/>
          <w:sz w:val="20"/>
          <w:szCs w:val="20"/>
        </w:rPr>
        <w:t xml:space="preserve"> </w:t>
      </w:r>
      <w:r>
        <w:rPr>
          <w:color w:val="57585A"/>
          <w:spacing w:val="-12"/>
          <w:sz w:val="20"/>
          <w:szCs w:val="20"/>
        </w:rPr>
        <w:t>operated by the Caipipendi consortium led by</w:t>
      </w:r>
      <w:r>
        <w:rPr>
          <w:color w:val="57585A"/>
          <w:spacing w:val="-16"/>
          <w:sz w:val="20"/>
          <w:szCs w:val="20"/>
        </w:rPr>
        <w:t xml:space="preserve"> </w:t>
      </w:r>
      <w:r>
        <w:rPr>
          <w:color w:val="57585A"/>
          <w:spacing w:val="-12"/>
          <w:sz w:val="20"/>
          <w:szCs w:val="20"/>
        </w:rPr>
        <w:t>YPF. Exports did not pick up un</w:t>
      </w:r>
      <w:r>
        <w:rPr>
          <w:color w:val="57585A"/>
          <w:spacing w:val="-13"/>
          <w:sz w:val="20"/>
          <w:szCs w:val="20"/>
        </w:rPr>
        <w:t>til</w:t>
      </w:r>
      <w:r>
        <w:rPr>
          <w:color w:val="57585A"/>
          <w:spacing w:val="1"/>
          <w:sz w:val="20"/>
          <w:szCs w:val="20"/>
        </w:rPr>
        <w:t xml:space="preserve"> </w:t>
      </w:r>
      <w:r>
        <w:rPr>
          <w:color w:val="57585A"/>
          <w:spacing w:val="-13"/>
          <w:sz w:val="20"/>
          <w:szCs w:val="20"/>
        </w:rPr>
        <w:t>May</w:t>
      </w:r>
      <w:r>
        <w:rPr>
          <w:color w:val="57585A"/>
          <w:spacing w:val="-4"/>
          <w:sz w:val="20"/>
          <w:szCs w:val="20"/>
        </w:rPr>
        <w:t xml:space="preserve"> </w:t>
      </w:r>
      <w:r>
        <w:rPr>
          <w:color w:val="57585A"/>
          <w:spacing w:val="-13"/>
          <w:sz w:val="20"/>
          <w:szCs w:val="20"/>
        </w:rPr>
        <w:t>2011,</w:t>
      </w:r>
      <w:r>
        <w:rPr>
          <w:color w:val="57585A"/>
          <w:spacing w:val="-16"/>
          <w:sz w:val="20"/>
          <w:szCs w:val="20"/>
        </w:rPr>
        <w:t xml:space="preserve"> </w:t>
      </w:r>
      <w:r>
        <w:rPr>
          <w:color w:val="57585A"/>
          <w:spacing w:val="-13"/>
          <w:sz w:val="20"/>
          <w:szCs w:val="20"/>
        </w:rPr>
        <w:t>when a</w:t>
      </w:r>
      <w:r>
        <w:rPr>
          <w:color w:val="57585A"/>
          <w:spacing w:val="-2"/>
          <w:sz w:val="20"/>
          <w:szCs w:val="20"/>
        </w:rPr>
        <w:t xml:space="preserve"> </w:t>
      </w:r>
      <w:r>
        <w:rPr>
          <w:color w:val="57585A"/>
          <w:spacing w:val="-13"/>
          <w:sz w:val="20"/>
          <w:szCs w:val="20"/>
        </w:rPr>
        <w:t>new 50km</w:t>
      </w:r>
      <w:r>
        <w:rPr>
          <w:color w:val="57585A"/>
          <w:spacing w:val="-5"/>
          <w:sz w:val="20"/>
          <w:szCs w:val="20"/>
        </w:rPr>
        <w:t xml:space="preserve"> </w:t>
      </w:r>
      <w:r>
        <w:rPr>
          <w:color w:val="57585A"/>
          <w:spacing w:val="-13"/>
          <w:sz w:val="20"/>
          <w:szCs w:val="20"/>
        </w:rPr>
        <w:t>Gasoducto</w:t>
      </w:r>
      <w:r>
        <w:rPr>
          <w:color w:val="57585A"/>
          <w:spacing w:val="-7"/>
          <w:sz w:val="20"/>
          <w:szCs w:val="20"/>
        </w:rPr>
        <w:t xml:space="preserve"> </w:t>
      </w:r>
      <w:r>
        <w:rPr>
          <w:color w:val="57585A"/>
          <w:spacing w:val="-13"/>
          <w:sz w:val="20"/>
          <w:szCs w:val="20"/>
        </w:rPr>
        <w:t>de</w:t>
      </w:r>
    </w:p>
    <w:p w14:paraId="3A0D5122">
      <w:pPr>
        <w:pStyle w:val="4"/>
        <w:spacing w:before="37" w:line="273" w:lineRule="auto"/>
        <w:ind w:left="373" w:right="430" w:firstLine="2"/>
        <w:rPr>
          <w:sz w:val="20"/>
          <w:szCs w:val="20"/>
        </w:rPr>
      </w:pPr>
      <w:r>
        <w:rPr>
          <w:color w:val="57585A"/>
          <w:spacing w:val="-10"/>
          <w:sz w:val="20"/>
          <w:szCs w:val="20"/>
        </w:rPr>
        <w:t>Integración</w:t>
      </w:r>
      <w:r>
        <w:rPr>
          <w:color w:val="57585A"/>
          <w:spacing w:val="-23"/>
          <w:sz w:val="20"/>
          <w:szCs w:val="20"/>
        </w:rPr>
        <w:t xml:space="preserve"> </w:t>
      </w:r>
      <w:r>
        <w:rPr>
          <w:color w:val="57585A"/>
          <w:spacing w:val="-10"/>
          <w:sz w:val="20"/>
          <w:szCs w:val="20"/>
        </w:rPr>
        <w:t>Juana</w:t>
      </w:r>
      <w:r>
        <w:rPr>
          <w:color w:val="57585A"/>
          <w:spacing w:val="-15"/>
          <w:sz w:val="20"/>
          <w:szCs w:val="20"/>
        </w:rPr>
        <w:t xml:space="preserve"> </w:t>
      </w:r>
      <w:r>
        <w:rPr>
          <w:color w:val="57585A"/>
          <w:spacing w:val="-10"/>
          <w:sz w:val="20"/>
          <w:szCs w:val="20"/>
        </w:rPr>
        <w:t>Azurd</w:t>
      </w:r>
      <w:r>
        <w:rPr>
          <w:color w:val="57585A"/>
          <w:spacing w:val="-11"/>
          <w:sz w:val="20"/>
          <w:szCs w:val="20"/>
        </w:rPr>
        <w:t>uy interconnector to</w:t>
      </w:r>
      <w:r>
        <w:rPr>
          <w:color w:val="57585A"/>
          <w:spacing w:val="-16"/>
          <w:sz w:val="20"/>
          <w:szCs w:val="20"/>
        </w:rPr>
        <w:t xml:space="preserve"> </w:t>
      </w:r>
      <w:r>
        <w:rPr>
          <w:color w:val="57585A"/>
          <w:spacing w:val="-11"/>
          <w:sz w:val="20"/>
          <w:szCs w:val="20"/>
        </w:rPr>
        <w:t>Argentina came online. Initial annual capacity of 2.8bcm</w:t>
      </w:r>
      <w:r>
        <w:rPr>
          <w:color w:val="57585A"/>
          <w:spacing w:val="-16"/>
          <w:sz w:val="20"/>
          <w:szCs w:val="20"/>
        </w:rPr>
        <w:t xml:space="preserve"> </w:t>
      </w:r>
      <w:r>
        <w:rPr>
          <w:color w:val="57585A"/>
          <w:spacing w:val="-11"/>
          <w:sz w:val="20"/>
          <w:szCs w:val="20"/>
        </w:rPr>
        <w:t>will be gradually boosted to a</w:t>
      </w:r>
      <w:r>
        <w:rPr>
          <w:color w:val="57585A"/>
          <w:sz w:val="20"/>
          <w:szCs w:val="20"/>
        </w:rPr>
        <w:t xml:space="preserve"> </w:t>
      </w:r>
      <w:r>
        <w:rPr>
          <w:color w:val="57585A"/>
          <w:spacing w:val="-11"/>
          <w:sz w:val="20"/>
          <w:szCs w:val="20"/>
        </w:rPr>
        <w:t>maximum of 10.1bcm envisaged under the new supply contract.</w:t>
      </w:r>
    </w:p>
    <w:p w14:paraId="72D770C2">
      <w:pPr>
        <w:pStyle w:val="4"/>
        <w:spacing w:line="266" w:lineRule="auto"/>
      </w:pPr>
    </w:p>
    <w:p w14:paraId="7553D5E3">
      <w:pPr>
        <w:pStyle w:val="4"/>
        <w:spacing w:before="57" w:line="280" w:lineRule="auto"/>
        <w:ind w:left="369" w:right="590" w:hanging="8"/>
        <w:rPr>
          <w:sz w:val="20"/>
          <w:szCs w:val="20"/>
        </w:rPr>
      </w:pPr>
      <w:r>
        <w:rPr>
          <w:color w:val="57585A"/>
          <w:spacing w:val="-10"/>
          <w:sz w:val="20"/>
          <w:szCs w:val="20"/>
        </w:rPr>
        <w:t>With growing domestic production,</w:t>
      </w:r>
      <w:r>
        <w:rPr>
          <w:color w:val="57585A"/>
          <w:spacing w:val="-15"/>
          <w:sz w:val="20"/>
          <w:szCs w:val="20"/>
        </w:rPr>
        <w:t xml:space="preserve"> </w:t>
      </w:r>
      <w:r>
        <w:rPr>
          <w:color w:val="57585A"/>
          <w:spacing w:val="-10"/>
          <w:sz w:val="20"/>
          <w:szCs w:val="20"/>
        </w:rPr>
        <w:t>we expect the Northern Pipeline reversal project</w:t>
      </w:r>
      <w:r>
        <w:rPr>
          <w:color w:val="57585A"/>
          <w:spacing w:val="-11"/>
          <w:sz w:val="20"/>
          <w:szCs w:val="20"/>
        </w:rPr>
        <w:t xml:space="preserve"> to allow</w:t>
      </w:r>
      <w:r>
        <w:rPr>
          <w:color w:val="57585A"/>
          <w:spacing w:val="-16"/>
          <w:sz w:val="20"/>
          <w:szCs w:val="20"/>
        </w:rPr>
        <w:t xml:space="preserve"> </w:t>
      </w:r>
      <w:r>
        <w:rPr>
          <w:color w:val="57585A"/>
          <w:spacing w:val="-11"/>
          <w:sz w:val="20"/>
          <w:szCs w:val="20"/>
        </w:rPr>
        <w:t>Argentina to cut gas imports form</w:t>
      </w:r>
      <w:r>
        <w:rPr>
          <w:color w:val="57585A"/>
          <w:sz w:val="20"/>
          <w:szCs w:val="20"/>
        </w:rPr>
        <w:t xml:space="preserve"> </w:t>
      </w:r>
      <w:r>
        <w:rPr>
          <w:color w:val="57585A"/>
          <w:spacing w:val="-11"/>
          <w:sz w:val="20"/>
          <w:szCs w:val="20"/>
        </w:rPr>
        <w:t>Bolivia and supply northern-most provinces</w:t>
      </w:r>
      <w:r>
        <w:rPr>
          <w:color w:val="57585A"/>
          <w:spacing w:val="-15"/>
          <w:sz w:val="20"/>
          <w:szCs w:val="20"/>
        </w:rPr>
        <w:t xml:space="preserve"> </w:t>
      </w:r>
      <w:r>
        <w:rPr>
          <w:color w:val="57585A"/>
          <w:spacing w:val="-11"/>
          <w:sz w:val="20"/>
          <w:szCs w:val="20"/>
        </w:rPr>
        <w:t>with domestically produced gas. The Nor</w:t>
      </w:r>
      <w:r>
        <w:rPr>
          <w:color w:val="57585A"/>
          <w:spacing w:val="-12"/>
          <w:sz w:val="20"/>
          <w:szCs w:val="20"/>
        </w:rPr>
        <w:t>thern Pipeline Reversal project commenced</w:t>
      </w:r>
      <w:r>
        <w:rPr>
          <w:color w:val="57585A"/>
          <w:sz w:val="20"/>
          <w:szCs w:val="20"/>
        </w:rPr>
        <w:t xml:space="preserve"> </w:t>
      </w:r>
      <w:r>
        <w:rPr>
          <w:color w:val="57585A"/>
          <w:spacing w:val="-11"/>
          <w:sz w:val="20"/>
          <w:szCs w:val="20"/>
        </w:rPr>
        <w:t>operations on October 6 2024.</w:t>
      </w:r>
    </w:p>
    <w:p w14:paraId="436CBED7">
      <w:pPr>
        <w:spacing w:line="280" w:lineRule="auto"/>
        <w:rPr>
          <w:sz w:val="20"/>
          <w:szCs w:val="20"/>
        </w:rPr>
        <w:sectPr>
          <w:footerReference r:id="rId77" w:type="default"/>
          <w:pgSz w:w="11906" w:h="16838"/>
          <w:pgMar w:top="400" w:right="490" w:bottom="883" w:left="490" w:header="0" w:footer="0" w:gutter="0"/>
          <w:cols w:space="720" w:num="1"/>
        </w:sectPr>
      </w:pPr>
    </w:p>
    <w:p w14:paraId="764368C5">
      <w:pPr>
        <w:pStyle w:val="4"/>
        <w:spacing w:before="73" w:line="241" w:lineRule="auto"/>
        <w:ind w:left="7372"/>
        <w:rPr>
          <w:sz w:val="20"/>
          <w:szCs w:val="20"/>
        </w:rPr>
      </w:pPr>
      <w:r>
        <w:pict>
          <v:shape id="_x0000_s1026" o:spid="_x0000_s1026" o:spt="202" type="#_x0000_t202" style="position:absolute;left:0pt;margin-left:18.5pt;margin-top:-5.35pt;height:31.95pt;width:57.8pt;z-index:251941888;mso-width-relative:page;mso-height-relative:page;" filled="f" stroked="f" coordsize="21600,21600">
            <v:path/>
            <v:fill on="f" focussize="0,0"/>
            <v:stroke on="f"/>
            <v:imagedata o:title=""/>
            <o:lock v:ext="edit" aspectratio="f"/>
            <v:textbox inset="0mm,0mm,0mm,0mm">
              <w:txbxContent>
                <w:p w14:paraId="3475272F">
                  <w:pPr>
                    <w:pStyle w:val="4"/>
                    <w:spacing w:before="18" w:line="169" w:lineRule="auto"/>
                    <w:ind w:left="20"/>
                    <w:rPr>
                      <w:sz w:val="74"/>
                      <w:szCs w:val="74"/>
                    </w:rPr>
                  </w:pPr>
                  <w:bookmarkStart w:id="46" w:name="bookmark22"/>
                  <w:bookmarkEnd w:id="46"/>
                  <w:bookmarkStart w:id="47" w:name="bookmark42"/>
                  <w:bookmarkEnd w:id="47"/>
                  <w:r>
                    <w:rPr>
                      <w:color w:val="174173"/>
                      <w:spacing w:val="2"/>
                      <w:sz w:val="74"/>
                      <w:szCs w:val="74"/>
                    </w:rPr>
                    <w:t>BM</w:t>
                  </w:r>
                </w:p>
              </w:txbxContent>
            </v:textbox>
          </v:shape>
        </w:pict>
      </w:r>
      <w:r>
        <w:drawing>
          <wp:anchor distT="0" distB="0" distL="0" distR="0" simplePos="0" relativeHeight="251938816" behindDoc="1" locked="0" layoutInCell="0" allowOverlap="1">
            <wp:simplePos x="0" y="0"/>
            <wp:positionH relativeFrom="page">
              <wp:posOffset>907415</wp:posOffset>
            </wp:positionH>
            <wp:positionV relativeFrom="page">
              <wp:posOffset>198120</wp:posOffset>
            </wp:positionV>
            <wp:extent cx="485140" cy="544195"/>
            <wp:effectExtent l="0" t="0" r="0" b="0"/>
            <wp:wrapNone/>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47"/>
                    <a:stretch>
                      <a:fillRect/>
                    </a:stretch>
                  </pic:blipFill>
                  <pic:spPr>
                    <a:xfrm>
                      <a:off x="0" y="0"/>
                      <a:ext cx="485004" cy="544026"/>
                    </a:xfrm>
                    <a:prstGeom prst="rect">
                      <a:avLst/>
                    </a:prstGeom>
                  </pic:spPr>
                </pic:pic>
              </a:graphicData>
            </a:graphic>
          </wp:anchor>
        </w:drawing>
      </w:r>
      <w:r>
        <w:drawing>
          <wp:anchor distT="0" distB="0" distL="0" distR="0" simplePos="0" relativeHeight="251939840" behindDoc="1" locked="0" layoutInCell="0" allowOverlap="1">
            <wp:simplePos x="0" y="0"/>
            <wp:positionH relativeFrom="page">
              <wp:posOffset>1504315</wp:posOffset>
            </wp:positionH>
            <wp:positionV relativeFrom="page">
              <wp:posOffset>198120</wp:posOffset>
            </wp:positionV>
            <wp:extent cx="381000" cy="542925"/>
            <wp:effectExtent l="0" t="0" r="0" b="0"/>
            <wp:wrapNone/>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48"/>
                    <a:stretch>
                      <a:fillRect/>
                    </a:stretch>
                  </pic:blipFill>
                  <pic:spPr>
                    <a:xfrm>
                      <a:off x="0" y="0"/>
                      <a:ext cx="381075" cy="542743"/>
                    </a:xfrm>
                    <a:prstGeom prst="rect">
                      <a:avLst/>
                    </a:prstGeom>
                  </pic:spPr>
                </pic:pic>
              </a:graphicData>
            </a:graphic>
          </wp:anchor>
        </w:drawing>
      </w:r>
      <w:r>
        <w:drawing>
          <wp:anchor distT="0" distB="0" distL="0" distR="0" simplePos="0" relativeHeight="251942912" behindDoc="0" locked="0" layoutInCell="0" allowOverlap="1">
            <wp:simplePos x="0" y="0"/>
            <wp:positionH relativeFrom="page">
              <wp:posOffset>311150</wp:posOffset>
            </wp:positionH>
            <wp:positionV relativeFrom="page">
              <wp:posOffset>0</wp:posOffset>
            </wp:positionV>
            <wp:extent cx="19050" cy="814070"/>
            <wp:effectExtent l="0" t="0" r="0" b="0"/>
            <wp:wrapNone/>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141FB48">
      <w:pPr>
        <w:pStyle w:val="4"/>
        <w:spacing w:line="281" w:lineRule="auto"/>
      </w:pPr>
    </w:p>
    <w:p w14:paraId="2DE6BCE9">
      <w:pPr>
        <w:pStyle w:val="4"/>
        <w:spacing w:before="49" w:line="206" w:lineRule="auto"/>
        <w:ind w:left="396"/>
        <w:rPr>
          <w:sz w:val="17"/>
          <w:szCs w:val="17"/>
        </w:rPr>
      </w:pPr>
      <w:r>
        <w:drawing>
          <wp:anchor distT="0" distB="0" distL="0" distR="0" simplePos="0" relativeHeight="251940864" behindDoc="1" locked="0" layoutInCell="1" allowOverlap="1">
            <wp:simplePos x="0" y="0"/>
            <wp:positionH relativeFrom="column">
              <wp:posOffset>405130</wp:posOffset>
            </wp:positionH>
            <wp:positionV relativeFrom="paragraph">
              <wp:posOffset>32385</wp:posOffset>
            </wp:positionV>
            <wp:extent cx="7620" cy="80645"/>
            <wp:effectExtent l="0" t="0" r="0" b="0"/>
            <wp:wrapNone/>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49"/>
                    <a:stretch>
                      <a:fillRect/>
                    </a:stretch>
                  </pic:blipFill>
                  <pic:spPr>
                    <a:xfrm>
                      <a:off x="0" y="0"/>
                      <a:ext cx="7698" cy="80833"/>
                    </a:xfrm>
                    <a:prstGeom prst="rect">
                      <a:avLst/>
                    </a:prstGeom>
                  </pic:spPr>
                </pic:pic>
              </a:graphicData>
            </a:graphic>
          </wp:anchor>
        </w:drawing>
      </w:r>
      <w:r>
        <w:rPr>
          <w:color w:val="174173"/>
          <w:spacing w:val="1"/>
          <w:sz w:val="17"/>
          <w:szCs w:val="17"/>
        </w:rPr>
        <w:t>a</w:t>
      </w:r>
      <w:r>
        <w:rPr>
          <w:color w:val="174173"/>
          <w:spacing w:val="29"/>
          <w:w w:val="101"/>
          <w:sz w:val="17"/>
          <w:szCs w:val="17"/>
        </w:rPr>
        <w:t xml:space="preserve"> </w:t>
      </w:r>
      <w:r>
        <w:rPr>
          <w:color w:val="174173"/>
          <w:spacing w:val="1"/>
          <w:sz w:val="17"/>
          <w:szCs w:val="17"/>
        </w:rPr>
        <w:t>F tch</w:t>
      </w:r>
      <w:r>
        <w:rPr>
          <w:color w:val="174173"/>
          <w:spacing w:val="8"/>
          <w:sz w:val="17"/>
          <w:szCs w:val="17"/>
        </w:rPr>
        <w:t xml:space="preserve">     </w:t>
      </w:r>
      <w:r>
        <w:rPr>
          <w:color w:val="174173"/>
          <w:spacing w:val="1"/>
          <w:sz w:val="17"/>
          <w:szCs w:val="17"/>
        </w:rPr>
        <w:t>ut</w:t>
      </w:r>
      <w:r>
        <w:rPr>
          <w:color w:val="174173"/>
          <w:spacing w:val="9"/>
          <w:sz w:val="17"/>
          <w:szCs w:val="17"/>
        </w:rPr>
        <w:t xml:space="preserve">   </w:t>
      </w:r>
      <w:r>
        <w:rPr>
          <w:color w:val="174173"/>
          <w:spacing w:val="1"/>
          <w:sz w:val="17"/>
          <w:szCs w:val="17"/>
        </w:rPr>
        <w:t>n</w:t>
      </w:r>
      <w:r>
        <w:rPr>
          <w:color w:val="174173"/>
          <w:spacing w:val="3"/>
          <w:sz w:val="17"/>
          <w:szCs w:val="17"/>
        </w:rPr>
        <w:t xml:space="preserve">   </w:t>
      </w:r>
      <w:r>
        <w:rPr>
          <w:color w:val="174173"/>
          <w:spacing w:val="1"/>
          <w:sz w:val="17"/>
          <w:szCs w:val="17"/>
        </w:rPr>
        <w:t>C</w:t>
      </w:r>
      <w:r>
        <w:rPr>
          <w:color w:val="174173"/>
          <w:spacing w:val="15"/>
          <w:w w:val="101"/>
          <w:sz w:val="17"/>
          <w:szCs w:val="17"/>
        </w:rPr>
        <w:t xml:space="preserve">  </w:t>
      </w:r>
      <w:r>
        <w:rPr>
          <w:color w:val="174173"/>
          <w:spacing w:val="1"/>
          <w:sz w:val="17"/>
          <w:szCs w:val="17"/>
        </w:rPr>
        <w:t>mpany</w:t>
      </w:r>
    </w:p>
    <w:p w14:paraId="58E06849">
      <w:pPr>
        <w:pStyle w:val="4"/>
        <w:spacing w:line="469" w:lineRule="auto"/>
      </w:pPr>
    </w:p>
    <w:p w14:paraId="40685F59">
      <w:pPr>
        <w:pStyle w:val="4"/>
        <w:spacing w:before="127" w:line="184" w:lineRule="auto"/>
        <w:ind w:left="381"/>
        <w:outlineLvl w:val="0"/>
        <w:rPr>
          <w:sz w:val="44"/>
          <w:szCs w:val="44"/>
        </w:rPr>
      </w:pPr>
      <w:bookmarkStart w:id="31" w:name="bookmark41"/>
      <w:bookmarkEnd w:id="31"/>
      <w:r>
        <w:rPr>
          <w:color w:val="174174"/>
          <w:spacing w:val="-18"/>
          <w:sz w:val="44"/>
          <w:szCs w:val="44"/>
        </w:rPr>
        <w:t>Competitive Landscape</w:t>
      </w:r>
    </w:p>
    <w:p w14:paraId="575756D2">
      <w:pPr>
        <w:pStyle w:val="4"/>
        <w:spacing w:line="363" w:lineRule="auto"/>
      </w:pPr>
    </w:p>
    <w:p w14:paraId="51B0342D">
      <w:pPr>
        <w:pStyle w:val="4"/>
        <w:spacing w:before="69" w:line="184" w:lineRule="auto"/>
        <w:ind w:left="370"/>
        <w:outlineLvl w:val="1"/>
        <w:rPr>
          <w:sz w:val="24"/>
          <w:szCs w:val="24"/>
        </w:rPr>
      </w:pPr>
      <w:r>
        <w:rPr>
          <w:b/>
          <w:bCs/>
          <w:color w:val="174174"/>
          <w:spacing w:val="-10"/>
          <w:sz w:val="24"/>
          <w:szCs w:val="24"/>
        </w:rPr>
        <w:t>Competitive Landscape Summary</w:t>
      </w:r>
    </w:p>
    <w:p w14:paraId="1F74416E">
      <w:pPr>
        <w:pStyle w:val="4"/>
        <w:spacing w:line="357" w:lineRule="auto"/>
      </w:pPr>
    </w:p>
    <w:p w14:paraId="4DD4BCC1">
      <w:pPr>
        <w:pStyle w:val="4"/>
        <w:spacing w:before="58" w:line="273" w:lineRule="auto"/>
        <w:ind w:left="365" w:right="636" w:hanging="6"/>
        <w:rPr>
          <w:sz w:val="20"/>
          <w:szCs w:val="20"/>
        </w:rPr>
      </w:pPr>
      <w:r>
        <w:rPr>
          <w:color w:val="57585A"/>
          <w:spacing w:val="-11"/>
          <w:sz w:val="20"/>
          <w:szCs w:val="20"/>
        </w:rPr>
        <w:t>Argentina has a competitive upstream and downstream industry,</w:t>
      </w:r>
      <w:r>
        <w:rPr>
          <w:color w:val="57585A"/>
          <w:spacing w:val="-15"/>
          <w:sz w:val="20"/>
          <w:szCs w:val="20"/>
        </w:rPr>
        <w:t xml:space="preserve"> </w:t>
      </w:r>
      <w:r>
        <w:rPr>
          <w:color w:val="57585A"/>
          <w:spacing w:val="-11"/>
          <w:sz w:val="20"/>
          <w:szCs w:val="20"/>
        </w:rPr>
        <w:t>with extensive international oil company involvement across all</w:t>
      </w:r>
      <w:r>
        <w:rPr>
          <w:color w:val="57585A"/>
          <w:sz w:val="20"/>
          <w:szCs w:val="20"/>
        </w:rPr>
        <w:t xml:space="preserve"> </w:t>
      </w:r>
      <w:r>
        <w:rPr>
          <w:color w:val="57585A"/>
          <w:spacing w:val="-10"/>
          <w:sz w:val="20"/>
          <w:szCs w:val="20"/>
        </w:rPr>
        <w:t xml:space="preserve">sectors, including oil and gas production, oil refining and fuels </w:t>
      </w:r>
      <w:r>
        <w:rPr>
          <w:color w:val="57585A"/>
          <w:spacing w:val="-11"/>
          <w:sz w:val="20"/>
          <w:szCs w:val="20"/>
        </w:rPr>
        <w:t>distribution.</w:t>
      </w:r>
    </w:p>
    <w:p w14:paraId="62423284">
      <w:pPr>
        <w:pStyle w:val="4"/>
        <w:spacing w:line="295" w:lineRule="auto"/>
      </w:pPr>
    </w:p>
    <w:p w14:paraId="44B1A8ED">
      <w:pPr>
        <w:pStyle w:val="4"/>
        <w:spacing w:line="295" w:lineRule="auto"/>
      </w:pPr>
    </w:p>
    <w:p w14:paraId="0A8BCD78">
      <w:pPr>
        <w:pStyle w:val="4"/>
        <w:spacing w:before="69" w:line="234" w:lineRule="auto"/>
        <w:ind w:left="3553"/>
        <w:outlineLvl w:val="1"/>
        <w:rPr>
          <w:sz w:val="24"/>
          <w:szCs w:val="24"/>
        </w:rPr>
      </w:pPr>
      <w:r>
        <w:rPr>
          <w:color w:val="174174"/>
          <w:spacing w:val="-12"/>
          <w:sz w:val="24"/>
          <w:szCs w:val="24"/>
        </w:rPr>
        <w:t>Upstream Oil Market Dominated By</w:t>
      </w:r>
      <w:r>
        <w:rPr>
          <w:color w:val="174174"/>
          <w:spacing w:val="-19"/>
          <w:sz w:val="24"/>
          <w:szCs w:val="24"/>
        </w:rPr>
        <w:t xml:space="preserve"> </w:t>
      </w:r>
      <w:r>
        <w:rPr>
          <w:color w:val="174174"/>
          <w:spacing w:val="-13"/>
          <w:sz w:val="24"/>
          <w:szCs w:val="24"/>
        </w:rPr>
        <w:t>YPF</w:t>
      </w:r>
    </w:p>
    <w:p w14:paraId="76A3883D">
      <w:pPr>
        <w:pStyle w:val="4"/>
        <w:spacing w:before="32" w:line="231" w:lineRule="auto"/>
        <w:ind w:left="3058"/>
        <w:outlineLvl w:val="1"/>
        <w:rPr>
          <w:sz w:val="20"/>
          <w:szCs w:val="20"/>
        </w:rPr>
      </w:pPr>
      <w:r>
        <w:rPr>
          <w:color w:val="333333"/>
          <w:spacing w:val="-13"/>
          <w:sz w:val="20"/>
          <w:szCs w:val="20"/>
        </w:rPr>
        <w:t>Argentina - Market Share Per Upstream Oil</w:t>
      </w:r>
      <w:r>
        <w:rPr>
          <w:color w:val="333333"/>
          <w:spacing w:val="-14"/>
          <w:sz w:val="20"/>
          <w:szCs w:val="20"/>
        </w:rPr>
        <w:t xml:space="preserve"> Producer, % (2023)</w:t>
      </w:r>
    </w:p>
    <w:p w14:paraId="603D5546">
      <w:pPr>
        <w:spacing w:before="97" w:line="4500" w:lineRule="exact"/>
        <w:ind w:firstLine="1862"/>
      </w:pPr>
      <w:r>
        <w:rPr>
          <w:position w:val="-89"/>
        </w:rPr>
        <w:drawing>
          <wp:inline distT="0" distB="0" distL="0" distR="0">
            <wp:extent cx="4572000" cy="2856865"/>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50"/>
                    <a:stretch>
                      <a:fillRect/>
                    </a:stretch>
                  </pic:blipFill>
                  <pic:spPr>
                    <a:xfrm>
                      <a:off x="0" y="0"/>
                      <a:ext cx="4572000" cy="2857499"/>
                    </a:xfrm>
                    <a:prstGeom prst="rect">
                      <a:avLst/>
                    </a:prstGeom>
                  </pic:spPr>
                </pic:pic>
              </a:graphicData>
            </a:graphic>
          </wp:inline>
        </w:drawing>
      </w:r>
    </w:p>
    <w:p w14:paraId="4BF31B82">
      <w:pPr>
        <w:pStyle w:val="4"/>
        <w:spacing w:before="149" w:line="233" w:lineRule="auto"/>
        <w:ind w:left="1874"/>
        <w:rPr>
          <w:sz w:val="15"/>
          <w:szCs w:val="15"/>
        </w:rPr>
      </w:pPr>
      <w:r>
        <w:drawing>
          <wp:anchor distT="0" distB="0" distL="0" distR="0" simplePos="0" relativeHeight="25193779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7"/>
          <w:w w:val="96"/>
          <w:sz w:val="15"/>
          <w:szCs w:val="15"/>
        </w:rPr>
        <w:t>Note: *Others include 41 producers. Source: Secretaria de Energia, BMI</w:t>
      </w:r>
    </w:p>
    <w:p w14:paraId="6255DF5B">
      <w:pPr>
        <w:spacing w:line="233" w:lineRule="auto"/>
        <w:rPr>
          <w:sz w:val="15"/>
          <w:szCs w:val="15"/>
        </w:rPr>
        <w:sectPr>
          <w:footerReference r:id="rId78" w:type="default"/>
          <w:pgSz w:w="11906" w:h="16838"/>
          <w:pgMar w:top="400" w:right="490" w:bottom="883" w:left="490" w:header="0" w:footer="0" w:gutter="0"/>
          <w:cols w:space="720" w:num="1"/>
        </w:sectPr>
      </w:pPr>
    </w:p>
    <w:p w14:paraId="6DF4A8C3">
      <w:pPr>
        <w:pStyle w:val="4"/>
        <w:spacing w:before="73" w:line="241" w:lineRule="auto"/>
        <w:ind w:left="7372"/>
        <w:rPr>
          <w:sz w:val="20"/>
          <w:szCs w:val="20"/>
        </w:rPr>
      </w:pPr>
      <w:r>
        <w:drawing>
          <wp:anchor distT="0" distB="0" distL="0" distR="0" simplePos="0" relativeHeight="25194598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47008" behindDoc="0" locked="0" layoutInCell="0" allowOverlap="1">
            <wp:simplePos x="0" y="0"/>
            <wp:positionH relativeFrom="page">
              <wp:posOffset>311150</wp:posOffset>
            </wp:positionH>
            <wp:positionV relativeFrom="page">
              <wp:posOffset>0</wp:posOffset>
            </wp:positionV>
            <wp:extent cx="19050" cy="814070"/>
            <wp:effectExtent l="0" t="0" r="0" b="0"/>
            <wp:wrapNone/>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5E2C978">
      <w:pPr>
        <w:pStyle w:val="4"/>
        <w:spacing w:line="278" w:lineRule="auto"/>
      </w:pPr>
    </w:p>
    <w:p w14:paraId="70EF5E4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B009E70">
      <w:pPr>
        <w:pStyle w:val="4"/>
        <w:spacing w:line="437" w:lineRule="auto"/>
      </w:pPr>
    </w:p>
    <w:p w14:paraId="76ABD8C9">
      <w:pPr>
        <w:pStyle w:val="4"/>
        <w:spacing w:before="69" w:line="234" w:lineRule="auto"/>
        <w:ind w:left="4259"/>
        <w:outlineLvl w:val="1"/>
        <w:rPr>
          <w:sz w:val="24"/>
          <w:szCs w:val="24"/>
        </w:rPr>
      </w:pPr>
      <w:r>
        <w:rPr>
          <w:color w:val="174174"/>
          <w:spacing w:val="-15"/>
          <w:sz w:val="24"/>
          <w:szCs w:val="24"/>
        </w:rPr>
        <w:t>YPF Losing Market Share</w:t>
      </w:r>
    </w:p>
    <w:p w14:paraId="72D86D1A">
      <w:pPr>
        <w:pStyle w:val="4"/>
        <w:spacing w:before="32" w:line="231" w:lineRule="auto"/>
        <w:ind w:left="3459"/>
        <w:outlineLvl w:val="1"/>
        <w:rPr>
          <w:sz w:val="20"/>
          <w:szCs w:val="20"/>
        </w:rPr>
      </w:pPr>
      <w:r>
        <w:rPr>
          <w:color w:val="333333"/>
          <w:spacing w:val="-12"/>
          <w:sz w:val="20"/>
          <w:szCs w:val="20"/>
        </w:rPr>
        <w:t>Argentina - Natural Gas Output Per Pro</w:t>
      </w:r>
      <w:r>
        <w:rPr>
          <w:color w:val="333333"/>
          <w:spacing w:val="-13"/>
          <w:sz w:val="20"/>
          <w:szCs w:val="20"/>
        </w:rPr>
        <w:t>ducer (2023)</w:t>
      </w:r>
    </w:p>
    <w:p w14:paraId="64067CF6">
      <w:pPr>
        <w:spacing w:before="96" w:line="4500" w:lineRule="exact"/>
        <w:ind w:firstLine="1862"/>
      </w:pPr>
      <w:r>
        <w:rPr>
          <w:position w:val="-89"/>
        </w:rPr>
        <w:drawing>
          <wp:inline distT="0" distB="0" distL="0" distR="0">
            <wp:extent cx="4572000" cy="2856865"/>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151"/>
                    <a:stretch>
                      <a:fillRect/>
                    </a:stretch>
                  </pic:blipFill>
                  <pic:spPr>
                    <a:xfrm>
                      <a:off x="0" y="0"/>
                      <a:ext cx="4572000" cy="2857499"/>
                    </a:xfrm>
                    <a:prstGeom prst="rect">
                      <a:avLst/>
                    </a:prstGeom>
                  </pic:spPr>
                </pic:pic>
              </a:graphicData>
            </a:graphic>
          </wp:inline>
        </w:drawing>
      </w:r>
    </w:p>
    <w:p w14:paraId="7DBC0405">
      <w:pPr>
        <w:pStyle w:val="4"/>
        <w:spacing w:before="149" w:line="233" w:lineRule="auto"/>
        <w:ind w:left="1871"/>
        <w:rPr>
          <w:sz w:val="15"/>
          <w:szCs w:val="15"/>
        </w:rPr>
      </w:pPr>
      <w:r>
        <w:drawing>
          <wp:anchor distT="0" distB="0" distL="0" distR="0" simplePos="0" relativeHeight="25194393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5"/>
          <w:w w:val="92"/>
          <w:sz w:val="15"/>
          <w:szCs w:val="15"/>
        </w:rPr>
        <w:t>Source:</w:t>
      </w:r>
      <w:r>
        <w:rPr>
          <w:i/>
          <w:iCs/>
          <w:color w:val="333333"/>
          <w:spacing w:val="-10"/>
          <w:sz w:val="15"/>
          <w:szCs w:val="15"/>
        </w:rPr>
        <w:t xml:space="preserve"> </w:t>
      </w:r>
      <w:r>
        <w:rPr>
          <w:i/>
          <w:iCs/>
          <w:color w:val="333333"/>
          <w:spacing w:val="-5"/>
          <w:w w:val="92"/>
          <w:sz w:val="15"/>
          <w:szCs w:val="15"/>
        </w:rPr>
        <w:t>Secretaria de</w:t>
      </w:r>
      <w:r>
        <w:rPr>
          <w:i/>
          <w:iCs/>
          <w:color w:val="333333"/>
          <w:spacing w:val="-6"/>
          <w:w w:val="92"/>
          <w:sz w:val="15"/>
          <w:szCs w:val="15"/>
        </w:rPr>
        <w:t xml:space="preserve"> Energia, BMI</w:t>
      </w:r>
    </w:p>
    <w:p w14:paraId="41393E10">
      <w:pPr>
        <w:pStyle w:val="4"/>
        <w:spacing w:line="260" w:lineRule="auto"/>
      </w:pPr>
    </w:p>
    <w:p w14:paraId="64A23FE2">
      <w:pPr>
        <w:pStyle w:val="4"/>
        <w:spacing w:line="260" w:lineRule="auto"/>
      </w:pPr>
    </w:p>
    <w:p w14:paraId="083922A5">
      <w:pPr>
        <w:pStyle w:val="4"/>
        <w:spacing w:before="70" w:line="234" w:lineRule="auto"/>
        <w:ind w:left="427"/>
        <w:rPr>
          <w:sz w:val="24"/>
          <w:szCs w:val="24"/>
        </w:rPr>
      </w:pPr>
      <w:r>
        <w:rPr>
          <w:color w:val="174174"/>
          <w:spacing w:val="-13"/>
          <w:sz w:val="24"/>
          <w:szCs w:val="24"/>
        </w:rPr>
        <w:t>Key Downstream Players</w:t>
      </w:r>
    </w:p>
    <w:p w14:paraId="2FF8B304">
      <w:pPr>
        <w:spacing w:line="42" w:lineRule="exact"/>
      </w:pPr>
    </w:p>
    <w:tbl>
      <w:tblPr>
        <w:tblStyle w:val="7"/>
        <w:tblW w:w="10204" w:type="dxa"/>
        <w:tblInd w:w="35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507"/>
        <w:gridCol w:w="3098"/>
        <w:gridCol w:w="2111"/>
        <w:gridCol w:w="1647"/>
        <w:gridCol w:w="1841"/>
      </w:tblGrid>
      <w:tr w14:paraId="5F06ACC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4" w:hRule="atLeast"/>
        </w:trPr>
        <w:tc>
          <w:tcPr>
            <w:tcW w:w="1507" w:type="dxa"/>
            <w:tcBorders>
              <w:top w:val="single" w:color="D7DADB" w:sz="6" w:space="0"/>
              <w:bottom w:val="single" w:color="D7DADB" w:sz="6" w:space="0"/>
              <w:right w:val="single" w:color="D7DADB" w:sz="4" w:space="0"/>
            </w:tcBorders>
            <w:vAlign w:val="top"/>
          </w:tcPr>
          <w:p w14:paraId="5E1DCFA7">
            <w:pPr>
              <w:pStyle w:val="8"/>
              <w:spacing w:before="112" w:line="184" w:lineRule="auto"/>
              <w:ind w:left="8"/>
            </w:pPr>
            <w:r>
              <w:rPr>
                <w:b/>
                <w:bCs/>
                <w:color w:val="5F6A72"/>
                <w:spacing w:val="-10"/>
              </w:rPr>
              <w:t>Company</w:t>
            </w:r>
          </w:p>
        </w:tc>
        <w:tc>
          <w:tcPr>
            <w:tcW w:w="3098" w:type="dxa"/>
            <w:tcBorders>
              <w:top w:val="single" w:color="D7DADB" w:sz="6" w:space="0"/>
              <w:left w:val="single" w:color="D7DADB" w:sz="4" w:space="0"/>
              <w:bottom w:val="single" w:color="D7DADB" w:sz="6" w:space="0"/>
            </w:tcBorders>
            <w:vAlign w:val="top"/>
          </w:tcPr>
          <w:p w14:paraId="513D52DB">
            <w:pPr>
              <w:pStyle w:val="8"/>
              <w:spacing w:before="70" w:line="241" w:lineRule="auto"/>
              <w:ind w:left="876"/>
            </w:pPr>
            <w:r>
              <w:rPr>
                <w:b/>
                <w:bCs/>
                <w:color w:val="5F6A72"/>
                <w:spacing w:val="-6"/>
              </w:rPr>
              <w:t>Refining Capacity ('000b/d)</w:t>
            </w:r>
          </w:p>
        </w:tc>
        <w:tc>
          <w:tcPr>
            <w:tcW w:w="2111" w:type="dxa"/>
            <w:tcBorders>
              <w:top w:val="single" w:color="D7DADB" w:sz="6" w:space="0"/>
              <w:bottom w:val="single" w:color="D7DADB" w:sz="6" w:space="0"/>
            </w:tcBorders>
            <w:vAlign w:val="top"/>
          </w:tcPr>
          <w:p w14:paraId="0493D75E">
            <w:pPr>
              <w:pStyle w:val="8"/>
              <w:spacing w:before="70" w:line="241" w:lineRule="auto"/>
              <w:ind w:left="622"/>
            </w:pPr>
            <w:r>
              <w:rPr>
                <w:b/>
                <w:bCs/>
                <w:color w:val="5F6A72"/>
                <w:spacing w:val="-10"/>
              </w:rPr>
              <w:t>Refining Share</w:t>
            </w:r>
            <w:r>
              <w:rPr>
                <w:b/>
                <w:bCs/>
                <w:color w:val="5F6A72"/>
                <w:spacing w:val="-6"/>
              </w:rPr>
              <w:t xml:space="preserve"> </w:t>
            </w:r>
            <w:r>
              <w:rPr>
                <w:b/>
                <w:bCs/>
                <w:color w:val="5F6A72"/>
                <w:spacing w:val="-10"/>
              </w:rPr>
              <w:t>(%)</w:t>
            </w:r>
          </w:p>
        </w:tc>
        <w:tc>
          <w:tcPr>
            <w:tcW w:w="1647" w:type="dxa"/>
            <w:tcBorders>
              <w:top w:val="single" w:color="D7DADB" w:sz="6" w:space="0"/>
              <w:bottom w:val="single" w:color="D7DADB" w:sz="6" w:space="0"/>
            </w:tcBorders>
            <w:vAlign w:val="top"/>
          </w:tcPr>
          <w:p w14:paraId="21849926">
            <w:pPr>
              <w:pStyle w:val="8"/>
              <w:spacing w:before="70" w:line="243" w:lineRule="exact"/>
              <w:ind w:left="504"/>
            </w:pPr>
            <w:r>
              <w:rPr>
                <w:b/>
                <w:bCs/>
                <w:color w:val="5F6A72"/>
                <w:spacing w:val="-7"/>
                <w:position w:val="1"/>
              </w:rPr>
              <w:t>Retail Outlets</w:t>
            </w:r>
          </w:p>
        </w:tc>
        <w:tc>
          <w:tcPr>
            <w:tcW w:w="1841" w:type="dxa"/>
            <w:tcBorders>
              <w:top w:val="single" w:color="D7DADB" w:sz="6" w:space="0"/>
              <w:bottom w:val="single" w:color="D7DADB" w:sz="6" w:space="0"/>
            </w:tcBorders>
            <w:vAlign w:val="top"/>
          </w:tcPr>
          <w:p w14:paraId="04347BE7">
            <w:pPr>
              <w:pStyle w:val="8"/>
              <w:spacing w:before="70" w:line="241" w:lineRule="auto"/>
              <w:ind w:left="554"/>
            </w:pPr>
            <w:r>
              <w:rPr>
                <w:b/>
                <w:bCs/>
                <w:color w:val="5F6A72"/>
                <w:spacing w:val="-10"/>
              </w:rPr>
              <w:t>Retail</w:t>
            </w:r>
            <w:r>
              <w:rPr>
                <w:b/>
                <w:bCs/>
                <w:color w:val="5F6A72"/>
                <w:spacing w:val="2"/>
              </w:rPr>
              <w:t xml:space="preserve"> </w:t>
            </w:r>
            <w:r>
              <w:rPr>
                <w:b/>
                <w:bCs/>
                <w:color w:val="5F6A72"/>
                <w:spacing w:val="-10"/>
              </w:rPr>
              <w:t>Share (%)</w:t>
            </w:r>
          </w:p>
        </w:tc>
      </w:tr>
      <w:tr w14:paraId="3153F5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6" w:hRule="atLeast"/>
        </w:trPr>
        <w:tc>
          <w:tcPr>
            <w:tcW w:w="1507" w:type="dxa"/>
            <w:tcBorders>
              <w:top w:val="single" w:color="D7DADB" w:sz="6" w:space="0"/>
              <w:bottom w:val="single" w:color="D7DADB" w:sz="6" w:space="0"/>
              <w:right w:val="single" w:color="D7DADB" w:sz="4" w:space="0"/>
            </w:tcBorders>
            <w:vAlign w:val="top"/>
          </w:tcPr>
          <w:p w14:paraId="3E999563">
            <w:pPr>
              <w:pStyle w:val="8"/>
              <w:spacing w:before="107" w:line="183" w:lineRule="auto"/>
              <w:ind w:left="3"/>
            </w:pPr>
            <w:r>
              <w:rPr>
                <w:color w:val="2A8ABF"/>
                <w:spacing w:val="-15"/>
              </w:rPr>
              <w:t>YPF</w:t>
            </w:r>
          </w:p>
        </w:tc>
        <w:tc>
          <w:tcPr>
            <w:tcW w:w="3098" w:type="dxa"/>
            <w:tcBorders>
              <w:top w:val="single" w:color="D7DADB" w:sz="6" w:space="0"/>
              <w:left w:val="single" w:color="D7DADB" w:sz="4" w:space="0"/>
              <w:bottom w:val="single" w:color="D7DADB" w:sz="6" w:space="0"/>
            </w:tcBorders>
            <w:vAlign w:val="top"/>
          </w:tcPr>
          <w:p w14:paraId="26749846">
            <w:pPr>
              <w:pStyle w:val="8"/>
              <w:spacing w:before="65" w:line="237" w:lineRule="exact"/>
              <w:ind w:left="2736"/>
            </w:pPr>
            <w:r>
              <w:rPr>
                <w:color w:val="5F6A72"/>
                <w:spacing w:val="-4"/>
                <w:position w:val="1"/>
              </w:rPr>
              <w:t>320</w:t>
            </w:r>
          </w:p>
        </w:tc>
        <w:tc>
          <w:tcPr>
            <w:tcW w:w="2111" w:type="dxa"/>
            <w:tcBorders>
              <w:top w:val="single" w:color="D7DADB" w:sz="6" w:space="0"/>
              <w:bottom w:val="single" w:color="D7DADB" w:sz="6" w:space="0"/>
            </w:tcBorders>
            <w:vAlign w:val="top"/>
          </w:tcPr>
          <w:p w14:paraId="693852AB">
            <w:pPr>
              <w:pStyle w:val="8"/>
              <w:spacing w:before="65" w:line="237" w:lineRule="exact"/>
              <w:ind w:left="1856"/>
            </w:pPr>
            <w:r>
              <w:rPr>
                <w:color w:val="5F6A72"/>
                <w:spacing w:val="-5"/>
                <w:position w:val="1"/>
              </w:rPr>
              <w:t>59</w:t>
            </w:r>
          </w:p>
        </w:tc>
        <w:tc>
          <w:tcPr>
            <w:tcW w:w="1647" w:type="dxa"/>
            <w:tcBorders>
              <w:top w:val="single" w:color="D7DADB" w:sz="6" w:space="0"/>
              <w:bottom w:val="single" w:color="D7DADB" w:sz="6" w:space="0"/>
            </w:tcBorders>
            <w:vAlign w:val="top"/>
          </w:tcPr>
          <w:p w14:paraId="6612B069">
            <w:pPr>
              <w:pStyle w:val="8"/>
              <w:spacing w:before="65" w:line="214" w:lineRule="exact"/>
              <w:ind w:left="1164"/>
            </w:pPr>
            <w:r>
              <w:rPr>
                <w:color w:val="5F6A72"/>
                <w:spacing w:val="-7"/>
                <w:position w:val="1"/>
              </w:rPr>
              <w:t>1,668</w:t>
            </w:r>
          </w:p>
        </w:tc>
        <w:tc>
          <w:tcPr>
            <w:tcW w:w="1841" w:type="dxa"/>
            <w:tcBorders>
              <w:top w:val="single" w:color="D7DADB" w:sz="6" w:space="0"/>
              <w:bottom w:val="single" w:color="D7DADB" w:sz="6" w:space="0"/>
            </w:tcBorders>
            <w:vAlign w:val="top"/>
          </w:tcPr>
          <w:p w14:paraId="17E9675F">
            <w:pPr>
              <w:pStyle w:val="8"/>
              <w:spacing w:before="65" w:line="237" w:lineRule="exact"/>
              <w:ind w:left="1582"/>
            </w:pPr>
            <w:r>
              <w:rPr>
                <w:color w:val="5F6A72"/>
                <w:spacing w:val="-4"/>
                <w:position w:val="1"/>
              </w:rPr>
              <w:t>35</w:t>
            </w:r>
          </w:p>
        </w:tc>
      </w:tr>
      <w:tr w14:paraId="0D487A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6" w:hRule="atLeast"/>
        </w:trPr>
        <w:tc>
          <w:tcPr>
            <w:tcW w:w="1507" w:type="dxa"/>
            <w:tcBorders>
              <w:top w:val="single" w:color="D7DADB" w:sz="6" w:space="0"/>
              <w:bottom w:val="single" w:color="D7DADB" w:sz="6" w:space="0"/>
              <w:right w:val="single" w:color="D7DADB" w:sz="4" w:space="0"/>
            </w:tcBorders>
            <w:shd w:val="clear" w:color="auto" w:fill="EAF9FF"/>
            <w:vAlign w:val="top"/>
          </w:tcPr>
          <w:p w14:paraId="71BBFF1F">
            <w:pPr>
              <w:pStyle w:val="8"/>
              <w:spacing w:before="65" w:line="234" w:lineRule="auto"/>
              <w:ind w:left="9"/>
            </w:pPr>
            <w:r>
              <w:rPr>
                <w:color w:val="2A8ABF"/>
                <w:spacing w:val="-6"/>
              </w:rPr>
              <w:t>Shell</w:t>
            </w:r>
            <w:r>
              <w:rPr>
                <w:color w:val="2A8ABF"/>
                <w:spacing w:val="-12"/>
              </w:rPr>
              <w:t xml:space="preserve"> </w:t>
            </w:r>
            <w:r>
              <w:rPr>
                <w:color w:val="2A8ABF"/>
                <w:spacing w:val="-6"/>
              </w:rPr>
              <w:t>Argentina</w:t>
            </w:r>
          </w:p>
        </w:tc>
        <w:tc>
          <w:tcPr>
            <w:tcW w:w="3098" w:type="dxa"/>
            <w:tcBorders>
              <w:top w:val="single" w:color="D7DADB" w:sz="6" w:space="0"/>
              <w:left w:val="single" w:color="D7DADB" w:sz="4" w:space="0"/>
              <w:bottom w:val="single" w:color="D7DADB" w:sz="6" w:space="0"/>
            </w:tcBorders>
            <w:shd w:val="clear" w:color="auto" w:fill="EAF9FF"/>
            <w:vAlign w:val="top"/>
          </w:tcPr>
          <w:p w14:paraId="62CAA042">
            <w:pPr>
              <w:pStyle w:val="8"/>
              <w:spacing w:before="65" w:line="237" w:lineRule="exact"/>
              <w:ind w:left="2743"/>
            </w:pPr>
            <w:r>
              <w:rPr>
                <w:color w:val="5F6A72"/>
                <w:spacing w:val="-6"/>
                <w:position w:val="1"/>
              </w:rPr>
              <w:t>113</w:t>
            </w:r>
          </w:p>
        </w:tc>
        <w:tc>
          <w:tcPr>
            <w:tcW w:w="2111" w:type="dxa"/>
            <w:tcBorders>
              <w:top w:val="single" w:color="D7DADB" w:sz="6" w:space="0"/>
              <w:bottom w:val="single" w:color="D7DADB" w:sz="6" w:space="0"/>
            </w:tcBorders>
            <w:shd w:val="clear" w:color="auto" w:fill="EAF9FF"/>
            <w:vAlign w:val="top"/>
          </w:tcPr>
          <w:p w14:paraId="24EA61C4">
            <w:pPr>
              <w:pStyle w:val="8"/>
              <w:spacing w:before="65" w:line="239" w:lineRule="exact"/>
              <w:ind w:left="1858"/>
            </w:pPr>
            <w:r>
              <w:rPr>
                <w:color w:val="5F6A72"/>
                <w:spacing w:val="-6"/>
                <w:position w:val="1"/>
              </w:rPr>
              <w:t>17</w:t>
            </w:r>
          </w:p>
        </w:tc>
        <w:tc>
          <w:tcPr>
            <w:tcW w:w="1647" w:type="dxa"/>
            <w:tcBorders>
              <w:top w:val="single" w:color="D7DADB" w:sz="6" w:space="0"/>
              <w:bottom w:val="single" w:color="D7DADB" w:sz="6" w:space="0"/>
            </w:tcBorders>
            <w:shd w:val="clear" w:color="auto" w:fill="EAF9FF"/>
            <w:vAlign w:val="top"/>
          </w:tcPr>
          <w:p w14:paraId="17857DA3">
            <w:pPr>
              <w:pStyle w:val="8"/>
              <w:spacing w:before="65" w:line="214" w:lineRule="exact"/>
              <w:ind w:left="1164"/>
            </w:pPr>
            <w:r>
              <w:rPr>
                <w:color w:val="5F6A72"/>
                <w:spacing w:val="-7"/>
                <w:position w:val="1"/>
              </w:rPr>
              <w:t>1,025</w:t>
            </w:r>
          </w:p>
        </w:tc>
        <w:tc>
          <w:tcPr>
            <w:tcW w:w="1841" w:type="dxa"/>
            <w:tcBorders>
              <w:top w:val="single" w:color="D7DADB" w:sz="6" w:space="0"/>
              <w:bottom w:val="single" w:color="D7DADB" w:sz="6" w:space="0"/>
            </w:tcBorders>
            <w:shd w:val="clear" w:color="auto" w:fill="EAF9FF"/>
            <w:vAlign w:val="top"/>
          </w:tcPr>
          <w:p w14:paraId="34A01AA6">
            <w:pPr>
              <w:pStyle w:val="8"/>
              <w:spacing w:before="65" w:line="239" w:lineRule="exact"/>
              <w:ind w:left="1589"/>
            </w:pPr>
            <w:r>
              <w:rPr>
                <w:color w:val="5F6A72"/>
                <w:spacing w:val="-6"/>
                <w:position w:val="1"/>
              </w:rPr>
              <w:t>14</w:t>
            </w:r>
          </w:p>
        </w:tc>
      </w:tr>
      <w:tr w14:paraId="310AB9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7" w:hRule="atLeast"/>
        </w:trPr>
        <w:tc>
          <w:tcPr>
            <w:tcW w:w="1507" w:type="dxa"/>
            <w:tcBorders>
              <w:top w:val="single" w:color="D7DADB" w:sz="6" w:space="0"/>
              <w:bottom w:val="single" w:color="D7DADB" w:sz="6" w:space="0"/>
              <w:right w:val="single" w:color="D7DADB" w:sz="4" w:space="0"/>
            </w:tcBorders>
            <w:vAlign w:val="top"/>
          </w:tcPr>
          <w:p w14:paraId="7CC03830">
            <w:pPr>
              <w:pStyle w:val="8"/>
              <w:spacing w:before="65" w:line="234" w:lineRule="auto"/>
              <w:ind w:left="3"/>
            </w:pPr>
            <w:r>
              <w:rPr>
                <w:color w:val="2A8ABF"/>
                <w:spacing w:val="-9"/>
              </w:rPr>
              <w:t>Axion Energy</w:t>
            </w:r>
          </w:p>
        </w:tc>
        <w:tc>
          <w:tcPr>
            <w:tcW w:w="3098" w:type="dxa"/>
            <w:tcBorders>
              <w:top w:val="single" w:color="D7DADB" w:sz="6" w:space="0"/>
              <w:left w:val="single" w:color="D7DADB" w:sz="4" w:space="0"/>
              <w:bottom w:val="single" w:color="D7DADB" w:sz="6" w:space="0"/>
            </w:tcBorders>
            <w:vAlign w:val="top"/>
          </w:tcPr>
          <w:p w14:paraId="46C82A0C">
            <w:pPr>
              <w:pStyle w:val="8"/>
              <w:spacing w:before="65" w:line="238" w:lineRule="exact"/>
              <w:ind w:left="2704"/>
            </w:pPr>
            <w:r>
              <w:rPr>
                <w:color w:val="5F6A72"/>
                <w:spacing w:val="-7"/>
                <w:position w:val="1"/>
              </w:rPr>
              <w:t>84.5</w:t>
            </w:r>
          </w:p>
        </w:tc>
        <w:tc>
          <w:tcPr>
            <w:tcW w:w="2111" w:type="dxa"/>
            <w:tcBorders>
              <w:top w:val="single" w:color="D7DADB" w:sz="6" w:space="0"/>
              <w:bottom w:val="single" w:color="D7DADB" w:sz="6" w:space="0"/>
            </w:tcBorders>
            <w:vAlign w:val="top"/>
          </w:tcPr>
          <w:p w14:paraId="467ADAB8">
            <w:pPr>
              <w:pStyle w:val="8"/>
              <w:spacing w:before="65" w:line="238" w:lineRule="exact"/>
              <w:ind w:left="1858"/>
            </w:pPr>
            <w:r>
              <w:rPr>
                <w:color w:val="5F6A72"/>
                <w:spacing w:val="-6"/>
                <w:position w:val="1"/>
              </w:rPr>
              <w:t>16</w:t>
            </w:r>
          </w:p>
        </w:tc>
        <w:tc>
          <w:tcPr>
            <w:tcW w:w="1647" w:type="dxa"/>
            <w:tcBorders>
              <w:top w:val="single" w:color="D7DADB" w:sz="6" w:space="0"/>
              <w:bottom w:val="single" w:color="D7DADB" w:sz="6" w:space="0"/>
            </w:tcBorders>
            <w:vAlign w:val="top"/>
          </w:tcPr>
          <w:p w14:paraId="5F3C1246">
            <w:pPr>
              <w:pStyle w:val="8"/>
              <w:spacing w:before="65" w:line="238" w:lineRule="exact"/>
              <w:ind w:left="1296"/>
            </w:pPr>
            <w:r>
              <w:rPr>
                <w:color w:val="5F6A72"/>
                <w:spacing w:val="-5"/>
                <w:position w:val="1"/>
              </w:rPr>
              <w:t>605</w:t>
            </w:r>
          </w:p>
        </w:tc>
        <w:tc>
          <w:tcPr>
            <w:tcW w:w="1841" w:type="dxa"/>
            <w:tcBorders>
              <w:top w:val="single" w:color="D7DADB" w:sz="6" w:space="0"/>
              <w:bottom w:val="single" w:color="D7DADB" w:sz="6" w:space="0"/>
            </w:tcBorders>
            <w:vAlign w:val="top"/>
          </w:tcPr>
          <w:p w14:paraId="515A6CB6">
            <w:pPr>
              <w:pStyle w:val="8"/>
              <w:spacing w:before="65" w:line="240" w:lineRule="exact"/>
              <w:ind w:left="1589"/>
            </w:pPr>
            <w:r>
              <w:rPr>
                <w:color w:val="5F6A72"/>
                <w:spacing w:val="-6"/>
                <w:position w:val="1"/>
              </w:rPr>
              <w:t>12</w:t>
            </w:r>
          </w:p>
        </w:tc>
      </w:tr>
      <w:tr w14:paraId="610B1B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9" w:hRule="atLeast"/>
        </w:trPr>
        <w:tc>
          <w:tcPr>
            <w:tcW w:w="1507" w:type="dxa"/>
            <w:tcBorders>
              <w:top w:val="single" w:color="D7DADB" w:sz="6" w:space="0"/>
              <w:right w:val="single" w:color="D7DADB" w:sz="4" w:space="0"/>
            </w:tcBorders>
            <w:shd w:val="clear" w:color="auto" w:fill="EAF9FF"/>
            <w:vAlign w:val="top"/>
          </w:tcPr>
          <w:p w14:paraId="36F9E672">
            <w:pPr>
              <w:pStyle w:val="8"/>
              <w:spacing w:before="65" w:line="234" w:lineRule="auto"/>
              <w:ind w:left="18"/>
            </w:pPr>
            <w:r>
              <w:rPr>
                <w:color w:val="2A8ABF"/>
                <w:spacing w:val="-11"/>
              </w:rPr>
              <w:t>Pampa Energia</w:t>
            </w:r>
          </w:p>
        </w:tc>
        <w:tc>
          <w:tcPr>
            <w:tcW w:w="3098" w:type="dxa"/>
            <w:tcBorders>
              <w:top w:val="single" w:color="D7DADB" w:sz="6" w:space="0"/>
              <w:left w:val="single" w:color="D7DADB" w:sz="4" w:space="0"/>
            </w:tcBorders>
            <w:shd w:val="clear" w:color="auto" w:fill="EAF9FF"/>
            <w:vAlign w:val="top"/>
          </w:tcPr>
          <w:p w14:paraId="0C3F3AC9">
            <w:pPr>
              <w:pStyle w:val="8"/>
              <w:spacing w:before="65" w:line="237" w:lineRule="exact"/>
              <w:ind w:left="2700"/>
            </w:pPr>
            <w:r>
              <w:rPr>
                <w:color w:val="5F6A72"/>
                <w:spacing w:val="-6"/>
                <w:position w:val="1"/>
              </w:rPr>
              <w:t>32.9</w:t>
            </w:r>
          </w:p>
        </w:tc>
        <w:tc>
          <w:tcPr>
            <w:tcW w:w="2111" w:type="dxa"/>
            <w:tcBorders>
              <w:top w:val="single" w:color="D7DADB" w:sz="6" w:space="0"/>
            </w:tcBorders>
            <w:shd w:val="clear" w:color="auto" w:fill="EAF9FF"/>
            <w:vAlign w:val="top"/>
          </w:tcPr>
          <w:p w14:paraId="0A574BC5">
            <w:pPr>
              <w:pStyle w:val="8"/>
              <w:spacing w:before="65" w:line="237" w:lineRule="exact"/>
              <w:ind w:left="1953"/>
            </w:pPr>
            <w:r>
              <w:rPr>
                <w:color w:val="5F6A72"/>
                <w:position w:val="1"/>
              </w:rPr>
              <w:t>5</w:t>
            </w:r>
          </w:p>
        </w:tc>
        <w:tc>
          <w:tcPr>
            <w:tcW w:w="1647" w:type="dxa"/>
            <w:tcBorders>
              <w:top w:val="single" w:color="D7DADB" w:sz="6" w:space="0"/>
            </w:tcBorders>
            <w:shd w:val="clear" w:color="auto" w:fill="EAF9FF"/>
            <w:vAlign w:val="top"/>
          </w:tcPr>
          <w:p w14:paraId="637574E6">
            <w:pPr>
              <w:pStyle w:val="8"/>
              <w:spacing w:before="65" w:line="237" w:lineRule="exact"/>
              <w:ind w:left="1293"/>
            </w:pPr>
            <w:r>
              <w:rPr>
                <w:color w:val="5F6A72"/>
                <w:spacing w:val="-5"/>
                <w:position w:val="1"/>
              </w:rPr>
              <w:t>285</w:t>
            </w:r>
          </w:p>
        </w:tc>
        <w:tc>
          <w:tcPr>
            <w:tcW w:w="1841" w:type="dxa"/>
            <w:tcBorders>
              <w:top w:val="single" w:color="D7DADB" w:sz="6" w:space="0"/>
            </w:tcBorders>
            <w:shd w:val="clear" w:color="auto" w:fill="EAF9FF"/>
            <w:vAlign w:val="top"/>
          </w:tcPr>
          <w:p w14:paraId="1FAD0A28">
            <w:pPr>
              <w:pStyle w:val="8"/>
              <w:spacing w:before="65" w:line="237" w:lineRule="exact"/>
              <w:ind w:left="1684"/>
            </w:pPr>
            <w:r>
              <w:rPr>
                <w:color w:val="5F6A72"/>
                <w:position w:val="1"/>
              </w:rPr>
              <w:t>6</w:t>
            </w:r>
          </w:p>
        </w:tc>
      </w:tr>
    </w:tbl>
    <w:p w14:paraId="103CD922">
      <w:pPr>
        <w:pStyle w:val="4"/>
        <w:spacing w:before="149" w:line="233" w:lineRule="auto"/>
        <w:ind w:left="368"/>
        <w:rPr>
          <w:sz w:val="15"/>
          <w:szCs w:val="15"/>
        </w:rPr>
      </w:pPr>
      <w:r>
        <w:drawing>
          <wp:anchor distT="0" distB="0" distL="0" distR="0" simplePos="0" relativeHeight="251944960" behindDoc="1" locked="0" layoutInCell="1" allowOverlap="1">
            <wp:simplePos x="0" y="0"/>
            <wp:positionH relativeFrom="column">
              <wp:posOffset>227965</wp:posOffset>
            </wp:positionH>
            <wp:positionV relativeFrom="paragraph">
              <wp:posOffset>94615</wp:posOffset>
            </wp:positionV>
            <wp:extent cx="6480175" cy="6985"/>
            <wp:effectExtent l="0" t="0" r="0" b="0"/>
            <wp:wrapNone/>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114"/>
                    <a:stretch>
                      <a:fillRect/>
                    </a:stretch>
                  </pic:blipFill>
                  <pic:spPr>
                    <a:xfrm>
                      <a:off x="0" y="0"/>
                      <a:ext cx="6479999" cy="7143"/>
                    </a:xfrm>
                    <a:prstGeom prst="rect">
                      <a:avLst/>
                    </a:prstGeom>
                  </pic:spPr>
                </pic:pic>
              </a:graphicData>
            </a:graphic>
          </wp:anchor>
        </w:drawing>
      </w:r>
      <w:r>
        <w:rPr>
          <w:i/>
          <w:iCs/>
          <w:color w:val="333333"/>
          <w:spacing w:val="-7"/>
          <w:w w:val="96"/>
          <w:sz w:val="15"/>
          <w:szCs w:val="15"/>
        </w:rPr>
        <w:t>Source: Company</w:t>
      </w:r>
      <w:r>
        <w:rPr>
          <w:i/>
          <w:iCs/>
          <w:color w:val="333333"/>
          <w:spacing w:val="1"/>
          <w:sz w:val="15"/>
          <w:szCs w:val="15"/>
        </w:rPr>
        <w:t xml:space="preserve"> </w:t>
      </w:r>
      <w:r>
        <w:rPr>
          <w:i/>
          <w:iCs/>
          <w:color w:val="333333"/>
          <w:spacing w:val="-7"/>
          <w:w w:val="96"/>
          <w:sz w:val="15"/>
          <w:szCs w:val="15"/>
        </w:rPr>
        <w:t>data as of</w:t>
      </w:r>
      <w:r>
        <w:rPr>
          <w:i/>
          <w:iCs/>
          <w:color w:val="333333"/>
          <w:spacing w:val="-28"/>
          <w:sz w:val="15"/>
          <w:szCs w:val="15"/>
        </w:rPr>
        <w:t xml:space="preserve"> </w:t>
      </w:r>
      <w:r>
        <w:rPr>
          <w:i/>
          <w:iCs/>
          <w:color w:val="333333"/>
          <w:spacing w:val="-7"/>
          <w:w w:val="96"/>
          <w:sz w:val="15"/>
          <w:szCs w:val="15"/>
        </w:rPr>
        <w:t>December</w:t>
      </w:r>
      <w:r>
        <w:rPr>
          <w:i/>
          <w:iCs/>
          <w:color w:val="333333"/>
          <w:spacing w:val="-18"/>
          <w:sz w:val="15"/>
          <w:szCs w:val="15"/>
        </w:rPr>
        <w:t xml:space="preserve"> </w:t>
      </w:r>
      <w:r>
        <w:rPr>
          <w:i/>
          <w:iCs/>
          <w:color w:val="333333"/>
          <w:spacing w:val="-7"/>
          <w:w w:val="96"/>
          <w:sz w:val="15"/>
          <w:szCs w:val="15"/>
        </w:rPr>
        <w:t>2017, BMI</w:t>
      </w:r>
    </w:p>
    <w:p w14:paraId="4A79AF3E">
      <w:pPr>
        <w:spacing w:line="233" w:lineRule="auto"/>
        <w:rPr>
          <w:sz w:val="15"/>
          <w:szCs w:val="15"/>
        </w:rPr>
        <w:sectPr>
          <w:footerReference r:id="rId79" w:type="default"/>
          <w:pgSz w:w="11906" w:h="16838"/>
          <w:pgMar w:top="400" w:right="490" w:bottom="883" w:left="490" w:header="0" w:footer="0" w:gutter="0"/>
          <w:cols w:space="720" w:num="1"/>
        </w:sectPr>
      </w:pPr>
    </w:p>
    <w:p w14:paraId="78D3E2F3">
      <w:pPr>
        <w:pStyle w:val="4"/>
        <w:spacing w:before="73" w:line="241" w:lineRule="auto"/>
        <w:ind w:left="7372"/>
        <w:rPr>
          <w:sz w:val="20"/>
          <w:szCs w:val="20"/>
        </w:rPr>
      </w:pPr>
      <w:r>
        <w:drawing>
          <wp:anchor distT="0" distB="0" distL="0" distR="0" simplePos="0" relativeHeight="25194803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49056" behindDoc="0" locked="0" layoutInCell="0" allowOverlap="1">
            <wp:simplePos x="0" y="0"/>
            <wp:positionH relativeFrom="page">
              <wp:posOffset>311150</wp:posOffset>
            </wp:positionH>
            <wp:positionV relativeFrom="page">
              <wp:posOffset>0</wp:posOffset>
            </wp:positionV>
            <wp:extent cx="19050" cy="814070"/>
            <wp:effectExtent l="0" t="0" r="0" b="0"/>
            <wp:wrapNone/>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3FC52F4">
      <w:pPr>
        <w:pStyle w:val="4"/>
        <w:spacing w:line="278" w:lineRule="auto"/>
      </w:pPr>
    </w:p>
    <w:p w14:paraId="2876D6E4">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C936C97">
      <w:pPr>
        <w:pStyle w:val="4"/>
        <w:spacing w:line="374" w:lineRule="auto"/>
      </w:pPr>
    </w:p>
    <w:p w14:paraId="233442F2">
      <w:pPr>
        <w:pStyle w:val="4"/>
        <w:spacing w:before="126" w:line="234" w:lineRule="auto"/>
        <w:ind w:left="381"/>
        <w:outlineLvl w:val="0"/>
        <w:rPr>
          <w:sz w:val="44"/>
          <w:szCs w:val="44"/>
        </w:rPr>
      </w:pPr>
      <w:bookmarkStart w:id="32" w:name="bookmark43"/>
      <w:bookmarkEnd w:id="32"/>
      <w:bookmarkStart w:id="33" w:name="bookmark23"/>
      <w:bookmarkEnd w:id="33"/>
      <w:bookmarkStart w:id="34" w:name="bookmark24"/>
      <w:bookmarkEnd w:id="34"/>
      <w:r>
        <w:rPr>
          <w:color w:val="174174"/>
          <w:spacing w:val="-21"/>
          <w:sz w:val="44"/>
          <w:szCs w:val="44"/>
        </w:rPr>
        <w:t>Company Profile</w:t>
      </w:r>
    </w:p>
    <w:p w14:paraId="388CEC73">
      <w:pPr>
        <w:pStyle w:val="4"/>
        <w:spacing w:before="215" w:line="183" w:lineRule="auto"/>
        <w:ind w:left="359"/>
        <w:outlineLvl w:val="0"/>
        <w:rPr>
          <w:sz w:val="30"/>
          <w:szCs w:val="30"/>
        </w:rPr>
      </w:pPr>
      <w:bookmarkStart w:id="35" w:name="bookmark44"/>
      <w:bookmarkEnd w:id="35"/>
      <w:r>
        <w:rPr>
          <w:color w:val="2A8ABF"/>
          <w:spacing w:val="-26"/>
          <w:w w:val="99"/>
          <w:sz w:val="30"/>
          <w:szCs w:val="30"/>
        </w:rPr>
        <w:t>YPF</w:t>
      </w:r>
    </w:p>
    <w:p w14:paraId="3C560594">
      <w:pPr>
        <w:pStyle w:val="4"/>
        <w:spacing w:line="314" w:lineRule="auto"/>
      </w:pPr>
    </w:p>
    <w:p w14:paraId="15B45BAA">
      <w:pPr>
        <w:pStyle w:val="4"/>
        <w:spacing w:before="57" w:line="182" w:lineRule="auto"/>
        <w:ind w:left="375"/>
        <w:rPr>
          <w:sz w:val="20"/>
          <w:szCs w:val="20"/>
        </w:rPr>
      </w:pPr>
      <w:r>
        <w:rPr>
          <w:b/>
          <w:bCs/>
          <w:color w:val="57585A"/>
          <w:spacing w:val="-8"/>
          <w:sz w:val="20"/>
          <w:szCs w:val="20"/>
        </w:rPr>
        <w:t>Latest Updates</w:t>
      </w:r>
    </w:p>
    <w:p w14:paraId="25512E54">
      <w:pPr>
        <w:pStyle w:val="4"/>
        <w:spacing w:line="288" w:lineRule="auto"/>
      </w:pPr>
    </w:p>
    <w:p w14:paraId="77910B6A">
      <w:pPr>
        <w:pStyle w:val="4"/>
        <w:spacing w:before="58" w:line="234" w:lineRule="auto"/>
        <w:ind w:left="357"/>
        <w:rPr>
          <w:sz w:val="20"/>
          <w:szCs w:val="20"/>
        </w:rPr>
      </w:pPr>
      <w:r>
        <w:rPr>
          <w:color w:val="33CCFF"/>
          <w:spacing w:val="-12"/>
          <w:sz w:val="20"/>
          <w:szCs w:val="20"/>
        </w:rPr>
        <w:t xml:space="preserve">•   </w:t>
      </w:r>
      <w:r>
        <w:rPr>
          <w:color w:val="57585A"/>
          <w:spacing w:val="-12"/>
          <w:sz w:val="20"/>
          <w:szCs w:val="20"/>
        </w:rPr>
        <w:t>In</w:t>
      </w:r>
      <w:r>
        <w:rPr>
          <w:color w:val="57585A"/>
          <w:spacing w:val="-23"/>
          <w:sz w:val="20"/>
          <w:szCs w:val="20"/>
        </w:rPr>
        <w:t xml:space="preserve"> </w:t>
      </w:r>
      <w:r>
        <w:rPr>
          <w:color w:val="57585A"/>
          <w:spacing w:val="-12"/>
          <w:sz w:val="20"/>
          <w:szCs w:val="20"/>
        </w:rPr>
        <w:t>January 2025, V</w:t>
      </w:r>
      <w:r>
        <w:rPr>
          <w:color w:val="57585A"/>
          <w:spacing w:val="-13"/>
          <w:sz w:val="20"/>
          <w:szCs w:val="20"/>
        </w:rPr>
        <w:t>MOS SA, a company owned by</w:t>
      </w:r>
      <w:r>
        <w:rPr>
          <w:color w:val="57585A"/>
          <w:spacing w:val="-16"/>
          <w:sz w:val="20"/>
          <w:szCs w:val="20"/>
        </w:rPr>
        <w:t xml:space="preserve"> </w:t>
      </w:r>
      <w:r>
        <w:rPr>
          <w:color w:val="57585A"/>
          <w:spacing w:val="-13"/>
          <w:sz w:val="20"/>
          <w:szCs w:val="20"/>
        </w:rPr>
        <w:t>YPF, awarded an engineering and management contract</w:t>
      </w:r>
      <w:r>
        <w:rPr>
          <w:color w:val="57585A"/>
          <w:spacing w:val="-2"/>
          <w:sz w:val="20"/>
          <w:szCs w:val="20"/>
        </w:rPr>
        <w:t xml:space="preserve"> </w:t>
      </w:r>
      <w:r>
        <w:rPr>
          <w:color w:val="57585A"/>
          <w:spacing w:val="-13"/>
          <w:sz w:val="20"/>
          <w:szCs w:val="20"/>
        </w:rPr>
        <w:t>related to the</w:t>
      </w:r>
    </w:p>
    <w:p w14:paraId="704FAC61">
      <w:pPr>
        <w:pStyle w:val="4"/>
        <w:spacing w:before="56" w:line="272" w:lineRule="auto"/>
        <w:ind w:left="612" w:right="412" w:firstLine="1"/>
        <w:rPr>
          <w:sz w:val="20"/>
          <w:szCs w:val="20"/>
        </w:rPr>
      </w:pPr>
      <w:r>
        <w:rPr>
          <w:color w:val="57585A"/>
          <w:spacing w:val="-12"/>
          <w:sz w:val="20"/>
          <w:szCs w:val="20"/>
        </w:rPr>
        <w:t>development of</w:t>
      </w:r>
      <w:r>
        <w:rPr>
          <w:color w:val="57585A"/>
          <w:spacing w:val="-22"/>
          <w:sz w:val="20"/>
          <w:szCs w:val="20"/>
        </w:rPr>
        <w:t xml:space="preserve"> </w:t>
      </w:r>
      <w:r>
        <w:rPr>
          <w:color w:val="57585A"/>
          <w:spacing w:val="-12"/>
          <w:sz w:val="20"/>
          <w:szCs w:val="20"/>
        </w:rPr>
        <w:t xml:space="preserve">the Vaca Muerta project, to Técnicas </w:t>
      </w:r>
      <w:r>
        <w:rPr>
          <w:color w:val="57585A"/>
          <w:spacing w:val="-13"/>
          <w:sz w:val="20"/>
          <w:szCs w:val="20"/>
        </w:rPr>
        <w:t>Reunidas. The USD440mn contract is an EPCm (engineering, procurement</w:t>
      </w:r>
      <w:r>
        <w:rPr>
          <w:color w:val="57585A"/>
          <w:sz w:val="20"/>
          <w:szCs w:val="20"/>
        </w:rPr>
        <w:t xml:space="preserve"> </w:t>
      </w:r>
      <w:r>
        <w:rPr>
          <w:color w:val="57585A"/>
          <w:spacing w:val="-10"/>
          <w:sz w:val="20"/>
          <w:szCs w:val="20"/>
        </w:rPr>
        <w:t xml:space="preserve">and construction management) contract </w:t>
      </w:r>
      <w:r>
        <w:rPr>
          <w:color w:val="57585A"/>
          <w:spacing w:val="-11"/>
          <w:sz w:val="20"/>
          <w:szCs w:val="20"/>
        </w:rPr>
        <w:t>for a hydrocarbon storage and dispatch terminal that</w:t>
      </w:r>
      <w:r>
        <w:rPr>
          <w:color w:val="57585A"/>
          <w:spacing w:val="-15"/>
          <w:sz w:val="20"/>
          <w:szCs w:val="20"/>
        </w:rPr>
        <w:t xml:space="preserve"> </w:t>
      </w:r>
      <w:r>
        <w:rPr>
          <w:color w:val="57585A"/>
          <w:spacing w:val="-11"/>
          <w:sz w:val="20"/>
          <w:szCs w:val="20"/>
        </w:rPr>
        <w:t>will be located in Punta Colorada,</w:t>
      </w:r>
      <w:r>
        <w:rPr>
          <w:color w:val="57585A"/>
          <w:sz w:val="20"/>
          <w:szCs w:val="20"/>
        </w:rPr>
        <w:t xml:space="preserve"> </w:t>
      </w:r>
      <w:r>
        <w:rPr>
          <w:color w:val="57585A"/>
          <w:spacing w:val="-11"/>
          <w:sz w:val="20"/>
          <w:szCs w:val="20"/>
        </w:rPr>
        <w:t>on the coast of</w:t>
      </w:r>
      <w:r>
        <w:rPr>
          <w:color w:val="57585A"/>
          <w:spacing w:val="-21"/>
          <w:sz w:val="20"/>
          <w:szCs w:val="20"/>
        </w:rPr>
        <w:t xml:space="preserve"> </w:t>
      </w:r>
      <w:r>
        <w:rPr>
          <w:color w:val="57585A"/>
          <w:spacing w:val="-11"/>
          <w:sz w:val="20"/>
          <w:szCs w:val="20"/>
        </w:rPr>
        <w:t>the province of Río Negro. The terminal</w:t>
      </w:r>
      <w:r>
        <w:rPr>
          <w:color w:val="57585A"/>
          <w:spacing w:val="-16"/>
          <w:sz w:val="20"/>
          <w:szCs w:val="20"/>
        </w:rPr>
        <w:t xml:space="preserve"> </w:t>
      </w:r>
      <w:r>
        <w:rPr>
          <w:color w:val="57585A"/>
          <w:spacing w:val="-11"/>
          <w:sz w:val="20"/>
          <w:szCs w:val="20"/>
        </w:rPr>
        <w:t>will hav</w:t>
      </w:r>
      <w:r>
        <w:rPr>
          <w:color w:val="57585A"/>
          <w:spacing w:val="-12"/>
          <w:sz w:val="20"/>
          <w:szCs w:val="20"/>
        </w:rPr>
        <w:t>e a storage capacity of 600,000 cubic metres, and a dispatch</w:t>
      </w:r>
    </w:p>
    <w:p w14:paraId="43A2F68A">
      <w:pPr>
        <w:pStyle w:val="4"/>
        <w:spacing w:before="59" w:line="231" w:lineRule="auto"/>
        <w:ind w:left="614"/>
        <w:rPr>
          <w:sz w:val="20"/>
          <w:szCs w:val="20"/>
        </w:rPr>
      </w:pPr>
      <w:r>
        <w:rPr>
          <w:color w:val="57585A"/>
          <w:spacing w:val="-11"/>
          <w:sz w:val="20"/>
          <w:szCs w:val="20"/>
        </w:rPr>
        <w:t>capacity of 62,000cubic metres per day through two single-buoys.</w:t>
      </w:r>
      <w:r>
        <w:rPr>
          <w:color w:val="57585A"/>
          <w:spacing w:val="-15"/>
          <w:sz w:val="20"/>
          <w:szCs w:val="20"/>
        </w:rPr>
        <w:t xml:space="preserve"> </w:t>
      </w:r>
      <w:r>
        <w:rPr>
          <w:color w:val="57585A"/>
          <w:spacing w:val="-11"/>
          <w:sz w:val="20"/>
          <w:szCs w:val="20"/>
        </w:rPr>
        <w:t>YPF plans for the entire develo</w:t>
      </w:r>
      <w:r>
        <w:rPr>
          <w:color w:val="57585A"/>
          <w:spacing w:val="-12"/>
          <w:sz w:val="20"/>
          <w:szCs w:val="20"/>
        </w:rPr>
        <w:t>pment of</w:t>
      </w:r>
      <w:r>
        <w:rPr>
          <w:color w:val="57585A"/>
          <w:spacing w:val="-22"/>
          <w:sz w:val="20"/>
          <w:szCs w:val="20"/>
        </w:rPr>
        <w:t xml:space="preserve"> </w:t>
      </w:r>
      <w:r>
        <w:rPr>
          <w:color w:val="57585A"/>
          <w:spacing w:val="-12"/>
          <w:sz w:val="20"/>
          <w:szCs w:val="20"/>
        </w:rPr>
        <w:t>the</w:t>
      </w:r>
      <w:r>
        <w:rPr>
          <w:color w:val="57585A"/>
          <w:spacing w:val="-14"/>
          <w:sz w:val="20"/>
          <w:szCs w:val="20"/>
        </w:rPr>
        <w:t xml:space="preserve"> </w:t>
      </w:r>
      <w:r>
        <w:rPr>
          <w:color w:val="57585A"/>
          <w:spacing w:val="-12"/>
          <w:sz w:val="20"/>
          <w:szCs w:val="20"/>
        </w:rPr>
        <w:t>Vaca Muerta</w:t>
      </w:r>
    </w:p>
    <w:p w14:paraId="6CF1C885">
      <w:pPr>
        <w:pStyle w:val="4"/>
        <w:spacing w:before="58" w:line="262" w:lineRule="auto"/>
        <w:ind w:left="614" w:right="379" w:firstLine="4"/>
        <w:rPr>
          <w:sz w:val="20"/>
          <w:szCs w:val="20"/>
        </w:rPr>
      </w:pPr>
      <w:r>
        <w:rPr>
          <w:color w:val="57585A"/>
          <w:spacing w:val="-10"/>
          <w:sz w:val="20"/>
          <w:szCs w:val="20"/>
        </w:rPr>
        <w:t>project and its infrastructure to begin commercial operation in</w:t>
      </w:r>
      <w:r>
        <w:rPr>
          <w:color w:val="57585A"/>
          <w:spacing w:val="-9"/>
          <w:sz w:val="20"/>
          <w:szCs w:val="20"/>
        </w:rPr>
        <w:t xml:space="preserve"> </w:t>
      </w:r>
      <w:r>
        <w:rPr>
          <w:color w:val="57585A"/>
          <w:spacing w:val="-10"/>
          <w:sz w:val="20"/>
          <w:szCs w:val="20"/>
        </w:rPr>
        <w:t>July 2027.</w:t>
      </w:r>
      <w:r>
        <w:rPr>
          <w:color w:val="57585A"/>
          <w:spacing w:val="-15"/>
          <w:sz w:val="20"/>
          <w:szCs w:val="20"/>
        </w:rPr>
        <w:t xml:space="preserve"> </w:t>
      </w:r>
      <w:r>
        <w:rPr>
          <w:color w:val="57585A"/>
          <w:spacing w:val="-10"/>
          <w:sz w:val="20"/>
          <w:szCs w:val="20"/>
        </w:rPr>
        <w:t>This includes the construction of</w:t>
      </w:r>
      <w:r>
        <w:rPr>
          <w:color w:val="57585A"/>
          <w:spacing w:val="-21"/>
          <w:sz w:val="20"/>
          <w:szCs w:val="20"/>
        </w:rPr>
        <w:t xml:space="preserve"> </w:t>
      </w:r>
      <w:r>
        <w:rPr>
          <w:color w:val="57585A"/>
          <w:spacing w:val="-10"/>
          <w:sz w:val="20"/>
          <w:szCs w:val="20"/>
        </w:rPr>
        <w:t>the 437km crude oil</w:t>
      </w:r>
      <w:r>
        <w:rPr>
          <w:color w:val="57585A"/>
          <w:sz w:val="20"/>
          <w:szCs w:val="20"/>
        </w:rPr>
        <w:t xml:space="preserve"> </w:t>
      </w:r>
      <w:r>
        <w:rPr>
          <w:color w:val="57585A"/>
          <w:spacing w:val="-11"/>
          <w:sz w:val="20"/>
          <w:szCs w:val="20"/>
        </w:rPr>
        <w:t>export pipeline, the loading and unloading terminal, and a tank a</w:t>
      </w:r>
      <w:r>
        <w:rPr>
          <w:color w:val="57585A"/>
          <w:spacing w:val="-12"/>
          <w:sz w:val="20"/>
          <w:szCs w:val="20"/>
        </w:rPr>
        <w:t>nd storage</w:t>
      </w:r>
      <w:r>
        <w:rPr>
          <w:color w:val="57585A"/>
          <w:spacing w:val="-15"/>
          <w:sz w:val="20"/>
          <w:szCs w:val="20"/>
        </w:rPr>
        <w:t xml:space="preserve"> </w:t>
      </w:r>
      <w:r>
        <w:rPr>
          <w:color w:val="57585A"/>
          <w:spacing w:val="-12"/>
          <w:sz w:val="20"/>
          <w:szCs w:val="20"/>
        </w:rPr>
        <w:t>yard,</w:t>
      </w:r>
      <w:r>
        <w:rPr>
          <w:color w:val="57585A"/>
          <w:spacing w:val="-16"/>
          <w:sz w:val="20"/>
          <w:szCs w:val="20"/>
        </w:rPr>
        <w:t xml:space="preserve"> </w:t>
      </w:r>
      <w:r>
        <w:rPr>
          <w:color w:val="57585A"/>
          <w:spacing w:val="-12"/>
          <w:sz w:val="20"/>
          <w:szCs w:val="20"/>
        </w:rPr>
        <w:t>which represents a total investment of USD3bn.</w:t>
      </w:r>
    </w:p>
    <w:p w14:paraId="4AA436B7">
      <w:pPr>
        <w:pStyle w:val="4"/>
        <w:spacing w:before="57" w:line="262" w:lineRule="auto"/>
        <w:ind w:left="612" w:right="374" w:hanging="255"/>
        <w:rPr>
          <w:sz w:val="20"/>
          <w:szCs w:val="20"/>
        </w:rPr>
      </w:pPr>
      <w:r>
        <w:rPr>
          <w:color w:val="33CCFF"/>
          <w:spacing w:val="-11"/>
          <w:sz w:val="20"/>
          <w:szCs w:val="20"/>
        </w:rPr>
        <w:t xml:space="preserve">•   </w:t>
      </w:r>
      <w:r>
        <w:rPr>
          <w:color w:val="57585A"/>
          <w:spacing w:val="-11"/>
          <w:sz w:val="20"/>
          <w:szCs w:val="20"/>
        </w:rPr>
        <w:t>In November 2024</w:t>
      </w:r>
      <w:r>
        <w:rPr>
          <w:color w:val="57585A"/>
          <w:spacing w:val="-7"/>
          <w:sz w:val="20"/>
          <w:szCs w:val="20"/>
        </w:rPr>
        <w:t xml:space="preserve"> </w:t>
      </w:r>
      <w:r>
        <w:rPr>
          <w:color w:val="57585A"/>
          <w:spacing w:val="-11"/>
          <w:sz w:val="20"/>
          <w:szCs w:val="20"/>
        </w:rPr>
        <w:t>YPF started developing the second section of</w:t>
      </w:r>
      <w:r>
        <w:rPr>
          <w:color w:val="57585A"/>
          <w:spacing w:val="-21"/>
          <w:sz w:val="20"/>
          <w:szCs w:val="20"/>
        </w:rPr>
        <w:t xml:space="preserve"> </w:t>
      </w:r>
      <w:r>
        <w:rPr>
          <w:color w:val="57585A"/>
          <w:spacing w:val="-11"/>
          <w:sz w:val="20"/>
          <w:szCs w:val="20"/>
        </w:rPr>
        <w:t>the Vaca Muerta South oil pipeline, a 440km link between</w:t>
      </w:r>
      <w:r>
        <w:rPr>
          <w:color w:val="57585A"/>
          <w:spacing w:val="-16"/>
          <w:sz w:val="20"/>
          <w:szCs w:val="20"/>
        </w:rPr>
        <w:t xml:space="preserve"> </w:t>
      </w:r>
      <w:r>
        <w:rPr>
          <w:color w:val="57585A"/>
          <w:spacing w:val="-11"/>
          <w:sz w:val="20"/>
          <w:szCs w:val="20"/>
        </w:rPr>
        <w:t>Allen</w:t>
      </w:r>
      <w:r>
        <w:rPr>
          <w:color w:val="57585A"/>
          <w:sz w:val="20"/>
          <w:szCs w:val="20"/>
        </w:rPr>
        <w:t xml:space="preserve"> </w:t>
      </w:r>
      <w:r>
        <w:rPr>
          <w:color w:val="57585A"/>
          <w:spacing w:val="-11"/>
          <w:sz w:val="20"/>
          <w:szCs w:val="20"/>
        </w:rPr>
        <w:t>and Punta Colorada in Rio Negro province in</w:t>
      </w:r>
      <w:r>
        <w:rPr>
          <w:color w:val="57585A"/>
          <w:spacing w:val="-15"/>
          <w:sz w:val="20"/>
          <w:szCs w:val="20"/>
        </w:rPr>
        <w:t xml:space="preserve"> </w:t>
      </w:r>
      <w:r>
        <w:rPr>
          <w:color w:val="57585A"/>
          <w:spacing w:val="-11"/>
          <w:sz w:val="20"/>
          <w:szCs w:val="20"/>
        </w:rPr>
        <w:t>Argentina. The pipeline</w:t>
      </w:r>
      <w:r>
        <w:rPr>
          <w:color w:val="57585A"/>
          <w:spacing w:val="-16"/>
          <w:sz w:val="20"/>
          <w:szCs w:val="20"/>
        </w:rPr>
        <w:t xml:space="preserve"> </w:t>
      </w:r>
      <w:r>
        <w:rPr>
          <w:color w:val="57585A"/>
          <w:spacing w:val="-11"/>
          <w:sz w:val="20"/>
          <w:szCs w:val="20"/>
        </w:rPr>
        <w:t>will start exports in 2026</w:t>
      </w:r>
      <w:r>
        <w:rPr>
          <w:color w:val="57585A"/>
          <w:spacing w:val="-15"/>
          <w:sz w:val="20"/>
          <w:szCs w:val="20"/>
        </w:rPr>
        <w:t xml:space="preserve"> </w:t>
      </w:r>
      <w:r>
        <w:rPr>
          <w:color w:val="57585A"/>
          <w:spacing w:val="-11"/>
          <w:sz w:val="20"/>
          <w:szCs w:val="20"/>
        </w:rPr>
        <w:t>with an initial capac</w:t>
      </w:r>
      <w:r>
        <w:rPr>
          <w:color w:val="57585A"/>
          <w:spacing w:val="-12"/>
          <w:sz w:val="20"/>
          <w:szCs w:val="20"/>
        </w:rPr>
        <w:t>ity of</w:t>
      </w:r>
    </w:p>
    <w:p w14:paraId="53BB3D6D">
      <w:pPr>
        <w:pStyle w:val="4"/>
        <w:spacing w:before="59" w:line="231" w:lineRule="auto"/>
        <w:ind w:left="613"/>
        <w:rPr>
          <w:sz w:val="20"/>
          <w:szCs w:val="20"/>
        </w:rPr>
      </w:pPr>
      <w:r>
        <w:rPr>
          <w:color w:val="57585A"/>
          <w:spacing w:val="-10"/>
          <w:sz w:val="20"/>
          <w:szCs w:val="20"/>
        </w:rPr>
        <w:t>390,000b/d, increasing to 700,000b/d by 2028.</w:t>
      </w:r>
      <w:r>
        <w:rPr>
          <w:color w:val="57585A"/>
          <w:spacing w:val="-15"/>
          <w:sz w:val="20"/>
          <w:szCs w:val="20"/>
        </w:rPr>
        <w:t xml:space="preserve"> </w:t>
      </w:r>
      <w:r>
        <w:rPr>
          <w:color w:val="57585A"/>
          <w:spacing w:val="-10"/>
          <w:sz w:val="20"/>
          <w:szCs w:val="20"/>
        </w:rPr>
        <w:t>The USD2.5bn project is being financed</w:t>
      </w:r>
      <w:r>
        <w:rPr>
          <w:color w:val="57585A"/>
          <w:spacing w:val="-15"/>
          <w:sz w:val="20"/>
          <w:szCs w:val="20"/>
        </w:rPr>
        <w:t xml:space="preserve"> </w:t>
      </w:r>
      <w:r>
        <w:rPr>
          <w:color w:val="57585A"/>
          <w:spacing w:val="-10"/>
          <w:sz w:val="20"/>
          <w:szCs w:val="20"/>
        </w:rPr>
        <w:t xml:space="preserve">with the </w:t>
      </w:r>
      <w:r>
        <w:rPr>
          <w:color w:val="57585A"/>
          <w:spacing w:val="-11"/>
          <w:sz w:val="20"/>
          <w:szCs w:val="20"/>
        </w:rPr>
        <w:t>help of international investors.</w:t>
      </w:r>
    </w:p>
    <w:p w14:paraId="0899FCEB">
      <w:pPr>
        <w:pStyle w:val="4"/>
        <w:spacing w:before="58" w:line="234" w:lineRule="auto"/>
        <w:ind w:left="357"/>
        <w:rPr>
          <w:sz w:val="20"/>
          <w:szCs w:val="20"/>
        </w:rPr>
      </w:pPr>
      <w:r>
        <w:rPr>
          <w:color w:val="33CCFF"/>
          <w:spacing w:val="-13"/>
          <w:sz w:val="20"/>
          <w:szCs w:val="20"/>
        </w:rPr>
        <w:t xml:space="preserve">•   </w:t>
      </w:r>
      <w:r>
        <w:rPr>
          <w:color w:val="57585A"/>
          <w:spacing w:val="-13"/>
          <w:sz w:val="20"/>
          <w:szCs w:val="20"/>
        </w:rPr>
        <w:t>On October 1, YPF reduced gasoline and diesel</w:t>
      </w:r>
      <w:r>
        <w:rPr>
          <w:color w:val="57585A"/>
          <w:spacing w:val="3"/>
          <w:sz w:val="20"/>
          <w:szCs w:val="20"/>
        </w:rPr>
        <w:t xml:space="preserve"> </w:t>
      </w:r>
      <w:r>
        <w:rPr>
          <w:color w:val="57585A"/>
          <w:spacing w:val="-13"/>
          <w:sz w:val="20"/>
          <w:szCs w:val="20"/>
        </w:rPr>
        <w:t>prices</w:t>
      </w:r>
      <w:r>
        <w:rPr>
          <w:color w:val="57585A"/>
          <w:spacing w:val="-2"/>
          <w:sz w:val="20"/>
          <w:szCs w:val="20"/>
        </w:rPr>
        <w:t xml:space="preserve"> </w:t>
      </w:r>
      <w:r>
        <w:rPr>
          <w:color w:val="57585A"/>
          <w:spacing w:val="-13"/>
          <w:sz w:val="20"/>
          <w:szCs w:val="20"/>
        </w:rPr>
        <w:t>by</w:t>
      </w:r>
      <w:r>
        <w:rPr>
          <w:color w:val="57585A"/>
          <w:spacing w:val="-1"/>
          <w:sz w:val="20"/>
          <w:szCs w:val="20"/>
        </w:rPr>
        <w:t xml:space="preserve"> </w:t>
      </w:r>
      <w:r>
        <w:rPr>
          <w:color w:val="57585A"/>
          <w:spacing w:val="-13"/>
          <w:sz w:val="20"/>
          <w:szCs w:val="20"/>
        </w:rPr>
        <w:t>respectively 4.0% and 5.0%.</w:t>
      </w:r>
    </w:p>
    <w:p w14:paraId="62F6D042">
      <w:pPr>
        <w:pStyle w:val="4"/>
        <w:spacing w:before="56" w:line="262" w:lineRule="auto"/>
        <w:ind w:left="618" w:right="498" w:hanging="261"/>
        <w:rPr>
          <w:sz w:val="20"/>
          <w:szCs w:val="20"/>
        </w:rPr>
      </w:pPr>
      <w:r>
        <w:rPr>
          <w:color w:val="33CCFF"/>
          <w:spacing w:val="-12"/>
          <w:sz w:val="20"/>
          <w:szCs w:val="20"/>
        </w:rPr>
        <w:t xml:space="preserve">•   </w:t>
      </w:r>
      <w:r>
        <w:rPr>
          <w:color w:val="57585A"/>
          <w:spacing w:val="-12"/>
          <w:sz w:val="20"/>
          <w:szCs w:val="20"/>
        </w:rPr>
        <w:t xml:space="preserve">In August 2024, YPF </w:t>
      </w:r>
      <w:r>
        <w:rPr>
          <w:color w:val="57585A"/>
          <w:spacing w:val="-13"/>
          <w:sz w:val="20"/>
          <w:szCs w:val="20"/>
        </w:rPr>
        <w:t>and Petronas, which are planning a USD50bn LNG export terminal in Argentina, announced Rio</w:t>
      </w:r>
      <w:r>
        <w:rPr>
          <w:color w:val="57585A"/>
          <w:sz w:val="20"/>
          <w:szCs w:val="20"/>
        </w:rPr>
        <w:t xml:space="preserve"> </w:t>
      </w:r>
      <w:r>
        <w:rPr>
          <w:color w:val="57585A"/>
          <w:spacing w:val="-13"/>
          <w:sz w:val="20"/>
          <w:szCs w:val="20"/>
        </w:rPr>
        <w:t>Negro as a</w:t>
      </w:r>
      <w:r>
        <w:rPr>
          <w:color w:val="57585A"/>
          <w:sz w:val="20"/>
          <w:szCs w:val="20"/>
        </w:rPr>
        <w:t xml:space="preserve"> </w:t>
      </w:r>
      <w:r>
        <w:rPr>
          <w:color w:val="57585A"/>
          <w:spacing w:val="-11"/>
          <w:sz w:val="20"/>
          <w:szCs w:val="20"/>
        </w:rPr>
        <w:t>location for their</w:t>
      </w:r>
      <w:r>
        <w:rPr>
          <w:color w:val="57585A"/>
          <w:spacing w:val="-12"/>
          <w:sz w:val="20"/>
          <w:szCs w:val="20"/>
        </w:rPr>
        <w:t xml:space="preserve"> </w:t>
      </w:r>
      <w:r>
        <w:rPr>
          <w:color w:val="57585A"/>
          <w:spacing w:val="-11"/>
          <w:sz w:val="20"/>
          <w:szCs w:val="20"/>
        </w:rPr>
        <w:t>flagship project. The companies</w:t>
      </w:r>
      <w:r>
        <w:rPr>
          <w:color w:val="57585A"/>
          <w:spacing w:val="-12"/>
          <w:sz w:val="20"/>
          <w:szCs w:val="20"/>
        </w:rPr>
        <w:t xml:space="preserve"> </w:t>
      </w:r>
      <w:r>
        <w:rPr>
          <w:color w:val="57585A"/>
          <w:spacing w:val="-11"/>
          <w:sz w:val="20"/>
          <w:szCs w:val="20"/>
        </w:rPr>
        <w:t xml:space="preserve">target an FID in H2 2025. In December 2024 however, it </w:t>
      </w:r>
      <w:r>
        <w:rPr>
          <w:color w:val="57585A"/>
          <w:spacing w:val="-12"/>
          <w:sz w:val="20"/>
          <w:szCs w:val="20"/>
        </w:rPr>
        <w:t>is reported that</w:t>
      </w:r>
    </w:p>
    <w:p w14:paraId="26FBFBD3">
      <w:pPr>
        <w:pStyle w:val="4"/>
        <w:spacing w:before="58" w:line="263" w:lineRule="auto"/>
        <w:ind w:left="614" w:right="376" w:firstLine="6"/>
        <w:rPr>
          <w:sz w:val="20"/>
          <w:szCs w:val="20"/>
        </w:rPr>
      </w:pPr>
      <w:r>
        <w:rPr>
          <w:color w:val="57585A"/>
          <w:spacing w:val="-11"/>
          <w:sz w:val="20"/>
          <w:szCs w:val="20"/>
        </w:rPr>
        <w:t>Petronas is exiting the pro</w:t>
      </w:r>
      <w:r>
        <w:rPr>
          <w:color w:val="57585A"/>
          <w:spacing w:val="-12"/>
          <w:sz w:val="20"/>
          <w:szCs w:val="20"/>
        </w:rPr>
        <w:t>ject, but that it will be replaced by Shell. Shell and YPF signed an agreement to develop the initial phase</w:t>
      </w:r>
      <w:r>
        <w:rPr>
          <w:color w:val="57585A"/>
          <w:sz w:val="20"/>
          <w:szCs w:val="20"/>
        </w:rPr>
        <w:t xml:space="preserve"> </w:t>
      </w:r>
      <w:r>
        <w:rPr>
          <w:color w:val="57585A"/>
          <w:spacing w:val="-11"/>
          <w:sz w:val="20"/>
          <w:szCs w:val="20"/>
        </w:rPr>
        <w:t>ofthe LNG terminal.</w:t>
      </w:r>
      <w:r>
        <w:rPr>
          <w:color w:val="57585A"/>
          <w:spacing w:val="-15"/>
          <w:sz w:val="20"/>
          <w:szCs w:val="20"/>
        </w:rPr>
        <w:t xml:space="preserve"> </w:t>
      </w:r>
      <w:r>
        <w:rPr>
          <w:color w:val="57585A"/>
          <w:spacing w:val="-11"/>
          <w:sz w:val="20"/>
          <w:szCs w:val="20"/>
        </w:rPr>
        <w:t>The terminal aims to produce some 10mtpa of</w:t>
      </w:r>
      <w:r>
        <w:rPr>
          <w:color w:val="57585A"/>
          <w:spacing w:val="-12"/>
          <w:sz w:val="20"/>
          <w:szCs w:val="20"/>
        </w:rPr>
        <w:t xml:space="preserve"> LNG.</w:t>
      </w:r>
    </w:p>
    <w:p w14:paraId="44891F2B">
      <w:pPr>
        <w:pStyle w:val="4"/>
        <w:spacing w:before="56" w:line="234" w:lineRule="auto"/>
        <w:ind w:left="357"/>
        <w:rPr>
          <w:sz w:val="20"/>
          <w:szCs w:val="20"/>
        </w:rPr>
      </w:pPr>
      <w:r>
        <w:rPr>
          <w:color w:val="33CCFF"/>
          <w:spacing w:val="-11"/>
          <w:sz w:val="20"/>
          <w:szCs w:val="20"/>
        </w:rPr>
        <w:t xml:space="preserve">•   </w:t>
      </w:r>
      <w:r>
        <w:rPr>
          <w:color w:val="57585A"/>
          <w:spacing w:val="-11"/>
          <w:sz w:val="20"/>
          <w:szCs w:val="20"/>
        </w:rPr>
        <w:t>As of</w:t>
      </w:r>
      <w:r>
        <w:rPr>
          <w:color w:val="57585A"/>
          <w:spacing w:val="-24"/>
          <w:sz w:val="20"/>
          <w:szCs w:val="20"/>
        </w:rPr>
        <w:t xml:space="preserve"> </w:t>
      </w:r>
      <w:r>
        <w:rPr>
          <w:color w:val="57585A"/>
          <w:spacing w:val="-11"/>
          <w:sz w:val="20"/>
          <w:szCs w:val="20"/>
        </w:rPr>
        <w:t>August 2024,</w:t>
      </w:r>
      <w:r>
        <w:rPr>
          <w:color w:val="57585A"/>
          <w:spacing w:val="-16"/>
          <w:sz w:val="20"/>
          <w:szCs w:val="20"/>
        </w:rPr>
        <w:t xml:space="preserve"> </w:t>
      </w:r>
      <w:r>
        <w:rPr>
          <w:color w:val="57585A"/>
          <w:spacing w:val="-11"/>
          <w:sz w:val="20"/>
          <w:szCs w:val="20"/>
        </w:rPr>
        <w:t>YPF commenced the dive</w:t>
      </w:r>
      <w:r>
        <w:rPr>
          <w:color w:val="57585A"/>
          <w:spacing w:val="-12"/>
          <w:sz w:val="20"/>
          <w:szCs w:val="20"/>
        </w:rPr>
        <w:t>stment effort, receiving bids for its business branches in</w:t>
      </w:r>
      <w:r>
        <w:rPr>
          <w:color w:val="57585A"/>
          <w:spacing w:val="1"/>
          <w:sz w:val="20"/>
          <w:szCs w:val="20"/>
        </w:rPr>
        <w:t xml:space="preserve"> </w:t>
      </w:r>
      <w:r>
        <w:rPr>
          <w:color w:val="57585A"/>
          <w:spacing w:val="-12"/>
          <w:sz w:val="20"/>
          <w:szCs w:val="20"/>
        </w:rPr>
        <w:t>Brazil and Chile. The</w:t>
      </w:r>
    </w:p>
    <w:p w14:paraId="6E3CF0A0">
      <w:pPr>
        <w:pStyle w:val="4"/>
        <w:spacing w:before="55" w:line="262" w:lineRule="auto"/>
        <w:ind w:left="612" w:right="375" w:firstLine="1"/>
        <w:rPr>
          <w:sz w:val="20"/>
          <w:szCs w:val="20"/>
        </w:rPr>
      </w:pPr>
      <w:r>
        <w:rPr>
          <w:color w:val="57585A"/>
          <w:spacing w:val="-12"/>
          <w:sz w:val="20"/>
          <w:szCs w:val="20"/>
        </w:rPr>
        <w:t xml:space="preserve">company also pursues a sale of 50% stake in the refiner Refinor, which will be most likely followed by </w:t>
      </w:r>
      <w:r>
        <w:rPr>
          <w:color w:val="57585A"/>
          <w:spacing w:val="-13"/>
          <w:sz w:val="20"/>
          <w:szCs w:val="20"/>
        </w:rPr>
        <w:t>a sale of company's share in</w:t>
      </w:r>
      <w:r>
        <w:rPr>
          <w:color w:val="57585A"/>
          <w:sz w:val="20"/>
          <w:szCs w:val="20"/>
        </w:rPr>
        <w:t xml:space="preserve"> </w:t>
      </w:r>
      <w:r>
        <w:rPr>
          <w:color w:val="57585A"/>
          <w:spacing w:val="-11"/>
          <w:sz w:val="20"/>
          <w:szCs w:val="20"/>
        </w:rPr>
        <w:t>gas distribution company Metrogas.</w:t>
      </w:r>
    </w:p>
    <w:p w14:paraId="08E2DE91">
      <w:pPr>
        <w:pStyle w:val="4"/>
        <w:spacing w:before="58" w:line="262" w:lineRule="auto"/>
        <w:ind w:left="613" w:right="403" w:hanging="256"/>
        <w:rPr>
          <w:sz w:val="20"/>
          <w:szCs w:val="20"/>
        </w:rPr>
      </w:pPr>
      <w:r>
        <w:rPr>
          <w:color w:val="33CCFF"/>
          <w:spacing w:val="-11"/>
          <w:sz w:val="20"/>
          <w:szCs w:val="20"/>
        </w:rPr>
        <w:t xml:space="preserve">•   </w:t>
      </w:r>
      <w:r>
        <w:rPr>
          <w:color w:val="57585A"/>
          <w:spacing w:val="-11"/>
          <w:sz w:val="20"/>
          <w:szCs w:val="20"/>
        </w:rPr>
        <w:t>In May 2024,</w:t>
      </w:r>
      <w:r>
        <w:rPr>
          <w:color w:val="57585A"/>
          <w:spacing w:val="-15"/>
          <w:sz w:val="20"/>
          <w:szCs w:val="20"/>
        </w:rPr>
        <w:t xml:space="preserve"> </w:t>
      </w:r>
      <w:r>
        <w:rPr>
          <w:color w:val="57585A"/>
          <w:spacing w:val="-11"/>
          <w:sz w:val="20"/>
          <w:szCs w:val="20"/>
        </w:rPr>
        <w:t>YPF</w:t>
      </w:r>
      <w:r>
        <w:rPr>
          <w:color w:val="57585A"/>
          <w:spacing w:val="-2"/>
          <w:sz w:val="20"/>
          <w:szCs w:val="20"/>
        </w:rPr>
        <w:t xml:space="preserve"> </w:t>
      </w:r>
      <w:r>
        <w:rPr>
          <w:color w:val="57585A"/>
          <w:spacing w:val="-11"/>
          <w:sz w:val="20"/>
          <w:szCs w:val="20"/>
        </w:rPr>
        <w:t>received an environ</w:t>
      </w:r>
      <w:r>
        <w:rPr>
          <w:color w:val="57585A"/>
          <w:spacing w:val="-12"/>
          <w:sz w:val="20"/>
          <w:szCs w:val="20"/>
        </w:rPr>
        <w:t>mental approval for its Vaca Muerta Sur oil</w:t>
      </w:r>
      <w:r>
        <w:rPr>
          <w:color w:val="57585A"/>
          <w:spacing w:val="-2"/>
          <w:sz w:val="20"/>
          <w:szCs w:val="20"/>
        </w:rPr>
        <w:t xml:space="preserve"> </w:t>
      </w:r>
      <w:r>
        <w:rPr>
          <w:color w:val="57585A"/>
          <w:spacing w:val="-12"/>
          <w:sz w:val="20"/>
          <w:szCs w:val="20"/>
        </w:rPr>
        <w:t>pipeline</w:t>
      </w:r>
      <w:r>
        <w:rPr>
          <w:color w:val="57585A"/>
          <w:spacing w:val="-15"/>
          <w:sz w:val="20"/>
          <w:szCs w:val="20"/>
        </w:rPr>
        <w:t xml:space="preserve"> </w:t>
      </w:r>
      <w:r>
        <w:rPr>
          <w:color w:val="57585A"/>
          <w:spacing w:val="-12"/>
          <w:sz w:val="20"/>
          <w:szCs w:val="20"/>
        </w:rPr>
        <w:t>which</w:t>
      </w:r>
      <w:r>
        <w:rPr>
          <w:color w:val="57585A"/>
          <w:spacing w:val="-16"/>
          <w:sz w:val="20"/>
          <w:szCs w:val="20"/>
        </w:rPr>
        <w:t xml:space="preserve"> </w:t>
      </w:r>
      <w:r>
        <w:rPr>
          <w:color w:val="57585A"/>
          <w:spacing w:val="-12"/>
          <w:sz w:val="20"/>
          <w:szCs w:val="20"/>
        </w:rPr>
        <w:t>would add exit capacity for crude</w:t>
      </w:r>
      <w:r>
        <w:rPr>
          <w:color w:val="57585A"/>
          <w:sz w:val="20"/>
          <w:szCs w:val="20"/>
        </w:rPr>
        <w:t xml:space="preserve"> </w:t>
      </w:r>
      <w:r>
        <w:rPr>
          <w:color w:val="57585A"/>
          <w:spacing w:val="-11"/>
          <w:sz w:val="20"/>
          <w:szCs w:val="20"/>
        </w:rPr>
        <w:t>oil producers in Vaca Muerta.</w:t>
      </w:r>
      <w:r>
        <w:rPr>
          <w:color w:val="57585A"/>
          <w:spacing w:val="-15"/>
          <w:sz w:val="20"/>
          <w:szCs w:val="20"/>
        </w:rPr>
        <w:t xml:space="preserve"> </w:t>
      </w:r>
      <w:r>
        <w:rPr>
          <w:color w:val="57585A"/>
          <w:spacing w:val="-11"/>
          <w:sz w:val="20"/>
          <w:szCs w:val="20"/>
        </w:rPr>
        <w:t>As of</w:t>
      </w:r>
      <w:r>
        <w:rPr>
          <w:color w:val="57585A"/>
          <w:spacing w:val="-25"/>
          <w:sz w:val="20"/>
          <w:szCs w:val="20"/>
        </w:rPr>
        <w:t xml:space="preserve"> </w:t>
      </w:r>
      <w:r>
        <w:rPr>
          <w:color w:val="57585A"/>
          <w:spacing w:val="-11"/>
          <w:sz w:val="20"/>
          <w:szCs w:val="20"/>
        </w:rPr>
        <w:t>August 2024,</w:t>
      </w:r>
      <w:r>
        <w:rPr>
          <w:color w:val="57585A"/>
          <w:spacing w:val="-15"/>
          <w:sz w:val="20"/>
          <w:szCs w:val="20"/>
        </w:rPr>
        <w:t xml:space="preserve"> </w:t>
      </w:r>
      <w:r>
        <w:rPr>
          <w:color w:val="57585A"/>
          <w:spacing w:val="-11"/>
          <w:sz w:val="20"/>
          <w:szCs w:val="20"/>
        </w:rPr>
        <w:t>YPF launched a te</w:t>
      </w:r>
      <w:r>
        <w:rPr>
          <w:color w:val="57585A"/>
          <w:spacing w:val="-12"/>
          <w:sz w:val="20"/>
          <w:szCs w:val="20"/>
        </w:rPr>
        <w:t>nder to complete the pipeline and it appears that it</w:t>
      </w:r>
      <w:r>
        <w:rPr>
          <w:color w:val="57585A"/>
          <w:spacing w:val="-16"/>
          <w:sz w:val="20"/>
          <w:szCs w:val="20"/>
        </w:rPr>
        <w:t xml:space="preserve"> </w:t>
      </w:r>
      <w:r>
        <w:rPr>
          <w:color w:val="57585A"/>
          <w:spacing w:val="-12"/>
          <w:sz w:val="20"/>
          <w:szCs w:val="20"/>
        </w:rPr>
        <w:t>would</w:t>
      </w:r>
    </w:p>
    <w:p w14:paraId="591E88E8">
      <w:pPr>
        <w:pStyle w:val="4"/>
        <w:spacing w:before="58" w:line="262" w:lineRule="auto"/>
        <w:ind w:left="614" w:right="627"/>
        <w:rPr>
          <w:sz w:val="20"/>
          <w:szCs w:val="20"/>
        </w:rPr>
      </w:pPr>
      <w:r>
        <w:rPr>
          <w:color w:val="57585A"/>
          <w:spacing w:val="-11"/>
          <w:sz w:val="20"/>
          <w:szCs w:val="20"/>
        </w:rPr>
        <w:t>cooperate</w:t>
      </w:r>
      <w:r>
        <w:rPr>
          <w:color w:val="57585A"/>
          <w:spacing w:val="-16"/>
          <w:sz w:val="20"/>
          <w:szCs w:val="20"/>
        </w:rPr>
        <w:t xml:space="preserve"> </w:t>
      </w:r>
      <w:r>
        <w:rPr>
          <w:color w:val="57585A"/>
          <w:spacing w:val="-11"/>
          <w:sz w:val="20"/>
          <w:szCs w:val="20"/>
        </w:rPr>
        <w:t>with Energy Transfer, a US-based firm to comp</w:t>
      </w:r>
      <w:r>
        <w:rPr>
          <w:color w:val="57585A"/>
          <w:spacing w:val="-12"/>
          <w:sz w:val="20"/>
          <w:szCs w:val="20"/>
        </w:rPr>
        <w:t>lete this project. The 525km-long pipeline is expected to commence</w:t>
      </w:r>
      <w:r>
        <w:rPr>
          <w:color w:val="57585A"/>
          <w:sz w:val="20"/>
          <w:szCs w:val="20"/>
        </w:rPr>
        <w:t xml:space="preserve"> </w:t>
      </w:r>
      <w:r>
        <w:rPr>
          <w:color w:val="57585A"/>
          <w:spacing w:val="-9"/>
          <w:sz w:val="20"/>
          <w:szCs w:val="20"/>
        </w:rPr>
        <w:t>operations by the end of 2026,</w:t>
      </w:r>
      <w:r>
        <w:rPr>
          <w:color w:val="57585A"/>
          <w:spacing w:val="-10"/>
          <w:sz w:val="20"/>
          <w:szCs w:val="20"/>
        </w:rPr>
        <w:t xml:space="preserve"> enabling further unconventional oil production growth past 2026.</w:t>
      </w:r>
    </w:p>
    <w:p w14:paraId="585E80CC">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In</w:t>
      </w:r>
      <w:r>
        <w:rPr>
          <w:color w:val="57585A"/>
          <w:spacing w:val="-24"/>
          <w:sz w:val="20"/>
          <w:szCs w:val="20"/>
        </w:rPr>
        <w:t xml:space="preserve"> </w:t>
      </w:r>
      <w:r>
        <w:rPr>
          <w:color w:val="57585A"/>
          <w:spacing w:val="-11"/>
          <w:sz w:val="20"/>
          <w:szCs w:val="20"/>
        </w:rPr>
        <w:t>January 2024, newly-el</w:t>
      </w:r>
      <w:r>
        <w:rPr>
          <w:color w:val="57585A"/>
          <w:spacing w:val="-12"/>
          <w:sz w:val="20"/>
          <w:szCs w:val="20"/>
        </w:rPr>
        <w:t>ected</w:t>
      </w:r>
      <w:r>
        <w:rPr>
          <w:color w:val="57585A"/>
          <w:spacing w:val="1"/>
          <w:sz w:val="20"/>
          <w:szCs w:val="20"/>
        </w:rPr>
        <w:t xml:space="preserve"> </w:t>
      </w:r>
      <w:r>
        <w:rPr>
          <w:color w:val="57585A"/>
          <w:spacing w:val="-12"/>
          <w:sz w:val="20"/>
          <w:szCs w:val="20"/>
        </w:rPr>
        <w:t>President</w:t>
      </w:r>
      <w:r>
        <w:rPr>
          <w:color w:val="57585A"/>
          <w:spacing w:val="-23"/>
          <w:sz w:val="20"/>
          <w:szCs w:val="20"/>
        </w:rPr>
        <w:t xml:space="preserve"> </w:t>
      </w:r>
      <w:r>
        <w:rPr>
          <w:color w:val="57585A"/>
          <w:spacing w:val="-12"/>
          <w:sz w:val="20"/>
          <w:szCs w:val="20"/>
        </w:rPr>
        <w:t>Javier</w:t>
      </w:r>
      <w:r>
        <w:rPr>
          <w:color w:val="57585A"/>
          <w:spacing w:val="1"/>
          <w:sz w:val="20"/>
          <w:szCs w:val="20"/>
        </w:rPr>
        <w:t xml:space="preserve"> </w:t>
      </w:r>
      <w:r>
        <w:rPr>
          <w:color w:val="57585A"/>
          <w:spacing w:val="-12"/>
          <w:sz w:val="20"/>
          <w:szCs w:val="20"/>
        </w:rPr>
        <w:t>Milei suspended the privatisation of</w:t>
      </w:r>
      <w:r>
        <w:rPr>
          <w:color w:val="57585A"/>
          <w:spacing w:val="-25"/>
          <w:sz w:val="20"/>
          <w:szCs w:val="20"/>
        </w:rPr>
        <w:t xml:space="preserve"> </w:t>
      </w:r>
      <w:r>
        <w:rPr>
          <w:color w:val="57585A"/>
          <w:spacing w:val="-12"/>
          <w:sz w:val="20"/>
          <w:szCs w:val="20"/>
        </w:rPr>
        <w:t>YPF, excluding this provision from the</w:t>
      </w:r>
    </w:p>
    <w:p w14:paraId="40671093">
      <w:pPr>
        <w:pStyle w:val="4"/>
        <w:spacing w:before="56" w:line="262" w:lineRule="auto"/>
        <w:ind w:left="614" w:right="375"/>
        <w:rPr>
          <w:sz w:val="20"/>
          <w:szCs w:val="20"/>
        </w:rPr>
      </w:pPr>
      <w:r>
        <w:rPr>
          <w:color w:val="57585A"/>
          <w:spacing w:val="-11"/>
          <w:sz w:val="20"/>
          <w:szCs w:val="20"/>
        </w:rPr>
        <w:t>Omnibus Bill. We have previously highlighted that</w:t>
      </w:r>
      <w:r>
        <w:rPr>
          <w:color w:val="57585A"/>
          <w:spacing w:val="-16"/>
          <w:sz w:val="20"/>
          <w:szCs w:val="20"/>
        </w:rPr>
        <w:t xml:space="preserve"> </w:t>
      </w:r>
      <w:r>
        <w:rPr>
          <w:color w:val="57585A"/>
          <w:spacing w:val="-11"/>
          <w:sz w:val="20"/>
          <w:szCs w:val="20"/>
        </w:rPr>
        <w:t>we do not expect the privatisation to happen over the near term given gr</w:t>
      </w:r>
      <w:r>
        <w:rPr>
          <w:color w:val="57585A"/>
          <w:spacing w:val="-12"/>
          <w:sz w:val="20"/>
          <w:szCs w:val="20"/>
        </w:rPr>
        <w:t>owing</w:t>
      </w:r>
      <w:r>
        <w:rPr>
          <w:color w:val="57585A"/>
          <w:sz w:val="20"/>
          <w:szCs w:val="20"/>
        </w:rPr>
        <w:t xml:space="preserve"> </w:t>
      </w:r>
      <w:r>
        <w:rPr>
          <w:color w:val="57585A"/>
          <w:spacing w:val="-12"/>
          <w:sz w:val="20"/>
          <w:szCs w:val="20"/>
        </w:rPr>
        <w:t>opposition in Congress.</w:t>
      </w:r>
    </w:p>
    <w:p w14:paraId="77A7AB30">
      <w:pPr>
        <w:spacing w:line="262" w:lineRule="auto"/>
        <w:rPr>
          <w:sz w:val="20"/>
          <w:szCs w:val="20"/>
        </w:rPr>
        <w:sectPr>
          <w:footerReference r:id="rId80" w:type="default"/>
          <w:pgSz w:w="11906" w:h="16838"/>
          <w:pgMar w:top="400" w:right="490" w:bottom="883" w:left="490" w:header="0" w:footer="0" w:gutter="0"/>
          <w:cols w:space="720" w:num="1"/>
        </w:sectPr>
      </w:pPr>
    </w:p>
    <w:p w14:paraId="7F87D6C2">
      <w:pPr>
        <w:pStyle w:val="4"/>
        <w:spacing w:before="73" w:line="241" w:lineRule="auto"/>
        <w:ind w:left="7372"/>
        <w:rPr>
          <w:sz w:val="20"/>
          <w:szCs w:val="20"/>
        </w:rPr>
      </w:pPr>
      <w:r>
        <w:drawing>
          <wp:anchor distT="0" distB="0" distL="0" distR="0" simplePos="0" relativeHeight="25195008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53152" behindDoc="0" locked="0" layoutInCell="0" allowOverlap="1">
            <wp:simplePos x="0" y="0"/>
            <wp:positionH relativeFrom="page">
              <wp:posOffset>311150</wp:posOffset>
            </wp:positionH>
            <wp:positionV relativeFrom="page">
              <wp:posOffset>0</wp:posOffset>
            </wp:positionV>
            <wp:extent cx="19050" cy="814070"/>
            <wp:effectExtent l="0" t="0" r="0" b="0"/>
            <wp:wrapNone/>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B2C2B8C">
      <w:pPr>
        <w:pStyle w:val="4"/>
        <w:spacing w:line="278" w:lineRule="auto"/>
      </w:pPr>
    </w:p>
    <w:p w14:paraId="36958C9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D9BD124">
      <w:pPr>
        <w:spacing w:before="20"/>
      </w:pPr>
    </w:p>
    <w:p w14:paraId="6042D2F6">
      <w:pPr>
        <w:spacing w:before="20"/>
      </w:pPr>
    </w:p>
    <w:p w14:paraId="628F169A">
      <w:pPr>
        <w:spacing w:before="20"/>
      </w:pPr>
    </w:p>
    <w:tbl>
      <w:tblPr>
        <w:tblStyle w:val="7"/>
        <w:tblW w:w="10199" w:type="dxa"/>
        <w:tblInd w:w="362" w:type="dxa"/>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Layout w:type="fixed"/>
        <w:tblCellMar>
          <w:top w:w="0" w:type="dxa"/>
          <w:left w:w="0" w:type="dxa"/>
          <w:bottom w:w="0" w:type="dxa"/>
          <w:right w:w="0" w:type="dxa"/>
        </w:tblCellMar>
      </w:tblPr>
      <w:tblGrid>
        <w:gridCol w:w="5099"/>
        <w:gridCol w:w="5100"/>
      </w:tblGrid>
      <w:tr w14:paraId="728F0187">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487" w:hRule="atLeast"/>
        </w:trPr>
        <w:tc>
          <w:tcPr>
            <w:tcW w:w="5099" w:type="dxa"/>
            <w:tcBorders>
              <w:bottom w:val="nil"/>
              <w:right w:val="single" w:color="D7DADB" w:sz="2" w:space="0"/>
            </w:tcBorders>
            <w:shd w:val="clear" w:color="auto" w:fill="E4F4FC"/>
            <w:vAlign w:val="top"/>
          </w:tcPr>
          <w:p w14:paraId="3A421417">
            <w:pPr>
              <w:pStyle w:val="8"/>
              <w:spacing w:before="116" w:line="241" w:lineRule="auto"/>
              <w:ind w:left="288"/>
              <w:rPr>
                <w:sz w:val="24"/>
                <w:szCs w:val="24"/>
              </w:rPr>
            </w:pPr>
            <w:r>
              <w:rPr>
                <w:b/>
                <w:bCs/>
                <w:color w:val="174174"/>
                <w:spacing w:val="-9"/>
                <w:sz w:val="24"/>
                <w:szCs w:val="24"/>
              </w:rPr>
              <w:t>Strengths</w:t>
            </w:r>
          </w:p>
        </w:tc>
        <w:tc>
          <w:tcPr>
            <w:tcW w:w="5100" w:type="dxa"/>
            <w:tcBorders>
              <w:left w:val="single" w:color="D7DADB" w:sz="2" w:space="0"/>
              <w:bottom w:val="nil"/>
            </w:tcBorders>
            <w:shd w:val="clear" w:color="auto" w:fill="E4F4FC"/>
            <w:vAlign w:val="top"/>
          </w:tcPr>
          <w:p w14:paraId="0D9C2279">
            <w:pPr>
              <w:pStyle w:val="8"/>
              <w:spacing w:before="116" w:line="325" w:lineRule="exact"/>
              <w:ind w:left="282"/>
              <w:rPr>
                <w:sz w:val="24"/>
                <w:szCs w:val="24"/>
              </w:rPr>
            </w:pPr>
            <w:r>
              <w:rPr>
                <w:b/>
                <w:bCs/>
                <w:color w:val="174174"/>
                <w:spacing w:val="-14"/>
                <w:position w:val="1"/>
                <w:sz w:val="24"/>
                <w:szCs w:val="24"/>
              </w:rPr>
              <w:t>Weaknesses</w:t>
            </w:r>
          </w:p>
        </w:tc>
      </w:tr>
      <w:tr w14:paraId="281F09E8">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1412" w:hRule="atLeast"/>
        </w:trPr>
        <w:tc>
          <w:tcPr>
            <w:tcW w:w="5099" w:type="dxa"/>
            <w:tcBorders>
              <w:top w:val="nil"/>
              <w:bottom w:val="nil"/>
              <w:right w:val="single" w:color="D7DADB" w:sz="2" w:space="0"/>
            </w:tcBorders>
            <w:vAlign w:val="top"/>
          </w:tcPr>
          <w:p w14:paraId="4E254DA1">
            <w:pPr>
              <w:pStyle w:val="8"/>
              <w:spacing w:before="191" w:line="234" w:lineRule="auto"/>
              <w:ind w:left="83"/>
            </w:pPr>
            <w:r>
              <w:rPr>
                <w:color w:val="33CCFF"/>
                <w:spacing w:val="-6"/>
              </w:rPr>
              <w:t xml:space="preserve">•         </w:t>
            </w:r>
            <w:r>
              <w:rPr>
                <w:color w:val="57585A"/>
                <w:spacing w:val="-6"/>
              </w:rPr>
              <w:t>Leading domestic oil and g</w:t>
            </w:r>
            <w:r>
              <w:rPr>
                <w:color w:val="57585A"/>
                <w:spacing w:val="-7"/>
              </w:rPr>
              <w:t>as producer.</w:t>
            </w:r>
          </w:p>
          <w:p w14:paraId="7CFF4BBF">
            <w:pPr>
              <w:pStyle w:val="8"/>
              <w:spacing w:before="78" w:line="234" w:lineRule="auto"/>
              <w:ind w:left="83"/>
            </w:pPr>
            <w:r>
              <w:rPr>
                <w:color w:val="33CCFF"/>
                <w:spacing w:val="-5"/>
              </w:rPr>
              <w:t>•</w:t>
            </w:r>
            <w:r>
              <w:rPr>
                <w:color w:val="33CCFF"/>
                <w:spacing w:val="1"/>
              </w:rPr>
              <w:t xml:space="preserve">        </w:t>
            </w:r>
            <w:r>
              <w:rPr>
                <w:color w:val="57585A"/>
                <w:spacing w:val="-5"/>
              </w:rPr>
              <w:t>Dominant position in the downstream oil se</w:t>
            </w:r>
            <w:r>
              <w:rPr>
                <w:color w:val="57585A"/>
                <w:spacing w:val="-6"/>
              </w:rPr>
              <w:t>gment.</w:t>
            </w:r>
          </w:p>
          <w:p w14:paraId="0DE879DB">
            <w:pPr>
              <w:pStyle w:val="8"/>
              <w:spacing w:before="78" w:line="236" w:lineRule="auto"/>
              <w:ind w:left="83"/>
            </w:pPr>
            <w:r>
              <w:rPr>
                <w:color w:val="33CCFF"/>
                <w:spacing w:val="-5"/>
              </w:rPr>
              <w:t>•</w:t>
            </w:r>
            <w:r>
              <w:rPr>
                <w:color w:val="33CCFF"/>
                <w:spacing w:val="1"/>
              </w:rPr>
              <w:t xml:space="preserve">        </w:t>
            </w:r>
            <w:r>
              <w:rPr>
                <w:color w:val="57585A"/>
                <w:spacing w:val="-5"/>
              </w:rPr>
              <w:t>Extensive explorat</w:t>
            </w:r>
            <w:r>
              <w:rPr>
                <w:color w:val="57585A"/>
                <w:spacing w:val="-6"/>
              </w:rPr>
              <w:t>ion portfolio.</w:t>
            </w:r>
          </w:p>
          <w:p w14:paraId="51848119">
            <w:pPr>
              <w:pStyle w:val="8"/>
              <w:spacing w:before="76" w:line="234" w:lineRule="auto"/>
              <w:ind w:left="83"/>
            </w:pPr>
            <w:r>
              <w:rPr>
                <w:color w:val="33CCFF"/>
                <w:spacing w:val="-5"/>
              </w:rPr>
              <w:t>•</w:t>
            </w:r>
            <w:r>
              <w:rPr>
                <w:color w:val="33CCFF"/>
                <w:spacing w:val="1"/>
              </w:rPr>
              <w:t xml:space="preserve">        </w:t>
            </w:r>
            <w:r>
              <w:rPr>
                <w:color w:val="57585A"/>
                <w:spacing w:val="-5"/>
              </w:rPr>
              <w:t>Involvement in key energy infrastructu</w:t>
            </w:r>
            <w:r>
              <w:rPr>
                <w:color w:val="57585A"/>
                <w:spacing w:val="-6"/>
              </w:rPr>
              <w:t>re.</w:t>
            </w:r>
          </w:p>
        </w:tc>
        <w:tc>
          <w:tcPr>
            <w:tcW w:w="5100" w:type="dxa"/>
            <w:tcBorders>
              <w:top w:val="nil"/>
              <w:left w:val="single" w:color="D7DADB" w:sz="2" w:space="0"/>
              <w:bottom w:val="nil"/>
            </w:tcBorders>
            <w:vAlign w:val="top"/>
          </w:tcPr>
          <w:p w14:paraId="3F171642">
            <w:pPr>
              <w:pStyle w:val="8"/>
              <w:spacing w:before="191" w:line="234" w:lineRule="auto"/>
              <w:ind w:left="83"/>
            </w:pPr>
            <w:r>
              <w:rPr>
                <w:color w:val="33CCFF"/>
                <w:spacing w:val="-6"/>
              </w:rPr>
              <w:t>•</w:t>
            </w:r>
            <w:r>
              <w:rPr>
                <w:color w:val="33CCFF"/>
                <w:spacing w:val="1"/>
              </w:rPr>
              <w:t xml:space="preserve">        </w:t>
            </w:r>
            <w:r>
              <w:rPr>
                <w:color w:val="57585A"/>
                <w:spacing w:val="-6"/>
              </w:rPr>
              <w:t>Over-dependence on</w:t>
            </w:r>
            <w:r>
              <w:rPr>
                <w:color w:val="57585A"/>
                <w:spacing w:val="-13"/>
              </w:rPr>
              <w:t xml:space="preserve"> </w:t>
            </w:r>
            <w:r>
              <w:rPr>
                <w:color w:val="57585A"/>
                <w:spacing w:val="-6"/>
              </w:rPr>
              <w:t>Argenti</w:t>
            </w:r>
            <w:r>
              <w:rPr>
                <w:color w:val="57585A"/>
                <w:spacing w:val="-7"/>
              </w:rPr>
              <w:t>na.</w:t>
            </w:r>
          </w:p>
          <w:p w14:paraId="0522E194">
            <w:pPr>
              <w:pStyle w:val="8"/>
              <w:spacing w:before="78" w:line="234" w:lineRule="auto"/>
              <w:ind w:left="83"/>
            </w:pPr>
            <w:r>
              <w:rPr>
                <w:color w:val="33CCFF"/>
                <w:spacing w:val="-5"/>
              </w:rPr>
              <w:t>•</w:t>
            </w:r>
            <w:r>
              <w:rPr>
                <w:color w:val="33CCFF"/>
                <w:spacing w:val="2"/>
              </w:rPr>
              <w:t xml:space="preserve">        </w:t>
            </w:r>
            <w:r>
              <w:rPr>
                <w:color w:val="57585A"/>
                <w:spacing w:val="-5"/>
              </w:rPr>
              <w:t>Mature and competitive industry.</w:t>
            </w:r>
          </w:p>
          <w:p w14:paraId="1008918B">
            <w:pPr>
              <w:pStyle w:val="8"/>
              <w:spacing w:before="78" w:line="234" w:lineRule="auto"/>
              <w:ind w:left="83"/>
            </w:pPr>
            <w:r>
              <w:rPr>
                <w:color w:val="33CCFF"/>
                <w:spacing w:val="-6"/>
              </w:rPr>
              <w:t>•</w:t>
            </w:r>
            <w:r>
              <w:rPr>
                <w:color w:val="33CCFF"/>
                <w:spacing w:val="8"/>
              </w:rPr>
              <w:t xml:space="preserve">       </w:t>
            </w:r>
            <w:r>
              <w:rPr>
                <w:color w:val="57585A"/>
                <w:spacing w:val="-6"/>
              </w:rPr>
              <w:t>Vulnerable to state</w:t>
            </w:r>
            <w:r>
              <w:rPr>
                <w:color w:val="57585A"/>
                <w:spacing w:val="-1"/>
              </w:rPr>
              <w:t xml:space="preserve"> </w:t>
            </w:r>
            <w:r>
              <w:rPr>
                <w:color w:val="57585A"/>
                <w:spacing w:val="-6"/>
              </w:rPr>
              <w:t>energy policy.</w:t>
            </w:r>
          </w:p>
        </w:tc>
      </w:tr>
      <w:tr w14:paraId="4616D1BB">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484" w:hRule="atLeast"/>
        </w:trPr>
        <w:tc>
          <w:tcPr>
            <w:tcW w:w="5099" w:type="dxa"/>
            <w:tcBorders>
              <w:top w:val="nil"/>
              <w:bottom w:val="nil"/>
              <w:right w:val="single" w:color="D7DADB" w:sz="2" w:space="0"/>
            </w:tcBorders>
            <w:shd w:val="clear" w:color="auto" w:fill="E4F4FC"/>
            <w:vAlign w:val="top"/>
          </w:tcPr>
          <w:p w14:paraId="0F9B1D7C">
            <w:pPr>
              <w:pStyle w:val="8"/>
              <w:spacing w:before="116" w:line="280" w:lineRule="exact"/>
              <w:ind w:left="293"/>
              <w:rPr>
                <w:sz w:val="24"/>
                <w:szCs w:val="24"/>
              </w:rPr>
            </w:pPr>
            <w:r>
              <w:rPr>
                <w:b/>
                <w:bCs/>
                <w:color w:val="174174"/>
                <w:spacing w:val="-8"/>
                <w:position w:val="2"/>
                <w:sz w:val="24"/>
                <w:szCs w:val="24"/>
              </w:rPr>
              <w:t>Opportunities</w:t>
            </w:r>
          </w:p>
        </w:tc>
        <w:tc>
          <w:tcPr>
            <w:tcW w:w="5100" w:type="dxa"/>
            <w:tcBorders>
              <w:top w:val="nil"/>
              <w:left w:val="single" w:color="D7DADB" w:sz="2" w:space="0"/>
              <w:bottom w:val="nil"/>
            </w:tcBorders>
            <w:shd w:val="clear" w:color="auto" w:fill="E4F4FC"/>
            <w:vAlign w:val="top"/>
          </w:tcPr>
          <w:p w14:paraId="1AE1CF7E">
            <w:pPr>
              <w:pStyle w:val="8"/>
              <w:spacing w:before="116" w:line="325" w:lineRule="exact"/>
              <w:ind w:left="283"/>
              <w:rPr>
                <w:sz w:val="24"/>
                <w:szCs w:val="24"/>
              </w:rPr>
            </w:pPr>
            <w:r>
              <w:rPr>
                <w:b/>
                <w:bCs/>
                <w:color w:val="174174"/>
                <w:spacing w:val="-8"/>
                <w:position w:val="1"/>
                <w:sz w:val="24"/>
                <w:szCs w:val="24"/>
              </w:rPr>
              <w:t>Threats</w:t>
            </w:r>
          </w:p>
        </w:tc>
      </w:tr>
      <w:tr w14:paraId="113238FE">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1699" w:hRule="atLeast"/>
        </w:trPr>
        <w:tc>
          <w:tcPr>
            <w:tcW w:w="5099" w:type="dxa"/>
            <w:tcBorders>
              <w:top w:val="nil"/>
              <w:right w:val="single" w:color="D7DADB" w:sz="2" w:space="0"/>
            </w:tcBorders>
            <w:vAlign w:val="top"/>
          </w:tcPr>
          <w:p w14:paraId="7D4158BC">
            <w:pPr>
              <w:pStyle w:val="8"/>
              <w:spacing w:before="194" w:line="234" w:lineRule="auto"/>
              <w:ind w:left="83"/>
            </w:pPr>
            <w:r>
              <w:rPr>
                <w:color w:val="33CCFF"/>
                <w:spacing w:val="-5"/>
              </w:rPr>
              <w:t xml:space="preserve">•        </w:t>
            </w:r>
            <w:r>
              <w:rPr>
                <w:color w:val="57585A"/>
                <w:spacing w:val="-5"/>
              </w:rPr>
              <w:t>Steady domestic and region</w:t>
            </w:r>
            <w:r>
              <w:rPr>
                <w:color w:val="57585A"/>
                <w:spacing w:val="-6"/>
              </w:rPr>
              <w:t>al demand growth</w:t>
            </w:r>
          </w:p>
          <w:p w14:paraId="07C3E87D">
            <w:pPr>
              <w:pStyle w:val="8"/>
              <w:spacing w:before="78" w:line="234" w:lineRule="auto"/>
              <w:ind w:left="570"/>
            </w:pPr>
            <w:r>
              <w:rPr>
                <w:color w:val="57585A"/>
                <w:spacing w:val="-4"/>
              </w:rPr>
              <w:t>(notwithstanding sh</w:t>
            </w:r>
            <w:r>
              <w:rPr>
                <w:color w:val="57585A"/>
                <w:spacing w:val="-5"/>
              </w:rPr>
              <w:t>ort-term Covid-19 disruption).</w:t>
            </w:r>
          </w:p>
          <w:p w14:paraId="6B1631BB">
            <w:pPr>
              <w:pStyle w:val="8"/>
              <w:spacing w:before="78" w:line="234" w:lineRule="auto"/>
              <w:ind w:left="83"/>
            </w:pPr>
            <w:r>
              <w:rPr>
                <w:color w:val="33CCFF"/>
                <w:spacing w:val="-5"/>
              </w:rPr>
              <w:t xml:space="preserve">•        </w:t>
            </w:r>
            <w:r>
              <w:rPr>
                <w:color w:val="57585A"/>
                <w:spacing w:val="-5"/>
              </w:rPr>
              <w:t>Scope for productivity gains and cost reductions.</w:t>
            </w:r>
          </w:p>
          <w:p w14:paraId="0A0BC644">
            <w:pPr>
              <w:pStyle w:val="8"/>
              <w:spacing w:before="78" w:line="234" w:lineRule="auto"/>
              <w:ind w:left="83"/>
            </w:pPr>
            <w:r>
              <w:rPr>
                <w:color w:val="33CCFF"/>
                <w:spacing w:val="-6"/>
              </w:rPr>
              <w:t>•</w:t>
            </w:r>
            <w:r>
              <w:rPr>
                <w:color w:val="33CCFF"/>
                <w:spacing w:val="2"/>
              </w:rPr>
              <w:t xml:space="preserve">        </w:t>
            </w:r>
            <w:r>
              <w:rPr>
                <w:color w:val="57585A"/>
                <w:spacing w:val="-6"/>
              </w:rPr>
              <w:t>Can influence government energy policy.</w:t>
            </w:r>
          </w:p>
          <w:p w14:paraId="1ED9362A">
            <w:pPr>
              <w:pStyle w:val="8"/>
              <w:spacing w:before="78" w:line="234" w:lineRule="auto"/>
              <w:ind w:left="83"/>
            </w:pPr>
            <w:r>
              <w:rPr>
                <w:color w:val="33CCFF"/>
                <w:spacing w:val="-6"/>
              </w:rPr>
              <w:t xml:space="preserve">•        </w:t>
            </w:r>
            <w:r>
              <w:rPr>
                <w:color w:val="57585A"/>
                <w:spacing w:val="-6"/>
              </w:rPr>
              <w:t>Shale oil and gas resources from the</w:t>
            </w:r>
            <w:r>
              <w:rPr>
                <w:color w:val="57585A"/>
                <w:spacing w:val="-14"/>
              </w:rPr>
              <w:t xml:space="preserve"> </w:t>
            </w:r>
            <w:r>
              <w:rPr>
                <w:color w:val="57585A"/>
                <w:spacing w:val="-6"/>
              </w:rPr>
              <w:t>Vaca</w:t>
            </w:r>
            <w:r>
              <w:rPr>
                <w:color w:val="57585A"/>
                <w:spacing w:val="-7"/>
              </w:rPr>
              <w:t xml:space="preserve"> Muerta formation.</w:t>
            </w:r>
          </w:p>
        </w:tc>
        <w:tc>
          <w:tcPr>
            <w:tcW w:w="5100" w:type="dxa"/>
            <w:tcBorders>
              <w:top w:val="nil"/>
              <w:left w:val="single" w:color="D7DADB" w:sz="2" w:space="0"/>
            </w:tcBorders>
            <w:vAlign w:val="top"/>
          </w:tcPr>
          <w:p w14:paraId="4E70CC78">
            <w:pPr>
              <w:pStyle w:val="8"/>
              <w:spacing w:before="194" w:line="237" w:lineRule="exact"/>
              <w:ind w:left="83"/>
            </w:pPr>
            <w:r>
              <w:rPr>
                <w:color w:val="33CCFF"/>
                <w:spacing w:val="-4"/>
                <w:position w:val="1"/>
              </w:rPr>
              <w:t xml:space="preserve">•        </w:t>
            </w:r>
            <w:r>
              <w:rPr>
                <w:color w:val="57585A"/>
                <w:spacing w:val="-4"/>
                <w:position w:val="1"/>
              </w:rPr>
              <w:t>State intervention in</w:t>
            </w:r>
            <w:r>
              <w:rPr>
                <w:color w:val="57585A"/>
                <w:spacing w:val="7"/>
                <w:position w:val="1"/>
              </w:rPr>
              <w:t xml:space="preserve"> </w:t>
            </w:r>
            <w:r>
              <w:rPr>
                <w:color w:val="57585A"/>
                <w:spacing w:val="-4"/>
                <w:position w:val="1"/>
              </w:rPr>
              <w:t>tariffs and</w:t>
            </w:r>
            <w:r>
              <w:rPr>
                <w:color w:val="57585A"/>
                <w:spacing w:val="-11"/>
                <w:position w:val="1"/>
              </w:rPr>
              <w:t xml:space="preserve"> </w:t>
            </w:r>
            <w:r>
              <w:rPr>
                <w:color w:val="57585A"/>
                <w:spacing w:val="-4"/>
                <w:position w:val="1"/>
              </w:rPr>
              <w:t>taxation.</w:t>
            </w:r>
          </w:p>
          <w:p w14:paraId="3194DB25">
            <w:pPr>
              <w:pStyle w:val="8"/>
              <w:spacing w:before="42" w:line="236" w:lineRule="auto"/>
              <w:ind w:left="83"/>
            </w:pPr>
            <w:r>
              <w:rPr>
                <w:color w:val="33CCFF"/>
                <w:spacing w:val="-5"/>
              </w:rPr>
              <w:t>•</w:t>
            </w:r>
            <w:r>
              <w:rPr>
                <w:color w:val="33CCFF"/>
                <w:spacing w:val="2"/>
              </w:rPr>
              <w:t xml:space="preserve">        </w:t>
            </w:r>
            <w:r>
              <w:rPr>
                <w:color w:val="57585A"/>
                <w:spacing w:val="-5"/>
              </w:rPr>
              <w:t>Uncertain political and fiscal outlook.</w:t>
            </w:r>
          </w:p>
          <w:p w14:paraId="6BC2B500">
            <w:pPr>
              <w:pStyle w:val="8"/>
              <w:spacing w:before="76" w:line="234" w:lineRule="auto"/>
              <w:ind w:left="83"/>
            </w:pPr>
            <w:r>
              <w:rPr>
                <w:color w:val="33CCFF"/>
                <w:spacing w:val="-6"/>
              </w:rPr>
              <w:t>•</w:t>
            </w:r>
            <w:r>
              <w:rPr>
                <w:color w:val="33CCFF"/>
                <w:spacing w:val="2"/>
              </w:rPr>
              <w:t xml:space="preserve">        </w:t>
            </w:r>
            <w:r>
              <w:rPr>
                <w:color w:val="57585A"/>
                <w:spacing w:val="-6"/>
              </w:rPr>
              <w:t>Demands of</w:t>
            </w:r>
            <w:r>
              <w:rPr>
                <w:color w:val="57585A"/>
                <w:spacing w:val="-12"/>
              </w:rPr>
              <w:t xml:space="preserve"> </w:t>
            </w:r>
            <w:r>
              <w:rPr>
                <w:color w:val="57585A"/>
                <w:spacing w:val="-6"/>
              </w:rPr>
              <w:t>government energy policy.</w:t>
            </w:r>
          </w:p>
        </w:tc>
      </w:tr>
    </w:tbl>
    <w:p w14:paraId="1A2A1927">
      <w:pPr>
        <w:pStyle w:val="4"/>
        <w:spacing w:line="318" w:lineRule="auto"/>
      </w:pPr>
    </w:p>
    <w:p w14:paraId="4DCCECD8">
      <w:pPr>
        <w:pStyle w:val="4"/>
        <w:spacing w:before="69" w:line="241" w:lineRule="auto"/>
        <w:ind w:left="370"/>
        <w:outlineLvl w:val="2"/>
        <w:rPr>
          <w:sz w:val="24"/>
          <w:szCs w:val="24"/>
        </w:rPr>
      </w:pPr>
      <w:r>
        <w:rPr>
          <w:b/>
          <w:bCs/>
          <w:color w:val="174174"/>
          <w:spacing w:val="-11"/>
          <w:sz w:val="24"/>
          <w:szCs w:val="24"/>
        </w:rPr>
        <w:t>Company Overview</w:t>
      </w:r>
    </w:p>
    <w:p w14:paraId="07C613B1">
      <w:pPr>
        <w:pStyle w:val="4"/>
        <w:spacing w:line="348" w:lineRule="auto"/>
      </w:pPr>
    </w:p>
    <w:p w14:paraId="3CF595F3">
      <w:pPr>
        <w:pStyle w:val="4"/>
        <w:spacing w:before="57" w:line="231" w:lineRule="auto"/>
        <w:ind w:left="359"/>
        <w:rPr>
          <w:sz w:val="20"/>
          <w:szCs w:val="20"/>
        </w:rPr>
      </w:pPr>
      <w:r>
        <w:rPr>
          <w:color w:val="57585A"/>
          <w:spacing w:val="-12"/>
          <w:sz w:val="20"/>
          <w:szCs w:val="20"/>
        </w:rPr>
        <w:t>YPF is the leading producer in Arge</w:t>
      </w:r>
      <w:r>
        <w:rPr>
          <w:color w:val="57585A"/>
          <w:spacing w:val="-13"/>
          <w:sz w:val="20"/>
          <w:szCs w:val="20"/>
        </w:rPr>
        <w:t>ntina, with assets located in the Neuquén, Gulf of</w:t>
      </w:r>
      <w:r>
        <w:rPr>
          <w:color w:val="57585A"/>
          <w:spacing w:val="-18"/>
          <w:sz w:val="20"/>
          <w:szCs w:val="20"/>
        </w:rPr>
        <w:t xml:space="preserve"> </w:t>
      </w:r>
      <w:r>
        <w:rPr>
          <w:color w:val="57585A"/>
          <w:spacing w:val="-13"/>
          <w:sz w:val="20"/>
          <w:szCs w:val="20"/>
        </w:rPr>
        <w:t>San</w:t>
      </w:r>
      <w:r>
        <w:rPr>
          <w:color w:val="57585A"/>
          <w:spacing w:val="-23"/>
          <w:sz w:val="20"/>
          <w:szCs w:val="20"/>
        </w:rPr>
        <w:t xml:space="preserve"> </w:t>
      </w:r>
      <w:r>
        <w:rPr>
          <w:color w:val="57585A"/>
          <w:spacing w:val="-13"/>
          <w:sz w:val="20"/>
          <w:szCs w:val="20"/>
        </w:rPr>
        <w:t>Jorge, Northeast, Austral and Cuyana</w:t>
      </w:r>
    </w:p>
    <w:p w14:paraId="58E48990">
      <w:pPr>
        <w:pStyle w:val="4"/>
        <w:spacing w:before="57" w:line="283" w:lineRule="auto"/>
        <w:ind w:left="363" w:right="447" w:firstLine="10"/>
        <w:rPr>
          <w:sz w:val="20"/>
          <w:szCs w:val="20"/>
        </w:rPr>
      </w:pPr>
      <w:r>
        <w:rPr>
          <w:color w:val="57585A"/>
          <w:spacing w:val="-11"/>
          <w:sz w:val="20"/>
          <w:szCs w:val="20"/>
        </w:rPr>
        <w:t>basins. It has interests in 108 oil and gas concessions in</w:t>
      </w:r>
      <w:r>
        <w:rPr>
          <w:color w:val="57585A"/>
          <w:spacing w:val="-15"/>
          <w:sz w:val="20"/>
          <w:szCs w:val="20"/>
        </w:rPr>
        <w:t xml:space="preserve"> </w:t>
      </w:r>
      <w:r>
        <w:rPr>
          <w:color w:val="57585A"/>
          <w:spacing w:val="-11"/>
          <w:sz w:val="20"/>
          <w:szCs w:val="20"/>
        </w:rPr>
        <w:t>Argentina that account for 45% of</w:t>
      </w:r>
      <w:r>
        <w:rPr>
          <w:color w:val="57585A"/>
          <w:spacing w:val="-22"/>
          <w:sz w:val="20"/>
          <w:szCs w:val="20"/>
        </w:rPr>
        <w:t xml:space="preserve"> </w:t>
      </w:r>
      <w:r>
        <w:rPr>
          <w:color w:val="57585A"/>
          <w:spacing w:val="-11"/>
          <w:sz w:val="20"/>
          <w:szCs w:val="20"/>
        </w:rPr>
        <w:t xml:space="preserve">the market's oil production and 37% </w:t>
      </w:r>
      <w:r>
        <w:rPr>
          <w:color w:val="57585A"/>
          <w:spacing w:val="-12"/>
          <w:sz w:val="20"/>
          <w:szCs w:val="20"/>
        </w:rPr>
        <w:t>of</w:t>
      </w:r>
      <w:r>
        <w:rPr>
          <w:color w:val="57585A"/>
          <w:sz w:val="20"/>
          <w:szCs w:val="20"/>
        </w:rPr>
        <w:t xml:space="preserve">  </w:t>
      </w:r>
      <w:r>
        <w:rPr>
          <w:color w:val="57585A"/>
          <w:spacing w:val="-11"/>
          <w:sz w:val="20"/>
          <w:szCs w:val="20"/>
        </w:rPr>
        <w:t>the market's natural gas output. It is</w:t>
      </w:r>
      <w:r>
        <w:rPr>
          <w:color w:val="57585A"/>
          <w:spacing w:val="1"/>
          <w:sz w:val="20"/>
          <w:szCs w:val="20"/>
        </w:rPr>
        <w:t xml:space="preserve"> </w:t>
      </w:r>
      <w:r>
        <w:rPr>
          <w:color w:val="57585A"/>
          <w:spacing w:val="-11"/>
          <w:sz w:val="20"/>
          <w:szCs w:val="20"/>
        </w:rPr>
        <w:t>Argentina's leading oil refiner, operating three facilities</w:t>
      </w:r>
      <w:r>
        <w:rPr>
          <w:color w:val="57585A"/>
          <w:spacing w:val="-16"/>
          <w:sz w:val="20"/>
          <w:szCs w:val="20"/>
        </w:rPr>
        <w:t xml:space="preserve"> </w:t>
      </w:r>
      <w:r>
        <w:rPr>
          <w:color w:val="57585A"/>
          <w:spacing w:val="-11"/>
          <w:sz w:val="20"/>
          <w:szCs w:val="20"/>
        </w:rPr>
        <w:t>with 319,500b/d of capacity, as</w:t>
      </w:r>
      <w:r>
        <w:rPr>
          <w:color w:val="57585A"/>
          <w:spacing w:val="-15"/>
          <w:sz w:val="20"/>
          <w:szCs w:val="20"/>
        </w:rPr>
        <w:t xml:space="preserve"> </w:t>
      </w:r>
      <w:r>
        <w:rPr>
          <w:color w:val="57585A"/>
          <w:spacing w:val="-11"/>
          <w:sz w:val="20"/>
          <w:szCs w:val="20"/>
        </w:rPr>
        <w:t>well as a</w:t>
      </w:r>
      <w:r>
        <w:rPr>
          <w:color w:val="57585A"/>
          <w:sz w:val="20"/>
          <w:szCs w:val="20"/>
        </w:rPr>
        <w:t xml:space="preserve"> </w:t>
      </w:r>
      <w:r>
        <w:rPr>
          <w:color w:val="57585A"/>
          <w:spacing w:val="-11"/>
          <w:sz w:val="20"/>
          <w:szCs w:val="20"/>
        </w:rPr>
        <w:t>half</w:t>
      </w:r>
      <w:r>
        <w:rPr>
          <w:color w:val="57585A"/>
          <w:spacing w:val="-18"/>
          <w:sz w:val="20"/>
          <w:szCs w:val="20"/>
        </w:rPr>
        <w:t xml:space="preserve"> </w:t>
      </w:r>
      <w:r>
        <w:rPr>
          <w:color w:val="57585A"/>
          <w:spacing w:val="-11"/>
          <w:sz w:val="20"/>
          <w:szCs w:val="20"/>
        </w:rPr>
        <w:t>share in the Refinor complex (26,100b/d gross). This provides th</w:t>
      </w:r>
      <w:r>
        <w:rPr>
          <w:color w:val="57585A"/>
          <w:spacing w:val="-12"/>
          <w:sz w:val="20"/>
          <w:szCs w:val="20"/>
        </w:rPr>
        <w:t>e group</w:t>
      </w:r>
      <w:r>
        <w:rPr>
          <w:color w:val="57585A"/>
          <w:spacing w:val="-15"/>
          <w:sz w:val="20"/>
          <w:szCs w:val="20"/>
        </w:rPr>
        <w:t xml:space="preserve"> </w:t>
      </w:r>
      <w:r>
        <w:rPr>
          <w:color w:val="57585A"/>
          <w:spacing w:val="-12"/>
          <w:sz w:val="20"/>
          <w:szCs w:val="20"/>
        </w:rPr>
        <w:t>with approximately 59% of</w:t>
      </w:r>
      <w:r>
        <w:rPr>
          <w:color w:val="57585A"/>
          <w:spacing w:val="-25"/>
          <w:sz w:val="20"/>
          <w:szCs w:val="20"/>
        </w:rPr>
        <w:t xml:space="preserve"> </w:t>
      </w:r>
      <w:r>
        <w:rPr>
          <w:color w:val="57585A"/>
          <w:spacing w:val="-12"/>
          <w:sz w:val="20"/>
          <w:szCs w:val="20"/>
        </w:rPr>
        <w:t>Argentina's share of</w:t>
      </w:r>
      <w:r>
        <w:rPr>
          <w:color w:val="57585A"/>
          <w:spacing w:val="-21"/>
          <w:sz w:val="20"/>
          <w:szCs w:val="20"/>
        </w:rPr>
        <w:t xml:space="preserve"> </w:t>
      </w:r>
      <w:r>
        <w:rPr>
          <w:color w:val="57585A"/>
          <w:spacing w:val="-12"/>
          <w:sz w:val="20"/>
          <w:szCs w:val="20"/>
        </w:rPr>
        <w:t>fuels</w:t>
      </w:r>
      <w:r>
        <w:rPr>
          <w:color w:val="57585A"/>
          <w:sz w:val="20"/>
          <w:szCs w:val="20"/>
        </w:rPr>
        <w:t xml:space="preserve">  </w:t>
      </w:r>
      <w:r>
        <w:rPr>
          <w:color w:val="57585A"/>
          <w:spacing w:val="-11"/>
          <w:sz w:val="20"/>
          <w:szCs w:val="20"/>
        </w:rPr>
        <w:t>supply,</w:t>
      </w:r>
      <w:r>
        <w:rPr>
          <w:color w:val="57585A"/>
          <w:spacing w:val="-3"/>
          <w:sz w:val="20"/>
          <w:szCs w:val="20"/>
        </w:rPr>
        <w:t xml:space="preserve"> </w:t>
      </w:r>
      <w:r>
        <w:rPr>
          <w:color w:val="57585A"/>
          <w:spacing w:val="-11"/>
          <w:sz w:val="20"/>
          <w:szCs w:val="20"/>
        </w:rPr>
        <w:t>while its service station chain of 1,535 sites accounts for 35% of</w:t>
      </w:r>
      <w:r>
        <w:rPr>
          <w:color w:val="57585A"/>
          <w:spacing w:val="-21"/>
          <w:sz w:val="20"/>
          <w:szCs w:val="20"/>
        </w:rPr>
        <w:t xml:space="preserve"> </w:t>
      </w:r>
      <w:r>
        <w:rPr>
          <w:color w:val="57585A"/>
          <w:spacing w:val="-11"/>
          <w:sz w:val="20"/>
          <w:szCs w:val="20"/>
        </w:rPr>
        <w:t>the retail market.</w:t>
      </w:r>
    </w:p>
    <w:p w14:paraId="6A515608">
      <w:pPr>
        <w:pStyle w:val="4"/>
        <w:spacing w:line="418" w:lineRule="auto"/>
      </w:pPr>
    </w:p>
    <w:p w14:paraId="3D58F082">
      <w:pPr>
        <w:pStyle w:val="4"/>
        <w:spacing w:before="70" w:line="234" w:lineRule="auto"/>
        <w:ind w:left="427"/>
        <w:rPr>
          <w:sz w:val="24"/>
          <w:szCs w:val="24"/>
        </w:rPr>
      </w:pPr>
      <w:r>
        <w:drawing>
          <wp:anchor distT="0" distB="0" distL="0" distR="0" simplePos="0" relativeHeight="251951104" behindDoc="0" locked="0" layoutInCell="1" allowOverlap="1">
            <wp:simplePos x="0" y="0"/>
            <wp:positionH relativeFrom="column">
              <wp:posOffset>227965</wp:posOffset>
            </wp:positionH>
            <wp:positionV relativeFrom="paragraph">
              <wp:posOffset>1675130</wp:posOffset>
            </wp:positionV>
            <wp:extent cx="6480175" cy="6985"/>
            <wp:effectExtent l="0" t="0" r="0" b="0"/>
            <wp:wrapNone/>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114"/>
                    <a:stretch>
                      <a:fillRect/>
                    </a:stretch>
                  </pic:blipFill>
                  <pic:spPr>
                    <a:xfrm>
                      <a:off x="0" y="0"/>
                      <a:ext cx="6479999" cy="7143"/>
                    </a:xfrm>
                    <a:prstGeom prst="rect">
                      <a:avLst/>
                    </a:prstGeom>
                  </pic:spPr>
                </pic:pic>
              </a:graphicData>
            </a:graphic>
          </wp:anchor>
        </w:drawing>
      </w:r>
      <w:r>
        <w:rPr>
          <w:color w:val="174174"/>
          <w:spacing w:val="-11"/>
          <w:sz w:val="24"/>
          <w:szCs w:val="24"/>
        </w:rPr>
        <w:t>Key</w:t>
      </w:r>
      <w:r>
        <w:rPr>
          <w:color w:val="174174"/>
          <w:spacing w:val="-20"/>
          <w:sz w:val="24"/>
          <w:szCs w:val="24"/>
        </w:rPr>
        <w:t xml:space="preserve"> </w:t>
      </w:r>
      <w:r>
        <w:rPr>
          <w:color w:val="174174"/>
          <w:spacing w:val="-11"/>
          <w:sz w:val="24"/>
          <w:szCs w:val="24"/>
        </w:rPr>
        <w:t>Assets In</w:t>
      </w:r>
      <w:r>
        <w:rPr>
          <w:color w:val="174174"/>
          <w:spacing w:val="-24"/>
          <w:sz w:val="24"/>
          <w:szCs w:val="24"/>
        </w:rPr>
        <w:t xml:space="preserve"> </w:t>
      </w:r>
      <w:r>
        <w:rPr>
          <w:color w:val="174174"/>
          <w:spacing w:val="-11"/>
          <w:sz w:val="24"/>
          <w:szCs w:val="24"/>
        </w:rPr>
        <w:t>Argentina</w:t>
      </w:r>
    </w:p>
    <w:p w14:paraId="004E3728">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3914"/>
        <w:gridCol w:w="2369"/>
        <w:gridCol w:w="3921"/>
      </w:tblGrid>
      <w:tr w14:paraId="47D4C46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3914" w:type="dxa"/>
            <w:tcBorders>
              <w:left w:val="nil"/>
            </w:tcBorders>
            <w:vAlign w:val="top"/>
          </w:tcPr>
          <w:p w14:paraId="5AEA5367">
            <w:pPr>
              <w:pStyle w:val="8"/>
              <w:spacing w:before="114" w:line="183" w:lineRule="auto"/>
              <w:ind w:left="13"/>
            </w:pPr>
            <w:r>
              <w:rPr>
                <w:b/>
                <w:bCs/>
                <w:color w:val="5F6A72"/>
                <w:spacing w:val="-7"/>
              </w:rPr>
              <w:t>Name</w:t>
            </w:r>
          </w:p>
        </w:tc>
        <w:tc>
          <w:tcPr>
            <w:tcW w:w="2369" w:type="dxa"/>
            <w:tcBorders>
              <w:right w:val="nil"/>
            </w:tcBorders>
            <w:vAlign w:val="top"/>
          </w:tcPr>
          <w:p w14:paraId="4994D3AE">
            <w:pPr>
              <w:pStyle w:val="8"/>
              <w:spacing w:before="114" w:line="181" w:lineRule="auto"/>
              <w:ind w:left="72"/>
            </w:pPr>
            <w:r>
              <w:rPr>
                <w:b/>
                <w:bCs/>
                <w:color w:val="5F6A72"/>
                <w:spacing w:val="-9"/>
              </w:rPr>
              <w:t>Type</w:t>
            </w:r>
          </w:p>
        </w:tc>
        <w:tc>
          <w:tcPr>
            <w:tcW w:w="3921" w:type="dxa"/>
            <w:tcBorders>
              <w:left w:val="nil"/>
              <w:right w:val="nil"/>
            </w:tcBorders>
            <w:vAlign w:val="top"/>
          </w:tcPr>
          <w:p w14:paraId="7EF061CB">
            <w:pPr>
              <w:pStyle w:val="8"/>
              <w:spacing w:before="70" w:line="241" w:lineRule="auto"/>
              <w:ind w:left="79"/>
            </w:pPr>
            <w:r>
              <w:rPr>
                <w:b/>
                <w:bCs/>
                <w:color w:val="5F6A72"/>
                <w:spacing w:val="-5"/>
              </w:rPr>
              <w:t>Capacity ('000boe/d)</w:t>
            </w:r>
          </w:p>
        </w:tc>
      </w:tr>
      <w:tr w14:paraId="1B7E07C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914" w:type="dxa"/>
            <w:tcBorders>
              <w:left w:val="nil"/>
            </w:tcBorders>
            <w:vAlign w:val="top"/>
          </w:tcPr>
          <w:p w14:paraId="7A7C41B1">
            <w:pPr>
              <w:pStyle w:val="8"/>
              <w:spacing w:before="65" w:line="236" w:lineRule="auto"/>
              <w:ind w:left="18"/>
            </w:pPr>
            <w:r>
              <w:rPr>
                <w:color w:val="2A8ABF"/>
                <w:spacing w:val="-8"/>
              </w:rPr>
              <w:t>Neuquen Province</w:t>
            </w:r>
          </w:p>
        </w:tc>
        <w:tc>
          <w:tcPr>
            <w:tcW w:w="2369" w:type="dxa"/>
            <w:tcBorders>
              <w:right w:val="nil"/>
            </w:tcBorders>
            <w:vAlign w:val="top"/>
          </w:tcPr>
          <w:p w14:paraId="20BEEB9E">
            <w:pPr>
              <w:pStyle w:val="8"/>
              <w:spacing w:before="106" w:line="181" w:lineRule="auto"/>
              <w:ind w:left="85"/>
            </w:pPr>
            <w:r>
              <w:rPr>
                <w:color w:val="5F6A72"/>
                <w:spacing w:val="-8"/>
              </w:rPr>
              <w:t>Upstream</w:t>
            </w:r>
          </w:p>
        </w:tc>
        <w:tc>
          <w:tcPr>
            <w:tcW w:w="3921" w:type="dxa"/>
            <w:tcBorders>
              <w:left w:val="nil"/>
              <w:right w:val="nil"/>
            </w:tcBorders>
            <w:vAlign w:val="top"/>
          </w:tcPr>
          <w:p w14:paraId="20E25956">
            <w:pPr>
              <w:pStyle w:val="8"/>
              <w:spacing w:before="65" w:line="237" w:lineRule="exact"/>
              <w:ind w:left="86"/>
            </w:pPr>
            <w:r>
              <w:rPr>
                <w:color w:val="5F6A72"/>
                <w:spacing w:val="-7"/>
                <w:position w:val="1"/>
              </w:rPr>
              <w:t>133.1</w:t>
            </w:r>
          </w:p>
        </w:tc>
      </w:tr>
      <w:tr w14:paraId="0B13ED3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914" w:type="dxa"/>
            <w:tcBorders>
              <w:left w:val="nil"/>
            </w:tcBorders>
            <w:shd w:val="clear" w:color="auto" w:fill="EAF9FF"/>
            <w:vAlign w:val="top"/>
          </w:tcPr>
          <w:p w14:paraId="4B7F9570">
            <w:pPr>
              <w:pStyle w:val="8"/>
              <w:spacing w:before="65" w:line="234" w:lineRule="auto"/>
              <w:ind w:left="12"/>
            </w:pPr>
            <w:r>
              <w:rPr>
                <w:color w:val="2A8ABF"/>
                <w:spacing w:val="-11"/>
              </w:rPr>
              <w:t>Golfo</w:t>
            </w:r>
            <w:r>
              <w:rPr>
                <w:color w:val="2A8ABF"/>
                <w:spacing w:val="5"/>
              </w:rPr>
              <w:t xml:space="preserve"> </w:t>
            </w:r>
            <w:r>
              <w:rPr>
                <w:color w:val="2A8ABF"/>
                <w:spacing w:val="-11"/>
              </w:rPr>
              <w:t>San</w:t>
            </w:r>
            <w:r>
              <w:rPr>
                <w:color w:val="2A8ABF"/>
                <w:spacing w:val="-21"/>
              </w:rPr>
              <w:t xml:space="preserve"> </w:t>
            </w:r>
            <w:r>
              <w:rPr>
                <w:color w:val="2A8ABF"/>
                <w:spacing w:val="-11"/>
              </w:rPr>
              <w:t>Jorge Province</w:t>
            </w:r>
          </w:p>
        </w:tc>
        <w:tc>
          <w:tcPr>
            <w:tcW w:w="2369" w:type="dxa"/>
            <w:tcBorders>
              <w:right w:val="nil"/>
            </w:tcBorders>
            <w:shd w:val="clear" w:color="auto" w:fill="EAF9FF"/>
            <w:vAlign w:val="top"/>
          </w:tcPr>
          <w:p w14:paraId="36593C74">
            <w:pPr>
              <w:pStyle w:val="8"/>
              <w:spacing w:before="107" w:line="181" w:lineRule="auto"/>
              <w:ind w:left="85"/>
            </w:pPr>
            <w:r>
              <w:rPr>
                <w:color w:val="5F6A72"/>
                <w:spacing w:val="-8"/>
              </w:rPr>
              <w:t>Upstream</w:t>
            </w:r>
          </w:p>
        </w:tc>
        <w:tc>
          <w:tcPr>
            <w:tcW w:w="3921" w:type="dxa"/>
            <w:tcBorders>
              <w:left w:val="nil"/>
              <w:right w:val="nil"/>
            </w:tcBorders>
            <w:shd w:val="clear" w:color="auto" w:fill="EAF9FF"/>
            <w:vAlign w:val="top"/>
          </w:tcPr>
          <w:p w14:paraId="650BB5B3">
            <w:pPr>
              <w:pStyle w:val="8"/>
              <w:spacing w:before="65" w:line="237" w:lineRule="exact"/>
              <w:ind w:left="78"/>
            </w:pPr>
            <w:r>
              <w:rPr>
                <w:color w:val="5F6A72"/>
                <w:spacing w:val="-6"/>
                <w:position w:val="1"/>
              </w:rPr>
              <w:t>44.3</w:t>
            </w:r>
          </w:p>
        </w:tc>
      </w:tr>
      <w:tr w14:paraId="79773EC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3914" w:type="dxa"/>
            <w:tcBorders>
              <w:left w:val="nil"/>
            </w:tcBorders>
            <w:vAlign w:val="top"/>
          </w:tcPr>
          <w:p w14:paraId="276D4C84">
            <w:pPr>
              <w:pStyle w:val="8"/>
              <w:spacing w:before="65" w:line="238" w:lineRule="exact"/>
              <w:ind w:left="3"/>
            </w:pPr>
            <w:r>
              <w:rPr>
                <w:color w:val="2A8ABF"/>
                <w:spacing w:val="-7"/>
                <w:position w:val="1"/>
              </w:rPr>
              <w:t>Austral Province</w:t>
            </w:r>
          </w:p>
        </w:tc>
        <w:tc>
          <w:tcPr>
            <w:tcW w:w="2369" w:type="dxa"/>
            <w:tcBorders>
              <w:right w:val="nil"/>
            </w:tcBorders>
            <w:vAlign w:val="top"/>
          </w:tcPr>
          <w:p w14:paraId="1FE796F4">
            <w:pPr>
              <w:pStyle w:val="8"/>
              <w:spacing w:before="107" w:line="181" w:lineRule="auto"/>
              <w:ind w:left="85"/>
            </w:pPr>
            <w:r>
              <w:rPr>
                <w:color w:val="5F6A72"/>
                <w:spacing w:val="-8"/>
              </w:rPr>
              <w:t>Upstream</w:t>
            </w:r>
          </w:p>
        </w:tc>
        <w:tc>
          <w:tcPr>
            <w:tcW w:w="3921" w:type="dxa"/>
            <w:tcBorders>
              <w:left w:val="nil"/>
              <w:right w:val="nil"/>
            </w:tcBorders>
            <w:vAlign w:val="top"/>
          </w:tcPr>
          <w:p w14:paraId="056EFFBF">
            <w:pPr>
              <w:pStyle w:val="8"/>
              <w:spacing w:before="65" w:line="238" w:lineRule="exact"/>
              <w:ind w:left="86"/>
            </w:pPr>
            <w:r>
              <w:rPr>
                <w:color w:val="5F6A72"/>
                <w:spacing w:val="-7"/>
                <w:position w:val="1"/>
              </w:rPr>
              <w:t>10.5</w:t>
            </w:r>
          </w:p>
        </w:tc>
      </w:tr>
      <w:tr w14:paraId="5A1CD77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7" w:hRule="atLeast"/>
        </w:trPr>
        <w:tc>
          <w:tcPr>
            <w:tcW w:w="3914" w:type="dxa"/>
            <w:tcBorders>
              <w:left w:val="nil"/>
            </w:tcBorders>
            <w:shd w:val="clear" w:color="auto" w:fill="EAF9FF"/>
            <w:vAlign w:val="top"/>
          </w:tcPr>
          <w:p w14:paraId="6D29AC8F">
            <w:pPr>
              <w:pStyle w:val="8"/>
              <w:spacing w:before="66" w:line="236" w:lineRule="auto"/>
              <w:ind w:left="18"/>
            </w:pPr>
            <w:r>
              <w:rPr>
                <w:color w:val="2A8ABF"/>
                <w:spacing w:val="-11"/>
              </w:rPr>
              <w:t>La Plata Complex</w:t>
            </w:r>
          </w:p>
        </w:tc>
        <w:tc>
          <w:tcPr>
            <w:tcW w:w="2369" w:type="dxa"/>
            <w:tcBorders>
              <w:right w:val="nil"/>
            </w:tcBorders>
            <w:shd w:val="clear" w:color="auto" w:fill="EAF9FF"/>
            <w:vAlign w:val="top"/>
          </w:tcPr>
          <w:p w14:paraId="562A5744">
            <w:pPr>
              <w:pStyle w:val="8"/>
              <w:spacing w:before="66" w:line="237" w:lineRule="exact"/>
              <w:ind w:left="86"/>
            </w:pPr>
            <w:r>
              <w:rPr>
                <w:color w:val="5F6A72"/>
                <w:spacing w:val="-8"/>
                <w:position w:val="1"/>
              </w:rPr>
              <w:t>Downstream</w:t>
            </w:r>
          </w:p>
        </w:tc>
        <w:tc>
          <w:tcPr>
            <w:tcW w:w="3921" w:type="dxa"/>
            <w:tcBorders>
              <w:left w:val="nil"/>
              <w:right w:val="nil"/>
            </w:tcBorders>
            <w:shd w:val="clear" w:color="auto" w:fill="EAF9FF"/>
            <w:vAlign w:val="top"/>
          </w:tcPr>
          <w:p w14:paraId="2141EA84">
            <w:pPr>
              <w:pStyle w:val="8"/>
              <w:spacing w:before="66" w:line="237" w:lineRule="exact"/>
              <w:ind w:left="86"/>
            </w:pPr>
            <w:r>
              <w:rPr>
                <w:color w:val="5F6A72"/>
                <w:spacing w:val="-6"/>
                <w:position w:val="1"/>
              </w:rPr>
              <w:t>189</w:t>
            </w:r>
          </w:p>
        </w:tc>
      </w:tr>
      <w:tr w14:paraId="062DD4A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3914" w:type="dxa"/>
            <w:tcBorders>
              <w:left w:val="nil"/>
              <w:bottom w:val="nil"/>
            </w:tcBorders>
            <w:vAlign w:val="top"/>
          </w:tcPr>
          <w:p w14:paraId="55A7D108">
            <w:pPr>
              <w:pStyle w:val="8"/>
              <w:spacing w:before="65" w:line="234" w:lineRule="auto"/>
              <w:ind w:left="18"/>
            </w:pPr>
            <w:r>
              <w:rPr>
                <w:color w:val="2A8ABF"/>
                <w:spacing w:val="-10"/>
              </w:rPr>
              <w:t>Luján de</w:t>
            </w:r>
            <w:r>
              <w:rPr>
                <w:color w:val="2A8ABF"/>
                <w:spacing w:val="-4"/>
              </w:rPr>
              <w:t xml:space="preserve"> </w:t>
            </w:r>
            <w:r>
              <w:rPr>
                <w:color w:val="2A8ABF"/>
                <w:spacing w:val="-10"/>
              </w:rPr>
              <w:t>Cuyo</w:t>
            </w:r>
            <w:r>
              <w:rPr>
                <w:color w:val="2A8ABF"/>
                <w:spacing w:val="-9"/>
              </w:rPr>
              <w:t xml:space="preserve"> </w:t>
            </w:r>
            <w:r>
              <w:rPr>
                <w:color w:val="2A8ABF"/>
                <w:spacing w:val="-10"/>
              </w:rPr>
              <w:t>Complex</w:t>
            </w:r>
          </w:p>
        </w:tc>
        <w:tc>
          <w:tcPr>
            <w:tcW w:w="2369" w:type="dxa"/>
            <w:tcBorders>
              <w:bottom w:val="nil"/>
              <w:right w:val="nil"/>
            </w:tcBorders>
            <w:vAlign w:val="top"/>
          </w:tcPr>
          <w:p w14:paraId="6D24FA01">
            <w:pPr>
              <w:pStyle w:val="8"/>
              <w:spacing w:before="65" w:line="238" w:lineRule="exact"/>
              <w:ind w:left="86"/>
            </w:pPr>
            <w:r>
              <w:rPr>
                <w:color w:val="5F6A72"/>
                <w:spacing w:val="-8"/>
                <w:position w:val="1"/>
              </w:rPr>
              <w:t>Downstream</w:t>
            </w:r>
          </w:p>
        </w:tc>
        <w:tc>
          <w:tcPr>
            <w:tcW w:w="3921" w:type="dxa"/>
            <w:tcBorders>
              <w:left w:val="nil"/>
              <w:bottom w:val="nil"/>
              <w:right w:val="nil"/>
            </w:tcBorders>
            <w:vAlign w:val="top"/>
          </w:tcPr>
          <w:p w14:paraId="5FB1FE31">
            <w:pPr>
              <w:pStyle w:val="8"/>
              <w:spacing w:before="65" w:line="237" w:lineRule="exact"/>
              <w:ind w:left="86"/>
            </w:pPr>
            <w:r>
              <w:rPr>
                <w:color w:val="5F6A72"/>
                <w:spacing w:val="-7"/>
                <w:position w:val="1"/>
              </w:rPr>
              <w:t>105.5</w:t>
            </w:r>
          </w:p>
        </w:tc>
      </w:tr>
    </w:tbl>
    <w:p w14:paraId="4FAC42C3">
      <w:pPr>
        <w:pStyle w:val="4"/>
        <w:spacing w:before="182" w:line="173" w:lineRule="auto"/>
        <w:ind w:left="368"/>
        <w:rPr>
          <w:sz w:val="15"/>
          <w:szCs w:val="15"/>
        </w:rPr>
      </w:pPr>
      <w:r>
        <w:rPr>
          <w:i/>
          <w:iCs/>
          <w:color w:val="333333"/>
          <w:spacing w:val="-5"/>
          <w:w w:val="86"/>
          <w:sz w:val="15"/>
          <w:szCs w:val="15"/>
        </w:rPr>
        <w:t>Source:</w:t>
      </w:r>
      <w:r>
        <w:rPr>
          <w:i/>
          <w:iCs/>
          <w:color w:val="333333"/>
          <w:spacing w:val="3"/>
          <w:sz w:val="15"/>
          <w:szCs w:val="15"/>
        </w:rPr>
        <w:t xml:space="preserve"> </w:t>
      </w:r>
      <w:r>
        <w:rPr>
          <w:i/>
          <w:iCs/>
          <w:color w:val="333333"/>
          <w:spacing w:val="-5"/>
          <w:w w:val="86"/>
          <w:sz w:val="15"/>
          <w:szCs w:val="15"/>
        </w:rPr>
        <w:t>YPF, BMI</w:t>
      </w:r>
    </w:p>
    <w:p w14:paraId="79820733">
      <w:pPr>
        <w:pStyle w:val="4"/>
        <w:spacing w:line="262" w:lineRule="auto"/>
      </w:pPr>
    </w:p>
    <w:p w14:paraId="0EB017E4">
      <w:pPr>
        <w:pStyle w:val="4"/>
        <w:spacing w:before="70" w:line="234" w:lineRule="auto"/>
        <w:ind w:left="427"/>
        <w:rPr>
          <w:sz w:val="24"/>
          <w:szCs w:val="24"/>
        </w:rPr>
      </w:pPr>
      <w:r>
        <w:drawing>
          <wp:anchor distT="0" distB="0" distL="0" distR="0" simplePos="0" relativeHeight="251952128" behindDoc="0" locked="0" layoutInCell="1" allowOverlap="1">
            <wp:simplePos x="0" y="0"/>
            <wp:positionH relativeFrom="column">
              <wp:posOffset>227965</wp:posOffset>
            </wp:positionH>
            <wp:positionV relativeFrom="paragraph">
              <wp:posOffset>1401445</wp:posOffset>
            </wp:positionV>
            <wp:extent cx="6480175" cy="6985"/>
            <wp:effectExtent l="0" t="0" r="0" b="0"/>
            <wp:wrapNone/>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114"/>
                    <a:stretch>
                      <a:fillRect/>
                    </a:stretch>
                  </pic:blipFill>
                  <pic:spPr>
                    <a:xfrm>
                      <a:off x="0" y="0"/>
                      <a:ext cx="6479999" cy="7143"/>
                    </a:xfrm>
                    <a:prstGeom prst="rect">
                      <a:avLst/>
                    </a:prstGeom>
                  </pic:spPr>
                </pic:pic>
              </a:graphicData>
            </a:graphic>
          </wp:anchor>
        </w:drawing>
      </w:r>
      <w:r>
        <w:rPr>
          <w:color w:val="174174"/>
          <w:spacing w:val="-16"/>
          <w:sz w:val="24"/>
          <w:szCs w:val="24"/>
        </w:rPr>
        <w:t>Key Financial Data, ARSmn</w:t>
      </w:r>
    </w:p>
    <w:p w14:paraId="22AD862D">
      <w:pPr>
        <w:spacing w:line="42"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961"/>
        <w:gridCol w:w="1961"/>
        <w:gridCol w:w="3095"/>
        <w:gridCol w:w="3187"/>
      </w:tblGrid>
      <w:tr w14:paraId="60464C4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1961" w:type="dxa"/>
            <w:tcBorders>
              <w:left w:val="nil"/>
            </w:tcBorders>
            <w:vAlign w:val="top"/>
          </w:tcPr>
          <w:p w14:paraId="0311F0F9">
            <w:pPr>
              <w:pStyle w:val="8"/>
              <w:rPr>
                <w:sz w:val="21"/>
              </w:rPr>
            </w:pPr>
          </w:p>
        </w:tc>
        <w:tc>
          <w:tcPr>
            <w:tcW w:w="1961" w:type="dxa"/>
            <w:tcBorders>
              <w:right w:val="nil"/>
            </w:tcBorders>
            <w:vAlign w:val="top"/>
          </w:tcPr>
          <w:p w14:paraId="077BFFAC">
            <w:pPr>
              <w:pStyle w:val="8"/>
              <w:spacing w:before="113" w:line="185" w:lineRule="auto"/>
              <w:ind w:left="1500"/>
            </w:pPr>
            <w:r>
              <w:rPr>
                <w:b/>
                <w:bCs/>
                <w:color w:val="5F6A72"/>
                <w:spacing w:val="-10"/>
              </w:rPr>
              <w:t>FY22</w:t>
            </w:r>
          </w:p>
        </w:tc>
        <w:tc>
          <w:tcPr>
            <w:tcW w:w="3095" w:type="dxa"/>
            <w:tcBorders>
              <w:left w:val="nil"/>
              <w:right w:val="nil"/>
            </w:tcBorders>
            <w:vAlign w:val="top"/>
          </w:tcPr>
          <w:p w14:paraId="0BD41287">
            <w:pPr>
              <w:pStyle w:val="8"/>
              <w:spacing w:before="113" w:line="184" w:lineRule="auto"/>
              <w:ind w:left="2642"/>
            </w:pPr>
            <w:r>
              <w:rPr>
                <w:b/>
                <w:bCs/>
                <w:color w:val="5F6A72"/>
                <w:spacing w:val="-10"/>
              </w:rPr>
              <w:t>FY23</w:t>
            </w:r>
          </w:p>
        </w:tc>
        <w:tc>
          <w:tcPr>
            <w:tcW w:w="3187" w:type="dxa"/>
            <w:tcBorders>
              <w:left w:val="nil"/>
              <w:right w:val="nil"/>
            </w:tcBorders>
            <w:vAlign w:val="top"/>
          </w:tcPr>
          <w:p w14:paraId="100D550A">
            <w:pPr>
              <w:pStyle w:val="8"/>
              <w:spacing w:before="113" w:line="185" w:lineRule="auto"/>
              <w:ind w:left="2734"/>
            </w:pPr>
            <w:r>
              <w:rPr>
                <w:b/>
                <w:bCs/>
                <w:color w:val="5F6A72"/>
                <w:spacing w:val="-9"/>
                <w:w w:val="99"/>
              </w:rPr>
              <w:t>FY24</w:t>
            </w:r>
          </w:p>
        </w:tc>
      </w:tr>
      <w:tr w14:paraId="32BBF9E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61" w:type="dxa"/>
            <w:tcBorders>
              <w:left w:val="nil"/>
            </w:tcBorders>
            <w:vAlign w:val="top"/>
          </w:tcPr>
          <w:p w14:paraId="485543F4">
            <w:pPr>
              <w:pStyle w:val="8"/>
              <w:spacing w:before="65" w:line="237" w:lineRule="exact"/>
              <w:ind w:left="18"/>
            </w:pPr>
            <w:r>
              <w:rPr>
                <w:color w:val="2A8ABF"/>
                <w:spacing w:val="-9"/>
                <w:position w:val="1"/>
              </w:rPr>
              <w:t>Net</w:t>
            </w:r>
            <w:r>
              <w:rPr>
                <w:color w:val="2A8ABF"/>
                <w:spacing w:val="-11"/>
                <w:position w:val="1"/>
              </w:rPr>
              <w:t xml:space="preserve"> </w:t>
            </w:r>
            <w:r>
              <w:rPr>
                <w:color w:val="2A8ABF"/>
                <w:spacing w:val="-9"/>
                <w:position w:val="1"/>
              </w:rPr>
              <w:t>sales</w:t>
            </w:r>
          </w:p>
        </w:tc>
        <w:tc>
          <w:tcPr>
            <w:tcW w:w="1961" w:type="dxa"/>
            <w:tcBorders>
              <w:right w:val="nil"/>
            </w:tcBorders>
            <w:vAlign w:val="top"/>
          </w:tcPr>
          <w:p w14:paraId="0D726F8F">
            <w:pPr>
              <w:pStyle w:val="8"/>
              <w:spacing w:before="65" w:line="214" w:lineRule="exact"/>
              <w:ind w:left="1135"/>
            </w:pPr>
            <w:r>
              <w:rPr>
                <w:color w:val="5F6A72"/>
                <w:spacing w:val="-6"/>
                <w:position w:val="1"/>
              </w:rPr>
              <w:t>3,774,415</w:t>
            </w:r>
          </w:p>
        </w:tc>
        <w:tc>
          <w:tcPr>
            <w:tcW w:w="3095" w:type="dxa"/>
            <w:tcBorders>
              <w:left w:val="nil"/>
              <w:right w:val="nil"/>
            </w:tcBorders>
            <w:vAlign w:val="top"/>
          </w:tcPr>
          <w:p w14:paraId="34E5F7AC">
            <w:pPr>
              <w:pStyle w:val="8"/>
              <w:spacing w:before="65" w:line="214" w:lineRule="exact"/>
              <w:ind w:left="2186"/>
            </w:pPr>
            <w:r>
              <w:rPr>
                <w:color w:val="5F6A72"/>
                <w:spacing w:val="-6"/>
                <w:position w:val="1"/>
              </w:rPr>
              <w:t>14,647,287</w:t>
            </w:r>
          </w:p>
        </w:tc>
        <w:tc>
          <w:tcPr>
            <w:tcW w:w="3187" w:type="dxa"/>
            <w:tcBorders>
              <w:left w:val="nil"/>
              <w:right w:val="nil"/>
            </w:tcBorders>
            <w:vAlign w:val="top"/>
          </w:tcPr>
          <w:p w14:paraId="7A80CACE">
            <w:pPr>
              <w:pStyle w:val="8"/>
              <w:spacing w:before="65" w:line="214" w:lineRule="exact"/>
              <w:ind w:left="2274"/>
            </w:pPr>
            <w:r>
              <w:rPr>
                <w:color w:val="5F6A72"/>
                <w:spacing w:val="-6"/>
                <w:position w:val="1"/>
              </w:rPr>
              <w:t>20,523,893</w:t>
            </w:r>
          </w:p>
        </w:tc>
      </w:tr>
      <w:tr w14:paraId="0C99AB2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961" w:type="dxa"/>
            <w:tcBorders>
              <w:left w:val="nil"/>
            </w:tcBorders>
            <w:shd w:val="clear" w:color="auto" w:fill="EAF9FF"/>
            <w:vAlign w:val="top"/>
          </w:tcPr>
          <w:p w14:paraId="5BE2B0EC">
            <w:pPr>
              <w:pStyle w:val="8"/>
              <w:spacing w:before="65" w:line="239" w:lineRule="exact"/>
              <w:ind w:left="18"/>
            </w:pPr>
            <w:r>
              <w:rPr>
                <w:color w:val="2A8ABF"/>
                <w:spacing w:val="-19"/>
                <w:position w:val="1"/>
              </w:rPr>
              <w:t>EBITDA</w:t>
            </w:r>
          </w:p>
        </w:tc>
        <w:tc>
          <w:tcPr>
            <w:tcW w:w="1961" w:type="dxa"/>
            <w:tcBorders>
              <w:right w:val="nil"/>
            </w:tcBorders>
            <w:shd w:val="clear" w:color="auto" w:fill="EAF9FF"/>
            <w:vAlign w:val="top"/>
          </w:tcPr>
          <w:p w14:paraId="1DE71DFC">
            <w:pPr>
              <w:pStyle w:val="8"/>
              <w:spacing w:before="65" w:line="214" w:lineRule="exact"/>
              <w:ind w:left="1273"/>
            </w:pPr>
            <w:r>
              <w:rPr>
                <w:color w:val="5F6A72"/>
                <w:spacing w:val="-6"/>
                <w:position w:val="1"/>
              </w:rPr>
              <w:t>993,011</w:t>
            </w:r>
          </w:p>
        </w:tc>
        <w:tc>
          <w:tcPr>
            <w:tcW w:w="3095" w:type="dxa"/>
            <w:tcBorders>
              <w:left w:val="nil"/>
              <w:right w:val="nil"/>
            </w:tcBorders>
            <w:shd w:val="clear" w:color="auto" w:fill="EAF9FF"/>
            <w:vAlign w:val="top"/>
          </w:tcPr>
          <w:p w14:paraId="13BD0DAE">
            <w:pPr>
              <w:pStyle w:val="8"/>
              <w:spacing w:before="65" w:line="214" w:lineRule="exact"/>
              <w:ind w:left="2276"/>
            </w:pPr>
            <w:r>
              <w:rPr>
                <w:color w:val="5F6A72"/>
                <w:spacing w:val="-6"/>
                <w:position w:val="1"/>
              </w:rPr>
              <w:t>3,433,579</w:t>
            </w:r>
          </w:p>
        </w:tc>
        <w:tc>
          <w:tcPr>
            <w:tcW w:w="3187" w:type="dxa"/>
            <w:tcBorders>
              <w:left w:val="nil"/>
              <w:right w:val="nil"/>
            </w:tcBorders>
            <w:shd w:val="clear" w:color="auto" w:fill="EAF9FF"/>
            <w:vAlign w:val="top"/>
          </w:tcPr>
          <w:p w14:paraId="2F6B9623">
            <w:pPr>
              <w:pStyle w:val="8"/>
              <w:spacing w:before="65" w:line="214" w:lineRule="exact"/>
              <w:ind w:left="2368"/>
            </w:pPr>
            <w:r>
              <w:rPr>
                <w:color w:val="5F6A72"/>
                <w:spacing w:val="-6"/>
                <w:position w:val="1"/>
              </w:rPr>
              <w:t>4,950,925</w:t>
            </w:r>
          </w:p>
        </w:tc>
      </w:tr>
      <w:tr w14:paraId="61FE8C1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600" w:hRule="atLeast"/>
        </w:trPr>
        <w:tc>
          <w:tcPr>
            <w:tcW w:w="1961" w:type="dxa"/>
            <w:tcBorders>
              <w:left w:val="nil"/>
              <w:bottom w:val="nil"/>
            </w:tcBorders>
            <w:vAlign w:val="top"/>
          </w:tcPr>
          <w:p w14:paraId="65FAE2B5">
            <w:pPr>
              <w:pStyle w:val="8"/>
              <w:spacing w:before="201" w:line="237" w:lineRule="exact"/>
              <w:ind w:left="18"/>
            </w:pPr>
            <w:r>
              <w:rPr>
                <w:color w:val="2A8ABF"/>
                <w:spacing w:val="-6"/>
                <w:position w:val="1"/>
              </w:rPr>
              <w:t>Net Income</w:t>
            </w:r>
          </w:p>
        </w:tc>
        <w:tc>
          <w:tcPr>
            <w:tcW w:w="1961" w:type="dxa"/>
            <w:tcBorders>
              <w:bottom w:val="nil"/>
              <w:right w:val="nil"/>
            </w:tcBorders>
            <w:vAlign w:val="top"/>
          </w:tcPr>
          <w:p w14:paraId="759EC8B9">
            <w:pPr>
              <w:pStyle w:val="8"/>
              <w:spacing w:before="201" w:line="214" w:lineRule="exact"/>
              <w:ind w:left="1269"/>
            </w:pPr>
            <w:r>
              <w:rPr>
                <w:color w:val="5F6A72"/>
                <w:spacing w:val="-5"/>
                <w:position w:val="1"/>
              </w:rPr>
              <w:t>448,334</w:t>
            </w:r>
          </w:p>
        </w:tc>
        <w:tc>
          <w:tcPr>
            <w:tcW w:w="3095" w:type="dxa"/>
            <w:tcBorders>
              <w:left w:val="nil"/>
              <w:bottom w:val="nil"/>
              <w:right w:val="nil"/>
            </w:tcBorders>
            <w:vAlign w:val="top"/>
          </w:tcPr>
          <w:p w14:paraId="54F97FF0">
            <w:pPr>
              <w:pStyle w:val="8"/>
              <w:spacing w:before="201" w:line="214" w:lineRule="exact"/>
              <w:ind w:left="2222"/>
            </w:pPr>
            <w:r>
              <w:rPr>
                <w:color w:val="5F6A72"/>
                <w:spacing w:val="-6"/>
                <w:position w:val="1"/>
              </w:rPr>
              <w:t>-1,110,117</w:t>
            </w:r>
          </w:p>
        </w:tc>
        <w:tc>
          <w:tcPr>
            <w:tcW w:w="3187" w:type="dxa"/>
            <w:tcBorders>
              <w:left w:val="nil"/>
              <w:bottom w:val="nil"/>
              <w:right w:val="nil"/>
            </w:tcBorders>
            <w:vAlign w:val="top"/>
          </w:tcPr>
          <w:p w14:paraId="68A23452">
            <w:pPr>
              <w:pStyle w:val="8"/>
              <w:spacing w:before="201" w:line="214" w:lineRule="exact"/>
              <w:ind w:left="2371"/>
            </w:pPr>
            <w:r>
              <w:rPr>
                <w:color w:val="5F6A72"/>
                <w:spacing w:val="-6"/>
                <w:position w:val="1"/>
              </w:rPr>
              <w:t>2,497,802</w:t>
            </w:r>
          </w:p>
        </w:tc>
      </w:tr>
    </w:tbl>
    <w:p w14:paraId="2FD1EC0F">
      <w:pPr>
        <w:pStyle w:val="4"/>
        <w:spacing w:before="182" w:line="173" w:lineRule="auto"/>
        <w:ind w:left="368"/>
        <w:rPr>
          <w:sz w:val="15"/>
          <w:szCs w:val="15"/>
        </w:rPr>
      </w:pPr>
      <w:r>
        <w:rPr>
          <w:i/>
          <w:iCs/>
          <w:color w:val="333333"/>
          <w:spacing w:val="-5"/>
          <w:w w:val="86"/>
          <w:sz w:val="15"/>
          <w:szCs w:val="15"/>
        </w:rPr>
        <w:t>Source:</w:t>
      </w:r>
      <w:r>
        <w:rPr>
          <w:i/>
          <w:iCs/>
          <w:color w:val="333333"/>
          <w:spacing w:val="3"/>
          <w:sz w:val="15"/>
          <w:szCs w:val="15"/>
        </w:rPr>
        <w:t xml:space="preserve"> </w:t>
      </w:r>
      <w:r>
        <w:rPr>
          <w:i/>
          <w:iCs/>
          <w:color w:val="333333"/>
          <w:spacing w:val="-5"/>
          <w:w w:val="86"/>
          <w:sz w:val="15"/>
          <w:szCs w:val="15"/>
        </w:rPr>
        <w:t>YPF, BMI</w:t>
      </w:r>
    </w:p>
    <w:p w14:paraId="3204A718">
      <w:pPr>
        <w:spacing w:line="173" w:lineRule="auto"/>
        <w:rPr>
          <w:sz w:val="15"/>
          <w:szCs w:val="15"/>
        </w:rPr>
        <w:sectPr>
          <w:footerReference r:id="rId81" w:type="default"/>
          <w:pgSz w:w="11906" w:h="16838"/>
          <w:pgMar w:top="400" w:right="490" w:bottom="883" w:left="490" w:header="0" w:footer="0" w:gutter="0"/>
          <w:cols w:space="720" w:num="1"/>
        </w:sectPr>
      </w:pPr>
    </w:p>
    <w:p w14:paraId="1ED302F2">
      <w:pPr>
        <w:pStyle w:val="4"/>
        <w:spacing w:before="73" w:line="241" w:lineRule="auto"/>
        <w:ind w:left="7372"/>
        <w:rPr>
          <w:sz w:val="20"/>
          <w:szCs w:val="20"/>
        </w:rPr>
      </w:pPr>
      <w:r>
        <w:drawing>
          <wp:anchor distT="0" distB="0" distL="0" distR="0" simplePos="0" relativeHeight="25195417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55200" behindDoc="0" locked="0" layoutInCell="0" allowOverlap="1">
            <wp:simplePos x="0" y="0"/>
            <wp:positionH relativeFrom="page">
              <wp:posOffset>311150</wp:posOffset>
            </wp:positionH>
            <wp:positionV relativeFrom="page">
              <wp:posOffset>0</wp:posOffset>
            </wp:positionV>
            <wp:extent cx="19050" cy="814070"/>
            <wp:effectExtent l="0" t="0" r="0" b="0"/>
            <wp:wrapNone/>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D77BAC6">
      <w:pPr>
        <w:pStyle w:val="4"/>
        <w:spacing w:line="278" w:lineRule="auto"/>
      </w:pPr>
    </w:p>
    <w:p w14:paraId="65011247">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BB16B7B">
      <w:pPr>
        <w:pStyle w:val="4"/>
        <w:spacing w:line="428" w:lineRule="auto"/>
      </w:pPr>
    </w:p>
    <w:p w14:paraId="733C7C25">
      <w:pPr>
        <w:pStyle w:val="4"/>
        <w:spacing w:before="86" w:line="234" w:lineRule="auto"/>
        <w:ind w:left="374"/>
        <w:outlineLvl w:val="0"/>
        <w:rPr>
          <w:sz w:val="30"/>
          <w:szCs w:val="30"/>
        </w:rPr>
      </w:pPr>
      <w:bookmarkStart w:id="36" w:name="bookmark25"/>
      <w:bookmarkEnd w:id="36"/>
      <w:r>
        <w:rPr>
          <w:color w:val="2A8ABF"/>
          <w:spacing w:val="-12"/>
          <w:sz w:val="30"/>
          <w:szCs w:val="30"/>
        </w:rPr>
        <w:t>Chevron</w:t>
      </w:r>
      <w:r>
        <w:rPr>
          <w:color w:val="2A8ABF"/>
          <w:spacing w:val="-21"/>
          <w:sz w:val="30"/>
          <w:szCs w:val="30"/>
        </w:rPr>
        <w:t xml:space="preserve"> </w:t>
      </w:r>
      <w:r>
        <w:rPr>
          <w:color w:val="2A8ABF"/>
          <w:spacing w:val="-12"/>
          <w:sz w:val="30"/>
          <w:szCs w:val="30"/>
        </w:rPr>
        <w:t>Argentina</w:t>
      </w:r>
    </w:p>
    <w:p w14:paraId="60B60323">
      <w:pPr>
        <w:pStyle w:val="4"/>
        <w:spacing w:line="311" w:lineRule="auto"/>
      </w:pPr>
    </w:p>
    <w:p w14:paraId="2DE3D48F">
      <w:pPr>
        <w:pStyle w:val="4"/>
        <w:spacing w:before="57" w:line="182" w:lineRule="auto"/>
        <w:ind w:left="375"/>
        <w:rPr>
          <w:sz w:val="20"/>
          <w:szCs w:val="20"/>
        </w:rPr>
      </w:pPr>
      <w:r>
        <w:rPr>
          <w:b/>
          <w:bCs/>
          <w:color w:val="57585A"/>
          <w:spacing w:val="-8"/>
          <w:sz w:val="20"/>
          <w:szCs w:val="20"/>
        </w:rPr>
        <w:t>Latest Updates</w:t>
      </w:r>
    </w:p>
    <w:p w14:paraId="7CF714A5">
      <w:pPr>
        <w:pStyle w:val="4"/>
        <w:spacing w:line="288" w:lineRule="auto"/>
      </w:pPr>
    </w:p>
    <w:p w14:paraId="7C0ABAB7">
      <w:pPr>
        <w:pStyle w:val="4"/>
        <w:spacing w:before="58" w:line="234" w:lineRule="auto"/>
        <w:ind w:left="357"/>
        <w:rPr>
          <w:sz w:val="20"/>
          <w:szCs w:val="20"/>
        </w:rPr>
      </w:pPr>
      <w:r>
        <w:rPr>
          <w:color w:val="33CCFF"/>
          <w:spacing w:val="-10"/>
          <w:sz w:val="20"/>
          <w:szCs w:val="20"/>
        </w:rPr>
        <w:t xml:space="preserve">•   </w:t>
      </w:r>
      <w:r>
        <w:rPr>
          <w:color w:val="57585A"/>
          <w:spacing w:val="-10"/>
          <w:sz w:val="20"/>
          <w:szCs w:val="20"/>
        </w:rPr>
        <w:t>We note a robust growth in Chevron's oil and gas produ</w:t>
      </w:r>
      <w:r>
        <w:rPr>
          <w:color w:val="57585A"/>
          <w:spacing w:val="-11"/>
          <w:sz w:val="20"/>
          <w:szCs w:val="20"/>
        </w:rPr>
        <w:t>ction in</w:t>
      </w:r>
      <w:r>
        <w:rPr>
          <w:color w:val="57585A"/>
          <w:spacing w:val="-16"/>
          <w:sz w:val="20"/>
          <w:szCs w:val="20"/>
        </w:rPr>
        <w:t xml:space="preserve"> </w:t>
      </w:r>
      <w:r>
        <w:rPr>
          <w:color w:val="57585A"/>
          <w:spacing w:val="-11"/>
          <w:sz w:val="20"/>
          <w:szCs w:val="20"/>
        </w:rPr>
        <w:t>Argentina, primarily unconventional output. Chevron</w:t>
      </w:r>
      <w:r>
        <w:rPr>
          <w:color w:val="57585A"/>
          <w:spacing w:val="-2"/>
          <w:sz w:val="20"/>
          <w:szCs w:val="20"/>
        </w:rPr>
        <w:t xml:space="preserve"> </w:t>
      </w:r>
      <w:r>
        <w:rPr>
          <w:color w:val="57585A"/>
          <w:spacing w:val="-11"/>
          <w:sz w:val="20"/>
          <w:szCs w:val="20"/>
        </w:rPr>
        <w:t>has</w:t>
      </w:r>
    </w:p>
    <w:p w14:paraId="4D2E37DF">
      <w:pPr>
        <w:pStyle w:val="4"/>
        <w:spacing w:before="56" w:line="262" w:lineRule="auto"/>
        <w:ind w:left="604" w:right="440" w:firstLine="9"/>
        <w:rPr>
          <w:sz w:val="20"/>
          <w:szCs w:val="20"/>
        </w:rPr>
      </w:pPr>
      <w:r>
        <w:rPr>
          <w:color w:val="57585A"/>
          <w:spacing w:val="-11"/>
          <w:sz w:val="20"/>
          <w:szCs w:val="20"/>
        </w:rPr>
        <w:t>observed the most robust increase in shale gas production form all majors, raising output by 723% in</w:t>
      </w:r>
      <w:r>
        <w:rPr>
          <w:color w:val="57585A"/>
          <w:spacing w:val="-15"/>
          <w:sz w:val="20"/>
          <w:szCs w:val="20"/>
        </w:rPr>
        <w:t xml:space="preserve"> </w:t>
      </w:r>
      <w:r>
        <w:rPr>
          <w:color w:val="57585A"/>
          <w:spacing w:val="-11"/>
          <w:sz w:val="20"/>
          <w:szCs w:val="20"/>
        </w:rPr>
        <w:t>August 20</w:t>
      </w:r>
      <w:r>
        <w:rPr>
          <w:color w:val="57585A"/>
          <w:spacing w:val="-12"/>
          <w:sz w:val="20"/>
          <w:szCs w:val="20"/>
        </w:rPr>
        <w:t>24 compared to</w:t>
      </w:r>
      <w:r>
        <w:rPr>
          <w:color w:val="57585A"/>
          <w:sz w:val="20"/>
          <w:szCs w:val="20"/>
        </w:rPr>
        <w:t xml:space="preserve"> </w:t>
      </w:r>
      <w:r>
        <w:rPr>
          <w:color w:val="57585A"/>
          <w:spacing w:val="-11"/>
          <w:sz w:val="20"/>
          <w:szCs w:val="20"/>
        </w:rPr>
        <w:t>volumes in</w:t>
      </w:r>
      <w:r>
        <w:rPr>
          <w:color w:val="57585A"/>
          <w:spacing w:val="-15"/>
          <w:sz w:val="20"/>
          <w:szCs w:val="20"/>
        </w:rPr>
        <w:t xml:space="preserve"> </w:t>
      </w:r>
      <w:r>
        <w:rPr>
          <w:color w:val="57585A"/>
          <w:spacing w:val="-11"/>
          <w:sz w:val="20"/>
          <w:szCs w:val="20"/>
        </w:rPr>
        <w:t>August 2023. That said, Chevron remains one</w:t>
      </w:r>
      <w:r>
        <w:rPr>
          <w:color w:val="57585A"/>
          <w:spacing w:val="-12"/>
          <w:sz w:val="20"/>
          <w:szCs w:val="20"/>
        </w:rPr>
        <w:t xml:space="preserve"> of</w:t>
      </w:r>
      <w:r>
        <w:rPr>
          <w:color w:val="57585A"/>
          <w:spacing w:val="-21"/>
          <w:sz w:val="20"/>
          <w:szCs w:val="20"/>
        </w:rPr>
        <w:t xml:space="preserve"> </w:t>
      </w:r>
      <w:r>
        <w:rPr>
          <w:color w:val="57585A"/>
          <w:spacing w:val="-12"/>
          <w:sz w:val="20"/>
          <w:szCs w:val="20"/>
        </w:rPr>
        <w:t>the smallest producers of unconventional gas in</w:t>
      </w:r>
      <w:r>
        <w:rPr>
          <w:color w:val="57585A"/>
          <w:spacing w:val="-16"/>
          <w:sz w:val="20"/>
          <w:szCs w:val="20"/>
        </w:rPr>
        <w:t xml:space="preserve"> </w:t>
      </w:r>
      <w:r>
        <w:rPr>
          <w:color w:val="57585A"/>
          <w:spacing w:val="-12"/>
          <w:sz w:val="20"/>
          <w:szCs w:val="20"/>
        </w:rPr>
        <w:t>Argenina overall.</w:t>
      </w:r>
    </w:p>
    <w:p w14:paraId="57F030D7">
      <w:pPr>
        <w:pStyle w:val="4"/>
        <w:spacing w:before="57" w:line="262" w:lineRule="auto"/>
        <w:ind w:left="618" w:right="604" w:hanging="261"/>
        <w:rPr>
          <w:sz w:val="20"/>
          <w:szCs w:val="20"/>
        </w:rPr>
      </w:pPr>
      <w:r>
        <w:rPr>
          <w:color w:val="33CCFF"/>
          <w:spacing w:val="-11"/>
          <w:sz w:val="20"/>
          <w:szCs w:val="20"/>
        </w:rPr>
        <w:t xml:space="preserve">•   </w:t>
      </w:r>
      <w:r>
        <w:rPr>
          <w:color w:val="57585A"/>
          <w:spacing w:val="-11"/>
          <w:sz w:val="20"/>
          <w:szCs w:val="20"/>
        </w:rPr>
        <w:t>Chevron remains a relativ</w:t>
      </w:r>
      <w:r>
        <w:rPr>
          <w:color w:val="57585A"/>
          <w:spacing w:val="-12"/>
          <w:sz w:val="20"/>
          <w:szCs w:val="20"/>
        </w:rPr>
        <w:t>ely small oil and gas producer in</w:t>
      </w:r>
      <w:r>
        <w:rPr>
          <w:color w:val="57585A"/>
          <w:spacing w:val="-16"/>
          <w:sz w:val="20"/>
          <w:szCs w:val="20"/>
        </w:rPr>
        <w:t xml:space="preserve"> </w:t>
      </w:r>
      <w:r>
        <w:rPr>
          <w:color w:val="57585A"/>
          <w:spacing w:val="-12"/>
          <w:sz w:val="20"/>
          <w:szCs w:val="20"/>
        </w:rPr>
        <w:t>Argentina, focused on unconventional assets.</w:t>
      </w:r>
      <w:r>
        <w:rPr>
          <w:color w:val="57585A"/>
          <w:spacing w:val="-15"/>
          <w:sz w:val="20"/>
          <w:szCs w:val="20"/>
        </w:rPr>
        <w:t xml:space="preserve"> </w:t>
      </w:r>
      <w:r>
        <w:rPr>
          <w:color w:val="57585A"/>
          <w:spacing w:val="-12"/>
          <w:sz w:val="20"/>
          <w:szCs w:val="20"/>
        </w:rPr>
        <w:t>As</w:t>
      </w:r>
      <w:r>
        <w:rPr>
          <w:color w:val="57585A"/>
          <w:spacing w:val="-6"/>
          <w:sz w:val="20"/>
          <w:szCs w:val="20"/>
        </w:rPr>
        <w:t xml:space="preserve"> </w:t>
      </w:r>
      <w:r>
        <w:rPr>
          <w:color w:val="57585A"/>
          <w:spacing w:val="-12"/>
          <w:sz w:val="20"/>
          <w:szCs w:val="20"/>
        </w:rPr>
        <w:t>of 2023, Chevron's</w:t>
      </w:r>
      <w:r>
        <w:rPr>
          <w:color w:val="57585A"/>
          <w:sz w:val="20"/>
          <w:szCs w:val="20"/>
        </w:rPr>
        <w:t xml:space="preserve"> </w:t>
      </w:r>
      <w:r>
        <w:rPr>
          <w:color w:val="57585A"/>
          <w:spacing w:val="-12"/>
          <w:sz w:val="20"/>
          <w:szCs w:val="20"/>
        </w:rPr>
        <w:t xml:space="preserve">market share in oil and gas production lingered at respectively 0.6% and 0.2%. The US </w:t>
      </w:r>
      <w:r>
        <w:rPr>
          <w:color w:val="57585A"/>
          <w:spacing w:val="-13"/>
          <w:sz w:val="20"/>
          <w:szCs w:val="20"/>
        </w:rPr>
        <w:t>major is a member of</w:t>
      </w:r>
      <w:r>
        <w:rPr>
          <w:color w:val="57585A"/>
          <w:spacing w:val="-22"/>
          <w:sz w:val="20"/>
          <w:szCs w:val="20"/>
        </w:rPr>
        <w:t xml:space="preserve"> </w:t>
      </w:r>
      <w:r>
        <w:rPr>
          <w:color w:val="57585A"/>
          <w:spacing w:val="-13"/>
          <w:sz w:val="20"/>
          <w:szCs w:val="20"/>
        </w:rPr>
        <w:t>the Oldelval</w:t>
      </w:r>
    </w:p>
    <w:p w14:paraId="5C6ACE74">
      <w:pPr>
        <w:pStyle w:val="4"/>
        <w:spacing w:before="59" w:line="231" w:lineRule="auto"/>
        <w:ind w:left="614"/>
        <w:rPr>
          <w:sz w:val="20"/>
          <w:szCs w:val="20"/>
        </w:rPr>
      </w:pPr>
      <w:r>
        <w:rPr>
          <w:color w:val="57585A"/>
          <w:spacing w:val="-9"/>
          <w:sz w:val="20"/>
          <w:szCs w:val="20"/>
        </w:rPr>
        <w:t>consortium,</w:t>
      </w:r>
      <w:r>
        <w:rPr>
          <w:color w:val="57585A"/>
          <w:spacing w:val="-15"/>
          <w:sz w:val="20"/>
          <w:szCs w:val="20"/>
        </w:rPr>
        <w:t xml:space="preserve"> </w:t>
      </w:r>
      <w:r>
        <w:rPr>
          <w:color w:val="57585A"/>
          <w:spacing w:val="-9"/>
          <w:sz w:val="20"/>
          <w:szCs w:val="20"/>
        </w:rPr>
        <w:t>which continues to expand</w:t>
      </w:r>
      <w:r>
        <w:rPr>
          <w:color w:val="57585A"/>
          <w:spacing w:val="-10"/>
          <w:sz w:val="20"/>
          <w:szCs w:val="20"/>
        </w:rPr>
        <w:t xml:space="preserve"> primarily oil midstream infrastructure,</w:t>
      </w:r>
      <w:r>
        <w:rPr>
          <w:color w:val="57585A"/>
          <w:spacing w:val="-16"/>
          <w:sz w:val="20"/>
          <w:szCs w:val="20"/>
        </w:rPr>
        <w:t xml:space="preserve"> </w:t>
      </w:r>
      <w:r>
        <w:rPr>
          <w:color w:val="57585A"/>
          <w:spacing w:val="-10"/>
          <w:sz w:val="20"/>
          <w:szCs w:val="20"/>
        </w:rPr>
        <w:t>which</w:t>
      </w:r>
      <w:r>
        <w:rPr>
          <w:color w:val="57585A"/>
          <w:spacing w:val="-15"/>
          <w:sz w:val="20"/>
          <w:szCs w:val="20"/>
        </w:rPr>
        <w:t xml:space="preserve"> </w:t>
      </w:r>
      <w:r>
        <w:rPr>
          <w:color w:val="57585A"/>
          <w:spacing w:val="-10"/>
          <w:sz w:val="20"/>
          <w:szCs w:val="20"/>
        </w:rPr>
        <w:t>will support production ramp-up.</w:t>
      </w:r>
    </w:p>
    <w:p w14:paraId="7DD26BF1">
      <w:pPr>
        <w:pStyle w:val="4"/>
        <w:spacing w:before="58" w:line="272" w:lineRule="auto"/>
        <w:ind w:left="613" w:right="490" w:hanging="256"/>
        <w:rPr>
          <w:sz w:val="20"/>
          <w:szCs w:val="20"/>
        </w:rPr>
      </w:pPr>
      <w:r>
        <w:rPr>
          <w:color w:val="33CCFF"/>
          <w:spacing w:val="-12"/>
          <w:sz w:val="20"/>
          <w:szCs w:val="20"/>
        </w:rPr>
        <w:t xml:space="preserve">•   </w:t>
      </w:r>
      <w:r>
        <w:rPr>
          <w:color w:val="57585A"/>
          <w:spacing w:val="-12"/>
          <w:sz w:val="20"/>
          <w:szCs w:val="20"/>
        </w:rPr>
        <w:t>In April 2022, Chevron was granted a new concession in the El Trapial Este block</w:t>
      </w:r>
      <w:r>
        <w:rPr>
          <w:color w:val="57585A"/>
          <w:spacing w:val="-4"/>
          <w:sz w:val="20"/>
          <w:szCs w:val="20"/>
        </w:rPr>
        <w:t xml:space="preserve"> </w:t>
      </w:r>
      <w:r>
        <w:rPr>
          <w:color w:val="57585A"/>
          <w:spacing w:val="-12"/>
          <w:sz w:val="20"/>
          <w:szCs w:val="20"/>
        </w:rPr>
        <w:t>in the V</w:t>
      </w:r>
      <w:r>
        <w:rPr>
          <w:color w:val="57585A"/>
          <w:spacing w:val="-13"/>
          <w:sz w:val="20"/>
          <w:szCs w:val="20"/>
        </w:rPr>
        <w:t>aca Muerta in April 2022. The company</w:t>
      </w:r>
      <w:r>
        <w:rPr>
          <w:color w:val="57585A"/>
          <w:sz w:val="20"/>
          <w:szCs w:val="20"/>
        </w:rPr>
        <w:t xml:space="preserve"> </w:t>
      </w:r>
      <w:r>
        <w:rPr>
          <w:color w:val="57585A"/>
          <w:spacing w:val="-11"/>
          <w:sz w:val="20"/>
          <w:szCs w:val="20"/>
        </w:rPr>
        <w:t>committed to investing USD65.7mn on five horizontal</w:t>
      </w:r>
      <w:r>
        <w:rPr>
          <w:color w:val="57585A"/>
          <w:spacing w:val="-16"/>
          <w:sz w:val="20"/>
          <w:szCs w:val="20"/>
        </w:rPr>
        <w:t xml:space="preserve"> </w:t>
      </w:r>
      <w:r>
        <w:rPr>
          <w:color w:val="57585A"/>
          <w:spacing w:val="-11"/>
          <w:sz w:val="20"/>
          <w:szCs w:val="20"/>
        </w:rPr>
        <w:t>wells and USD13mn on infrastructure o</w:t>
      </w:r>
      <w:r>
        <w:rPr>
          <w:color w:val="57585A"/>
          <w:spacing w:val="-12"/>
          <w:sz w:val="20"/>
          <w:szCs w:val="20"/>
        </w:rPr>
        <w:t>ver the next three</w:t>
      </w:r>
      <w:r>
        <w:rPr>
          <w:color w:val="57585A"/>
          <w:spacing w:val="-15"/>
          <w:sz w:val="20"/>
          <w:szCs w:val="20"/>
        </w:rPr>
        <w:t xml:space="preserve"> </w:t>
      </w:r>
      <w:r>
        <w:rPr>
          <w:color w:val="57585A"/>
          <w:spacing w:val="-12"/>
          <w:sz w:val="20"/>
          <w:szCs w:val="20"/>
        </w:rPr>
        <w:t>years. In</w:t>
      </w:r>
      <w:r>
        <w:rPr>
          <w:color w:val="57585A"/>
          <w:spacing w:val="-24"/>
          <w:sz w:val="20"/>
          <w:szCs w:val="20"/>
        </w:rPr>
        <w:t xml:space="preserve"> </w:t>
      </w:r>
      <w:r>
        <w:rPr>
          <w:color w:val="57585A"/>
          <w:spacing w:val="-12"/>
          <w:sz w:val="20"/>
          <w:szCs w:val="20"/>
        </w:rPr>
        <w:t>June</w:t>
      </w:r>
      <w:r>
        <w:rPr>
          <w:color w:val="57585A"/>
          <w:sz w:val="20"/>
          <w:szCs w:val="20"/>
        </w:rPr>
        <w:t xml:space="preserve"> </w:t>
      </w:r>
      <w:r>
        <w:rPr>
          <w:color w:val="57585A"/>
          <w:spacing w:val="-10"/>
          <w:sz w:val="20"/>
          <w:szCs w:val="20"/>
        </w:rPr>
        <w:t>2023, the US-based company</w:t>
      </w:r>
      <w:r>
        <w:rPr>
          <w:color w:val="57585A"/>
          <w:spacing w:val="-11"/>
          <w:sz w:val="20"/>
          <w:szCs w:val="20"/>
        </w:rPr>
        <w:t xml:space="preserve"> confirmed it</w:t>
      </w:r>
      <w:r>
        <w:rPr>
          <w:color w:val="57585A"/>
          <w:spacing w:val="-15"/>
          <w:sz w:val="20"/>
          <w:szCs w:val="20"/>
        </w:rPr>
        <w:t xml:space="preserve"> </w:t>
      </w:r>
      <w:r>
        <w:rPr>
          <w:color w:val="57585A"/>
          <w:spacing w:val="-11"/>
          <w:sz w:val="20"/>
          <w:szCs w:val="20"/>
        </w:rPr>
        <w:t>will pursue this project allocating USD500mn on it.</w:t>
      </w:r>
    </w:p>
    <w:p w14:paraId="6AB68F31">
      <w:pPr>
        <w:spacing w:before="59"/>
      </w:pPr>
    </w:p>
    <w:p w14:paraId="3CE4D38D">
      <w:pPr>
        <w:spacing w:before="59"/>
      </w:pPr>
    </w:p>
    <w:tbl>
      <w:tblPr>
        <w:tblStyle w:val="7"/>
        <w:tblW w:w="10199" w:type="dxa"/>
        <w:tblInd w:w="362" w:type="dxa"/>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Layout w:type="fixed"/>
        <w:tblCellMar>
          <w:top w:w="0" w:type="dxa"/>
          <w:left w:w="0" w:type="dxa"/>
          <w:bottom w:w="0" w:type="dxa"/>
          <w:right w:w="0" w:type="dxa"/>
        </w:tblCellMar>
      </w:tblPr>
      <w:tblGrid>
        <w:gridCol w:w="5099"/>
        <w:gridCol w:w="5100"/>
      </w:tblGrid>
      <w:tr w14:paraId="09898D31">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487" w:hRule="atLeast"/>
        </w:trPr>
        <w:tc>
          <w:tcPr>
            <w:tcW w:w="5099" w:type="dxa"/>
            <w:tcBorders>
              <w:bottom w:val="nil"/>
              <w:right w:val="single" w:color="D7DADB" w:sz="2" w:space="0"/>
            </w:tcBorders>
            <w:shd w:val="clear" w:color="auto" w:fill="E4F4FC"/>
            <w:vAlign w:val="top"/>
          </w:tcPr>
          <w:p w14:paraId="2E26829D">
            <w:pPr>
              <w:pStyle w:val="8"/>
              <w:spacing w:before="116" w:line="241" w:lineRule="auto"/>
              <w:ind w:left="288"/>
              <w:rPr>
                <w:sz w:val="24"/>
                <w:szCs w:val="24"/>
              </w:rPr>
            </w:pPr>
            <w:r>
              <w:rPr>
                <w:b/>
                <w:bCs/>
                <w:color w:val="174174"/>
                <w:spacing w:val="-9"/>
                <w:sz w:val="24"/>
                <w:szCs w:val="24"/>
              </w:rPr>
              <w:t>Strengths</w:t>
            </w:r>
          </w:p>
        </w:tc>
        <w:tc>
          <w:tcPr>
            <w:tcW w:w="5100" w:type="dxa"/>
            <w:tcBorders>
              <w:left w:val="single" w:color="D7DADB" w:sz="2" w:space="0"/>
              <w:bottom w:val="nil"/>
            </w:tcBorders>
            <w:shd w:val="clear" w:color="auto" w:fill="E4F4FC"/>
            <w:vAlign w:val="top"/>
          </w:tcPr>
          <w:p w14:paraId="32E5F9F8">
            <w:pPr>
              <w:pStyle w:val="8"/>
              <w:spacing w:before="116" w:line="325" w:lineRule="exact"/>
              <w:ind w:left="282"/>
              <w:rPr>
                <w:sz w:val="24"/>
                <w:szCs w:val="24"/>
              </w:rPr>
            </w:pPr>
            <w:r>
              <w:rPr>
                <w:b/>
                <w:bCs/>
                <w:color w:val="174174"/>
                <w:spacing w:val="-14"/>
                <w:position w:val="1"/>
                <w:sz w:val="24"/>
                <w:szCs w:val="24"/>
              </w:rPr>
              <w:t>Weaknesses</w:t>
            </w:r>
          </w:p>
        </w:tc>
      </w:tr>
      <w:tr w14:paraId="7BFFE024">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2531" w:hRule="atLeast"/>
        </w:trPr>
        <w:tc>
          <w:tcPr>
            <w:tcW w:w="5099" w:type="dxa"/>
            <w:tcBorders>
              <w:top w:val="nil"/>
              <w:bottom w:val="nil"/>
              <w:right w:val="single" w:color="D7DADB" w:sz="2" w:space="0"/>
            </w:tcBorders>
            <w:vAlign w:val="top"/>
          </w:tcPr>
          <w:p w14:paraId="5C55B371">
            <w:pPr>
              <w:pStyle w:val="8"/>
              <w:spacing w:before="191" w:line="234" w:lineRule="auto"/>
              <w:ind w:left="83"/>
            </w:pPr>
            <w:r>
              <w:rPr>
                <w:color w:val="33CCFF"/>
                <w:spacing w:val="-4"/>
              </w:rPr>
              <w:t xml:space="preserve">•        </w:t>
            </w:r>
            <w:r>
              <w:rPr>
                <w:color w:val="57585A"/>
                <w:spacing w:val="-4"/>
              </w:rPr>
              <w:t>Significant share of</w:t>
            </w:r>
            <w:r>
              <w:rPr>
                <w:color w:val="57585A"/>
                <w:spacing w:val="-9"/>
              </w:rPr>
              <w:t xml:space="preserve"> </w:t>
            </w:r>
            <w:r>
              <w:rPr>
                <w:color w:val="57585A"/>
                <w:spacing w:val="-4"/>
              </w:rPr>
              <w:t>domestic oil production.</w:t>
            </w:r>
          </w:p>
          <w:p w14:paraId="339F2201">
            <w:pPr>
              <w:pStyle w:val="8"/>
              <w:spacing w:before="78" w:line="279" w:lineRule="auto"/>
              <w:ind w:left="569" w:right="519" w:hanging="486"/>
            </w:pPr>
            <w:r>
              <w:rPr>
                <w:color w:val="33CCFF"/>
                <w:spacing w:val="-4"/>
              </w:rPr>
              <w:t xml:space="preserve">•        </w:t>
            </w:r>
            <w:r>
              <w:rPr>
                <w:color w:val="57585A"/>
                <w:spacing w:val="-4"/>
              </w:rPr>
              <w:t>Upstream/downstream diversification cushions it</w:t>
            </w:r>
            <w:r>
              <w:rPr>
                <w:color w:val="57585A"/>
                <w:spacing w:val="5"/>
              </w:rPr>
              <w:t xml:space="preserve"> </w:t>
            </w:r>
            <w:r>
              <w:rPr>
                <w:color w:val="57585A"/>
                <w:spacing w:val="-4"/>
              </w:rPr>
              <w:t>from</w:t>
            </w:r>
            <w:r>
              <w:rPr>
                <w:color w:val="57585A"/>
              </w:rPr>
              <w:t xml:space="preserve"> </w:t>
            </w:r>
            <w:r>
              <w:rPr>
                <w:color w:val="57585A"/>
                <w:spacing w:val="-5"/>
              </w:rPr>
              <w:t>crude price</w:t>
            </w:r>
            <w:r>
              <w:rPr>
                <w:color w:val="57585A"/>
              </w:rPr>
              <w:t xml:space="preserve"> </w:t>
            </w:r>
            <w:r>
              <w:rPr>
                <w:color w:val="57585A"/>
                <w:spacing w:val="-5"/>
              </w:rPr>
              <w:t>volatility.</w:t>
            </w:r>
          </w:p>
          <w:p w14:paraId="7B92E625">
            <w:pPr>
              <w:pStyle w:val="8"/>
              <w:spacing w:before="78" w:line="236" w:lineRule="auto"/>
              <w:ind w:left="83"/>
            </w:pPr>
            <w:r>
              <w:rPr>
                <w:color w:val="33CCFF"/>
                <w:spacing w:val="-6"/>
              </w:rPr>
              <w:t>•</w:t>
            </w:r>
            <w:r>
              <w:rPr>
                <w:color w:val="33CCFF"/>
                <w:spacing w:val="1"/>
              </w:rPr>
              <w:t xml:space="preserve">        </w:t>
            </w:r>
            <w:r>
              <w:rPr>
                <w:color w:val="57585A"/>
                <w:spacing w:val="-6"/>
              </w:rPr>
              <w:t>Good spread of</w:t>
            </w:r>
            <w:r>
              <w:rPr>
                <w:color w:val="57585A"/>
                <w:spacing w:val="-14"/>
              </w:rPr>
              <w:t xml:space="preserve"> </w:t>
            </w:r>
            <w:r>
              <w:rPr>
                <w:color w:val="57585A"/>
                <w:spacing w:val="-6"/>
              </w:rPr>
              <w:t xml:space="preserve">exploration </w:t>
            </w:r>
            <w:r>
              <w:rPr>
                <w:color w:val="57585A"/>
                <w:spacing w:val="-7"/>
              </w:rPr>
              <w:t>interests.</w:t>
            </w:r>
          </w:p>
          <w:p w14:paraId="23DF8B73">
            <w:pPr>
              <w:pStyle w:val="8"/>
              <w:spacing w:before="76" w:line="236" w:lineRule="auto"/>
              <w:ind w:left="83"/>
            </w:pPr>
            <w:r>
              <w:rPr>
                <w:color w:val="33CCFF"/>
                <w:spacing w:val="-5"/>
              </w:rPr>
              <w:t>•</w:t>
            </w:r>
            <w:r>
              <w:rPr>
                <w:color w:val="33CCFF"/>
                <w:spacing w:val="1"/>
              </w:rPr>
              <w:t xml:space="preserve">        </w:t>
            </w:r>
            <w:r>
              <w:rPr>
                <w:color w:val="57585A"/>
                <w:spacing w:val="-5"/>
              </w:rPr>
              <w:t>Share in oil transport infrastructure.</w:t>
            </w:r>
          </w:p>
          <w:p w14:paraId="3FB940C4">
            <w:pPr>
              <w:pStyle w:val="8"/>
              <w:spacing w:before="76" w:line="234" w:lineRule="auto"/>
              <w:ind w:left="83"/>
            </w:pPr>
            <w:r>
              <w:rPr>
                <w:color w:val="33CCFF"/>
                <w:spacing w:val="-6"/>
              </w:rPr>
              <w:t>•</w:t>
            </w:r>
            <w:r>
              <w:rPr>
                <w:color w:val="33CCFF"/>
                <w:spacing w:val="2"/>
              </w:rPr>
              <w:t xml:space="preserve">        </w:t>
            </w:r>
            <w:r>
              <w:rPr>
                <w:color w:val="57585A"/>
                <w:spacing w:val="-6"/>
              </w:rPr>
              <w:t>Strong presence in lubricants sector.</w:t>
            </w:r>
          </w:p>
        </w:tc>
        <w:tc>
          <w:tcPr>
            <w:tcW w:w="5100" w:type="dxa"/>
            <w:tcBorders>
              <w:top w:val="nil"/>
              <w:left w:val="single" w:color="D7DADB" w:sz="2" w:space="0"/>
              <w:bottom w:val="nil"/>
            </w:tcBorders>
            <w:vAlign w:val="top"/>
          </w:tcPr>
          <w:p w14:paraId="6E0013E4">
            <w:pPr>
              <w:pStyle w:val="8"/>
              <w:spacing w:before="191" w:line="234" w:lineRule="auto"/>
              <w:ind w:left="83"/>
            </w:pPr>
            <w:r>
              <w:rPr>
                <w:color w:val="33CCFF"/>
                <w:spacing w:val="-6"/>
              </w:rPr>
              <w:t>•</w:t>
            </w:r>
            <w:r>
              <w:rPr>
                <w:color w:val="33CCFF"/>
                <w:spacing w:val="2"/>
              </w:rPr>
              <w:t xml:space="preserve">        </w:t>
            </w:r>
            <w:r>
              <w:rPr>
                <w:color w:val="57585A"/>
                <w:spacing w:val="-6"/>
              </w:rPr>
              <w:t>No refining or fuels marketing presence.</w:t>
            </w:r>
          </w:p>
          <w:p w14:paraId="301FAB1E">
            <w:pPr>
              <w:pStyle w:val="8"/>
              <w:spacing w:before="78" w:line="236" w:lineRule="auto"/>
              <w:ind w:left="83"/>
            </w:pPr>
            <w:r>
              <w:rPr>
                <w:color w:val="33CCFF"/>
                <w:spacing w:val="-5"/>
              </w:rPr>
              <w:t>•</w:t>
            </w:r>
            <w:r>
              <w:rPr>
                <w:color w:val="33CCFF"/>
                <w:spacing w:val="1"/>
              </w:rPr>
              <w:t xml:space="preserve">        </w:t>
            </w:r>
            <w:r>
              <w:rPr>
                <w:color w:val="57585A"/>
                <w:spacing w:val="-5"/>
              </w:rPr>
              <w:t>Limited conventional resource upside potential.</w:t>
            </w:r>
          </w:p>
          <w:p w14:paraId="40622391">
            <w:pPr>
              <w:pStyle w:val="8"/>
              <w:spacing w:before="76" w:line="234" w:lineRule="auto"/>
              <w:ind w:left="83"/>
            </w:pPr>
            <w:r>
              <w:rPr>
                <w:color w:val="33CCFF"/>
                <w:spacing w:val="-6"/>
              </w:rPr>
              <w:t xml:space="preserve">•        </w:t>
            </w:r>
            <w:r>
              <w:rPr>
                <w:color w:val="57585A"/>
                <w:spacing w:val="-6"/>
              </w:rPr>
              <w:t>A high capex and dependence on costly megaprojects</w:t>
            </w:r>
          </w:p>
          <w:p w14:paraId="6685F672">
            <w:pPr>
              <w:pStyle w:val="8"/>
              <w:spacing w:before="79" w:line="280" w:lineRule="auto"/>
              <w:ind w:left="574" w:right="206" w:hanging="6"/>
            </w:pPr>
            <w:r>
              <w:rPr>
                <w:color w:val="57585A"/>
                <w:spacing w:val="-6"/>
              </w:rPr>
              <w:t>susceptible to delays and cost</w:t>
            </w:r>
            <w:r>
              <w:rPr>
                <w:color w:val="57585A"/>
                <w:spacing w:val="-7"/>
              </w:rPr>
              <w:t xml:space="preserve"> overruns,</w:t>
            </w:r>
            <w:r>
              <w:rPr>
                <w:color w:val="57585A"/>
                <w:spacing w:val="-14"/>
              </w:rPr>
              <w:t xml:space="preserve"> </w:t>
            </w:r>
            <w:r>
              <w:rPr>
                <w:color w:val="57585A"/>
                <w:spacing w:val="-7"/>
              </w:rPr>
              <w:t>with no immediate</w:t>
            </w:r>
            <w:r>
              <w:rPr>
                <w:color w:val="57585A"/>
              </w:rPr>
              <w:t xml:space="preserve"> </w:t>
            </w:r>
            <w:r>
              <w:rPr>
                <w:color w:val="57585A"/>
                <w:spacing w:val="-5"/>
              </w:rPr>
              <w:t>production ramp-up.</w:t>
            </w:r>
          </w:p>
          <w:p w14:paraId="4E984863">
            <w:pPr>
              <w:pStyle w:val="8"/>
              <w:spacing w:before="77" w:line="294" w:lineRule="auto"/>
              <w:ind w:left="571" w:right="191" w:hanging="488"/>
            </w:pPr>
            <w:r>
              <w:rPr>
                <w:color w:val="33CCFF"/>
                <w:spacing w:val="-7"/>
              </w:rPr>
              <w:t xml:space="preserve">•         </w:t>
            </w:r>
            <w:r>
              <w:rPr>
                <w:color w:val="57585A"/>
                <w:spacing w:val="-7"/>
              </w:rPr>
              <w:t>Large exposure to the US: the companyIs results</w:t>
            </w:r>
            <w:r>
              <w:rPr>
                <w:color w:val="57585A"/>
                <w:spacing w:val="-14"/>
              </w:rPr>
              <w:t xml:space="preserve"> </w:t>
            </w:r>
            <w:r>
              <w:rPr>
                <w:color w:val="57585A"/>
                <w:spacing w:val="-7"/>
              </w:rPr>
              <w:t xml:space="preserve">will </w:t>
            </w:r>
            <w:r>
              <w:rPr>
                <w:color w:val="57585A"/>
                <w:spacing w:val="-8"/>
              </w:rPr>
              <w:t>remain</w:t>
            </w:r>
            <w:r>
              <w:rPr>
                <w:color w:val="57585A"/>
              </w:rPr>
              <w:t xml:space="preserve"> </w:t>
            </w:r>
            <w:r>
              <w:rPr>
                <w:color w:val="57585A"/>
                <w:spacing w:val="-7"/>
              </w:rPr>
              <w:t>highly sensitive to developments in the US hydrocarbons</w:t>
            </w:r>
            <w:r>
              <w:rPr>
                <w:color w:val="57585A"/>
                <w:spacing w:val="3"/>
              </w:rPr>
              <w:t xml:space="preserve">    </w:t>
            </w:r>
            <w:r>
              <w:rPr>
                <w:color w:val="57585A"/>
                <w:spacing w:val="-5"/>
              </w:rPr>
              <w:t>industry.</w:t>
            </w:r>
          </w:p>
        </w:tc>
      </w:tr>
      <w:tr w14:paraId="0C079539">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484" w:hRule="atLeast"/>
        </w:trPr>
        <w:tc>
          <w:tcPr>
            <w:tcW w:w="5099" w:type="dxa"/>
            <w:tcBorders>
              <w:top w:val="nil"/>
              <w:bottom w:val="nil"/>
              <w:right w:val="single" w:color="D7DADB" w:sz="2" w:space="0"/>
            </w:tcBorders>
            <w:shd w:val="clear" w:color="auto" w:fill="E4F4FC"/>
            <w:vAlign w:val="top"/>
          </w:tcPr>
          <w:p w14:paraId="6CEA1826">
            <w:pPr>
              <w:pStyle w:val="8"/>
              <w:spacing w:before="117" w:line="280" w:lineRule="exact"/>
              <w:ind w:left="293"/>
              <w:rPr>
                <w:sz w:val="24"/>
                <w:szCs w:val="24"/>
              </w:rPr>
            </w:pPr>
            <w:r>
              <w:rPr>
                <w:b/>
                <w:bCs/>
                <w:color w:val="174174"/>
                <w:spacing w:val="-8"/>
                <w:position w:val="2"/>
                <w:sz w:val="24"/>
                <w:szCs w:val="24"/>
              </w:rPr>
              <w:t>Opportunities</w:t>
            </w:r>
          </w:p>
        </w:tc>
        <w:tc>
          <w:tcPr>
            <w:tcW w:w="5100" w:type="dxa"/>
            <w:tcBorders>
              <w:top w:val="nil"/>
              <w:left w:val="single" w:color="D7DADB" w:sz="2" w:space="0"/>
              <w:bottom w:val="nil"/>
            </w:tcBorders>
            <w:shd w:val="clear" w:color="auto" w:fill="E4F4FC"/>
            <w:vAlign w:val="top"/>
          </w:tcPr>
          <w:p w14:paraId="18BDA52F">
            <w:pPr>
              <w:pStyle w:val="8"/>
              <w:spacing w:before="117" w:line="325" w:lineRule="exact"/>
              <w:ind w:left="283"/>
              <w:rPr>
                <w:sz w:val="24"/>
                <w:szCs w:val="24"/>
              </w:rPr>
            </w:pPr>
            <w:r>
              <w:rPr>
                <w:b/>
                <w:bCs/>
                <w:color w:val="174174"/>
                <w:spacing w:val="-8"/>
                <w:position w:val="1"/>
                <w:sz w:val="24"/>
                <w:szCs w:val="24"/>
              </w:rPr>
              <w:t>Threats</w:t>
            </w:r>
          </w:p>
        </w:tc>
      </w:tr>
      <w:tr w14:paraId="5FC722E1">
        <w:tblPrEx>
          <w:tblBorders>
            <w:top w:val="single" w:color="E4F4FC" w:sz="2" w:space="0"/>
            <w:left w:val="single" w:color="E4F4FC" w:sz="2" w:space="0"/>
            <w:bottom w:val="single" w:color="E4F4FC" w:sz="2" w:space="0"/>
            <w:right w:val="single" w:color="E4F4FC" w:sz="2" w:space="0"/>
            <w:insideH w:val="single" w:color="E4F4FC" w:sz="2" w:space="0"/>
            <w:insideV w:val="single" w:color="E4F4FC" w:sz="2" w:space="0"/>
          </w:tblBorders>
          <w:tblCellMar>
            <w:top w:w="0" w:type="dxa"/>
            <w:left w:w="0" w:type="dxa"/>
            <w:bottom w:w="0" w:type="dxa"/>
            <w:right w:w="0" w:type="dxa"/>
          </w:tblCellMar>
        </w:tblPrEx>
        <w:trPr>
          <w:trHeight w:val="1420" w:hRule="atLeast"/>
        </w:trPr>
        <w:tc>
          <w:tcPr>
            <w:tcW w:w="5099" w:type="dxa"/>
            <w:tcBorders>
              <w:top w:val="nil"/>
              <w:right w:val="single" w:color="D7DADB" w:sz="2" w:space="0"/>
            </w:tcBorders>
            <w:vAlign w:val="top"/>
          </w:tcPr>
          <w:p w14:paraId="361D8A2F">
            <w:pPr>
              <w:pStyle w:val="8"/>
              <w:spacing w:before="195" w:line="234" w:lineRule="auto"/>
              <w:ind w:left="83"/>
            </w:pPr>
            <w:r>
              <w:rPr>
                <w:color w:val="33CCFF"/>
                <w:spacing w:val="-5"/>
              </w:rPr>
              <w:t xml:space="preserve">•        </w:t>
            </w:r>
            <w:r>
              <w:rPr>
                <w:color w:val="57585A"/>
                <w:spacing w:val="-5"/>
              </w:rPr>
              <w:t>Steady domestic and regional d</w:t>
            </w:r>
            <w:r>
              <w:rPr>
                <w:color w:val="57585A"/>
                <w:spacing w:val="-6"/>
              </w:rPr>
              <w:t>emand growth.</w:t>
            </w:r>
          </w:p>
          <w:p w14:paraId="441C9526">
            <w:pPr>
              <w:pStyle w:val="8"/>
              <w:spacing w:before="78" w:line="234" w:lineRule="auto"/>
              <w:ind w:left="83"/>
            </w:pPr>
            <w:r>
              <w:rPr>
                <w:color w:val="33CCFF"/>
                <w:spacing w:val="-6"/>
              </w:rPr>
              <w:t>•</w:t>
            </w:r>
            <w:r>
              <w:rPr>
                <w:color w:val="33CCFF"/>
              </w:rPr>
              <w:t xml:space="preserve">        </w:t>
            </w:r>
            <w:r>
              <w:rPr>
                <w:color w:val="57585A"/>
                <w:spacing w:val="-6"/>
              </w:rPr>
              <w:t>Shale drilling</w:t>
            </w:r>
            <w:r>
              <w:rPr>
                <w:color w:val="57585A"/>
                <w:spacing w:val="-9"/>
              </w:rPr>
              <w:t xml:space="preserve"> </w:t>
            </w:r>
            <w:r>
              <w:rPr>
                <w:color w:val="57585A"/>
                <w:spacing w:val="-6"/>
              </w:rPr>
              <w:t>ventur</w:t>
            </w:r>
            <w:r>
              <w:rPr>
                <w:color w:val="57585A"/>
                <w:spacing w:val="-7"/>
              </w:rPr>
              <w:t>e</w:t>
            </w:r>
            <w:r>
              <w:rPr>
                <w:color w:val="57585A"/>
                <w:spacing w:val="-14"/>
              </w:rPr>
              <w:t xml:space="preserve"> </w:t>
            </w:r>
            <w:r>
              <w:rPr>
                <w:color w:val="57585A"/>
                <w:spacing w:val="-7"/>
              </w:rPr>
              <w:t>with</w:t>
            </w:r>
            <w:r>
              <w:rPr>
                <w:color w:val="57585A"/>
                <w:spacing w:val="-14"/>
              </w:rPr>
              <w:t xml:space="preserve"> </w:t>
            </w:r>
            <w:r>
              <w:rPr>
                <w:color w:val="57585A"/>
                <w:spacing w:val="-7"/>
              </w:rPr>
              <w:t>YPF.</w:t>
            </w:r>
          </w:p>
        </w:tc>
        <w:tc>
          <w:tcPr>
            <w:tcW w:w="5100" w:type="dxa"/>
            <w:tcBorders>
              <w:top w:val="nil"/>
              <w:left w:val="single" w:color="D7DADB" w:sz="2" w:space="0"/>
            </w:tcBorders>
            <w:vAlign w:val="top"/>
          </w:tcPr>
          <w:p w14:paraId="6B34EB12">
            <w:pPr>
              <w:pStyle w:val="8"/>
              <w:spacing w:before="195" w:line="237" w:lineRule="exact"/>
              <w:ind w:left="83"/>
            </w:pPr>
            <w:r>
              <w:rPr>
                <w:color w:val="33CCFF"/>
                <w:spacing w:val="-4"/>
                <w:position w:val="1"/>
              </w:rPr>
              <w:t xml:space="preserve">•        </w:t>
            </w:r>
            <w:r>
              <w:rPr>
                <w:color w:val="57585A"/>
                <w:spacing w:val="-4"/>
                <w:position w:val="1"/>
              </w:rPr>
              <w:t>State intervention in</w:t>
            </w:r>
            <w:r>
              <w:rPr>
                <w:color w:val="57585A"/>
                <w:spacing w:val="7"/>
                <w:position w:val="1"/>
              </w:rPr>
              <w:t xml:space="preserve"> </w:t>
            </w:r>
            <w:r>
              <w:rPr>
                <w:color w:val="57585A"/>
                <w:spacing w:val="-4"/>
                <w:position w:val="1"/>
              </w:rPr>
              <w:t>tariffs and</w:t>
            </w:r>
            <w:r>
              <w:rPr>
                <w:color w:val="57585A"/>
                <w:spacing w:val="-11"/>
                <w:position w:val="1"/>
              </w:rPr>
              <w:t xml:space="preserve"> </w:t>
            </w:r>
            <w:r>
              <w:rPr>
                <w:color w:val="57585A"/>
                <w:spacing w:val="-4"/>
                <w:position w:val="1"/>
              </w:rPr>
              <w:t>taxation.</w:t>
            </w:r>
          </w:p>
          <w:p w14:paraId="02EAEFDA">
            <w:pPr>
              <w:pStyle w:val="8"/>
              <w:spacing w:before="42" w:line="236" w:lineRule="auto"/>
              <w:ind w:left="83"/>
            </w:pPr>
            <w:r>
              <w:rPr>
                <w:color w:val="33CCFF"/>
                <w:spacing w:val="-5"/>
              </w:rPr>
              <w:t>•</w:t>
            </w:r>
            <w:r>
              <w:rPr>
                <w:color w:val="33CCFF"/>
                <w:spacing w:val="2"/>
              </w:rPr>
              <w:t xml:space="preserve">        </w:t>
            </w:r>
            <w:r>
              <w:rPr>
                <w:color w:val="57585A"/>
                <w:spacing w:val="-5"/>
              </w:rPr>
              <w:t>Uncertain political and fiscal outlook.</w:t>
            </w:r>
          </w:p>
          <w:p w14:paraId="22CBBA1E">
            <w:pPr>
              <w:pStyle w:val="8"/>
              <w:spacing w:before="76" w:line="237" w:lineRule="exact"/>
              <w:ind w:left="83"/>
            </w:pPr>
            <w:r>
              <w:rPr>
                <w:color w:val="33CCFF"/>
                <w:spacing w:val="-5"/>
                <w:position w:val="1"/>
              </w:rPr>
              <w:t>•</w:t>
            </w:r>
            <w:r>
              <w:rPr>
                <w:color w:val="33CCFF"/>
                <w:spacing w:val="2"/>
                <w:position w:val="1"/>
              </w:rPr>
              <w:t xml:space="preserve">        </w:t>
            </w:r>
            <w:r>
              <w:rPr>
                <w:color w:val="57585A"/>
                <w:spacing w:val="-5"/>
                <w:position w:val="1"/>
              </w:rPr>
              <w:t>Potential for market</w:t>
            </w:r>
            <w:r>
              <w:rPr>
                <w:color w:val="57585A"/>
                <w:spacing w:val="-9"/>
                <w:position w:val="1"/>
              </w:rPr>
              <w:t xml:space="preserve"> </w:t>
            </w:r>
            <w:r>
              <w:rPr>
                <w:color w:val="57585A"/>
                <w:spacing w:val="-5"/>
                <w:position w:val="1"/>
              </w:rPr>
              <w:t>to slow.</w:t>
            </w:r>
          </w:p>
          <w:p w14:paraId="669B8F3E">
            <w:pPr>
              <w:pStyle w:val="8"/>
              <w:spacing w:before="42" w:line="234" w:lineRule="auto"/>
              <w:ind w:left="83"/>
            </w:pPr>
            <w:r>
              <w:rPr>
                <w:color w:val="33CCFF"/>
                <w:spacing w:val="-7"/>
              </w:rPr>
              <w:t>•</w:t>
            </w:r>
            <w:r>
              <w:rPr>
                <w:color w:val="33CCFF"/>
                <w:spacing w:val="1"/>
              </w:rPr>
              <w:t xml:space="preserve">        </w:t>
            </w:r>
            <w:r>
              <w:rPr>
                <w:color w:val="57585A"/>
                <w:spacing w:val="-7"/>
              </w:rPr>
              <w:t>Costs overruns and lower oil prices reduc</w:t>
            </w:r>
            <w:r>
              <w:rPr>
                <w:color w:val="57585A"/>
                <w:spacing w:val="-8"/>
              </w:rPr>
              <w:t>e margins.</w:t>
            </w:r>
          </w:p>
        </w:tc>
      </w:tr>
    </w:tbl>
    <w:p w14:paraId="31E557A9">
      <w:pPr>
        <w:pStyle w:val="4"/>
        <w:spacing w:line="318" w:lineRule="auto"/>
      </w:pPr>
    </w:p>
    <w:p w14:paraId="17E055ED">
      <w:pPr>
        <w:pStyle w:val="4"/>
        <w:spacing w:before="69" w:line="241" w:lineRule="auto"/>
        <w:ind w:left="370"/>
        <w:outlineLvl w:val="2"/>
        <w:rPr>
          <w:sz w:val="24"/>
          <w:szCs w:val="24"/>
        </w:rPr>
      </w:pPr>
      <w:r>
        <w:rPr>
          <w:b/>
          <w:bCs/>
          <w:color w:val="174174"/>
          <w:spacing w:val="-11"/>
          <w:sz w:val="24"/>
          <w:szCs w:val="24"/>
        </w:rPr>
        <w:t>Company Overview</w:t>
      </w:r>
    </w:p>
    <w:p w14:paraId="208BF478">
      <w:pPr>
        <w:pStyle w:val="4"/>
        <w:spacing w:line="348" w:lineRule="auto"/>
      </w:pPr>
    </w:p>
    <w:p w14:paraId="66867D1F">
      <w:pPr>
        <w:pStyle w:val="4"/>
        <w:spacing w:before="58" w:line="231" w:lineRule="auto"/>
        <w:ind w:left="369"/>
        <w:rPr>
          <w:sz w:val="20"/>
          <w:szCs w:val="20"/>
        </w:rPr>
      </w:pPr>
      <w:r>
        <w:rPr>
          <w:color w:val="57585A"/>
          <w:spacing w:val="-11"/>
          <w:sz w:val="20"/>
          <w:szCs w:val="20"/>
        </w:rPr>
        <w:t>Chevron produces crude oil and natural gas in</w:t>
      </w:r>
      <w:r>
        <w:rPr>
          <w:color w:val="57585A"/>
          <w:spacing w:val="-16"/>
          <w:sz w:val="20"/>
          <w:szCs w:val="20"/>
        </w:rPr>
        <w:t xml:space="preserve"> </w:t>
      </w:r>
      <w:r>
        <w:rPr>
          <w:color w:val="57585A"/>
          <w:spacing w:val="-11"/>
          <w:sz w:val="20"/>
          <w:szCs w:val="20"/>
        </w:rPr>
        <w:t>Argentina through Chevron</w:t>
      </w:r>
      <w:r>
        <w:rPr>
          <w:color w:val="57585A"/>
          <w:spacing w:val="-15"/>
          <w:sz w:val="20"/>
          <w:szCs w:val="20"/>
        </w:rPr>
        <w:t xml:space="preserve"> </w:t>
      </w:r>
      <w:r>
        <w:rPr>
          <w:color w:val="57585A"/>
          <w:spacing w:val="-11"/>
          <w:sz w:val="20"/>
          <w:szCs w:val="20"/>
        </w:rPr>
        <w:t>Argentina, a</w:t>
      </w:r>
      <w:r>
        <w:rPr>
          <w:color w:val="57585A"/>
          <w:spacing w:val="-16"/>
          <w:sz w:val="20"/>
          <w:szCs w:val="20"/>
        </w:rPr>
        <w:t xml:space="preserve"> </w:t>
      </w:r>
      <w:r>
        <w:rPr>
          <w:color w:val="57585A"/>
          <w:spacing w:val="-11"/>
          <w:sz w:val="20"/>
          <w:szCs w:val="20"/>
        </w:rPr>
        <w:t xml:space="preserve">wholly </w:t>
      </w:r>
      <w:r>
        <w:rPr>
          <w:color w:val="57585A"/>
          <w:spacing w:val="-12"/>
          <w:sz w:val="20"/>
          <w:szCs w:val="20"/>
        </w:rPr>
        <w:t>owned subsidiary. It is the fourth-</w:t>
      </w:r>
    </w:p>
    <w:p w14:paraId="450D4F91">
      <w:pPr>
        <w:pStyle w:val="4"/>
        <w:spacing w:before="59" w:line="279" w:lineRule="auto"/>
        <w:ind w:left="359" w:right="400" w:firstLine="13"/>
        <w:rPr>
          <w:sz w:val="20"/>
          <w:szCs w:val="20"/>
        </w:rPr>
      </w:pPr>
      <w:r>
        <w:rPr>
          <w:color w:val="57585A"/>
          <w:spacing w:val="-11"/>
          <w:sz w:val="20"/>
          <w:szCs w:val="20"/>
        </w:rPr>
        <w:t>largest producer of oil and seventh-largest produc</w:t>
      </w:r>
      <w:r>
        <w:rPr>
          <w:color w:val="57585A"/>
          <w:spacing w:val="-12"/>
          <w:sz w:val="20"/>
          <w:szCs w:val="20"/>
        </w:rPr>
        <w:t>er of natural gas in the market,</w:t>
      </w:r>
      <w:r>
        <w:rPr>
          <w:color w:val="57585A"/>
          <w:spacing w:val="-16"/>
          <w:sz w:val="20"/>
          <w:szCs w:val="20"/>
        </w:rPr>
        <w:t xml:space="preserve"> </w:t>
      </w:r>
      <w:r>
        <w:rPr>
          <w:color w:val="57585A"/>
          <w:spacing w:val="-12"/>
          <w:sz w:val="20"/>
          <w:szCs w:val="20"/>
        </w:rPr>
        <w:t>with concessions in the Neuquén Basin. Expanded</w:t>
      </w:r>
      <w:r>
        <w:rPr>
          <w:color w:val="57585A"/>
          <w:sz w:val="20"/>
          <w:szCs w:val="20"/>
        </w:rPr>
        <w:t xml:space="preserve"> </w:t>
      </w:r>
      <w:r>
        <w:rPr>
          <w:color w:val="57585A"/>
          <w:spacing w:val="-11"/>
          <w:sz w:val="20"/>
          <w:szCs w:val="20"/>
        </w:rPr>
        <w:t>waterflood operations are sustaining oil output at the El Trapial Field and the company has begun exploring for unconventional oil</w:t>
      </w:r>
      <w:r>
        <w:rPr>
          <w:color w:val="57585A"/>
          <w:spacing w:val="2"/>
          <w:sz w:val="20"/>
          <w:szCs w:val="20"/>
        </w:rPr>
        <w:t xml:space="preserve">  </w:t>
      </w:r>
      <w:r>
        <w:rPr>
          <w:color w:val="57585A"/>
          <w:spacing w:val="-14"/>
          <w:sz w:val="20"/>
          <w:szCs w:val="20"/>
        </w:rPr>
        <w:t>and gas resources.</w:t>
      </w:r>
    </w:p>
    <w:p w14:paraId="513ED2A8">
      <w:pPr>
        <w:pStyle w:val="4"/>
        <w:spacing w:line="266" w:lineRule="auto"/>
      </w:pPr>
    </w:p>
    <w:p w14:paraId="35947C5A">
      <w:pPr>
        <w:pStyle w:val="4"/>
        <w:spacing w:before="59" w:line="279" w:lineRule="auto"/>
        <w:ind w:left="359" w:right="468" w:firstLine="9"/>
        <w:rPr>
          <w:sz w:val="20"/>
          <w:szCs w:val="20"/>
        </w:rPr>
      </w:pPr>
      <w:r>
        <w:rPr>
          <w:color w:val="57585A"/>
          <w:spacing w:val="-12"/>
          <w:sz w:val="20"/>
          <w:szCs w:val="20"/>
        </w:rPr>
        <w:t>Chevron has operated interests ranging from 18.8% to 100% in four concessions in the Neuquén Basin and a 50% non-operated</w:t>
      </w:r>
      <w:r>
        <w:rPr>
          <w:color w:val="57585A"/>
          <w:spacing w:val="2"/>
          <w:sz w:val="20"/>
          <w:szCs w:val="20"/>
        </w:rPr>
        <w:t xml:space="preserve"> </w:t>
      </w:r>
      <w:r>
        <w:rPr>
          <w:color w:val="57585A"/>
          <w:spacing w:val="-11"/>
          <w:sz w:val="20"/>
          <w:szCs w:val="20"/>
        </w:rPr>
        <w:t>working interest in another concession. In 2015, net daily production averaged 21,000bbl of</w:t>
      </w:r>
      <w:r>
        <w:rPr>
          <w:color w:val="57585A"/>
          <w:spacing w:val="-15"/>
          <w:sz w:val="20"/>
          <w:szCs w:val="20"/>
        </w:rPr>
        <w:t xml:space="preserve"> </w:t>
      </w:r>
      <w:r>
        <w:rPr>
          <w:color w:val="57585A"/>
          <w:spacing w:val="-11"/>
          <w:sz w:val="20"/>
          <w:szCs w:val="20"/>
        </w:rPr>
        <w:t>crude and 1.0mcm of natural gas. The</w:t>
      </w:r>
      <w:r>
        <w:rPr>
          <w:color w:val="57585A"/>
          <w:sz w:val="20"/>
          <w:szCs w:val="20"/>
        </w:rPr>
        <w:t xml:space="preserve"> </w:t>
      </w:r>
      <w:r>
        <w:rPr>
          <w:color w:val="57585A"/>
          <w:spacing w:val="-11"/>
          <w:sz w:val="20"/>
          <w:szCs w:val="20"/>
        </w:rPr>
        <w:t>company holds a 14% interest in Oleoductos del Valle, a pipeline system that transport</w:t>
      </w:r>
      <w:r>
        <w:rPr>
          <w:color w:val="57585A"/>
          <w:spacing w:val="-12"/>
          <w:sz w:val="20"/>
          <w:szCs w:val="20"/>
        </w:rPr>
        <w:t>s crude oil from the Neuquén Basin in</w:t>
      </w:r>
    </w:p>
    <w:p w14:paraId="63E4F9B2">
      <w:pPr>
        <w:pStyle w:val="4"/>
        <w:spacing w:before="37" w:line="231" w:lineRule="auto"/>
        <w:ind w:left="359"/>
        <w:rPr>
          <w:sz w:val="20"/>
          <w:szCs w:val="20"/>
        </w:rPr>
      </w:pPr>
      <w:r>
        <w:rPr>
          <w:color w:val="57585A"/>
          <w:spacing w:val="-12"/>
          <w:sz w:val="20"/>
          <w:szCs w:val="20"/>
        </w:rPr>
        <w:t>western</w:t>
      </w:r>
      <w:r>
        <w:rPr>
          <w:color w:val="57585A"/>
          <w:spacing w:val="-6"/>
          <w:sz w:val="20"/>
          <w:szCs w:val="20"/>
        </w:rPr>
        <w:t xml:space="preserve"> </w:t>
      </w:r>
      <w:r>
        <w:rPr>
          <w:color w:val="57585A"/>
          <w:spacing w:val="-12"/>
          <w:sz w:val="20"/>
          <w:szCs w:val="20"/>
        </w:rPr>
        <w:t>Argentina to the Buenos</w:t>
      </w:r>
      <w:r>
        <w:rPr>
          <w:color w:val="57585A"/>
          <w:spacing w:val="-16"/>
          <w:sz w:val="20"/>
          <w:szCs w:val="20"/>
        </w:rPr>
        <w:t xml:space="preserve"> </w:t>
      </w:r>
      <w:r>
        <w:rPr>
          <w:color w:val="57585A"/>
          <w:spacing w:val="-12"/>
          <w:sz w:val="20"/>
          <w:szCs w:val="20"/>
        </w:rPr>
        <w:t>Aires area.</w:t>
      </w:r>
    </w:p>
    <w:p w14:paraId="79C809F4">
      <w:pPr>
        <w:spacing w:line="231" w:lineRule="auto"/>
        <w:rPr>
          <w:sz w:val="20"/>
          <w:szCs w:val="20"/>
        </w:rPr>
        <w:sectPr>
          <w:footerReference r:id="rId82" w:type="default"/>
          <w:pgSz w:w="11906" w:h="16838"/>
          <w:pgMar w:top="400" w:right="490" w:bottom="883" w:left="490" w:header="0" w:footer="0" w:gutter="0"/>
          <w:cols w:space="720" w:num="1"/>
        </w:sectPr>
      </w:pPr>
    </w:p>
    <w:p w14:paraId="08653EBE">
      <w:pPr>
        <w:pStyle w:val="4"/>
        <w:spacing w:before="73" w:line="241" w:lineRule="auto"/>
        <w:ind w:left="7372"/>
        <w:rPr>
          <w:sz w:val="20"/>
          <w:szCs w:val="20"/>
        </w:rPr>
      </w:pPr>
      <w:r>
        <w:drawing>
          <wp:anchor distT="0" distB="0" distL="0" distR="0" simplePos="0" relativeHeight="25195622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59296" behindDoc="0" locked="0" layoutInCell="0" allowOverlap="1">
            <wp:simplePos x="0" y="0"/>
            <wp:positionH relativeFrom="page">
              <wp:posOffset>311150</wp:posOffset>
            </wp:positionH>
            <wp:positionV relativeFrom="page">
              <wp:posOffset>0</wp:posOffset>
            </wp:positionV>
            <wp:extent cx="19050" cy="814070"/>
            <wp:effectExtent l="0" t="0" r="0" b="0"/>
            <wp:wrapNone/>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D860B4F">
      <w:pPr>
        <w:pStyle w:val="4"/>
        <w:spacing w:line="278" w:lineRule="auto"/>
      </w:pPr>
    </w:p>
    <w:p w14:paraId="700B2FC3">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0BB9251">
      <w:pPr>
        <w:pStyle w:val="4"/>
        <w:spacing w:line="311" w:lineRule="auto"/>
      </w:pPr>
    </w:p>
    <w:p w14:paraId="5706A684">
      <w:pPr>
        <w:pStyle w:val="4"/>
        <w:spacing w:line="312" w:lineRule="auto"/>
      </w:pPr>
    </w:p>
    <w:p w14:paraId="53D67D97">
      <w:pPr>
        <w:pStyle w:val="4"/>
        <w:spacing w:before="69" w:line="234" w:lineRule="auto"/>
        <w:ind w:left="427"/>
        <w:rPr>
          <w:sz w:val="24"/>
          <w:szCs w:val="24"/>
        </w:rPr>
      </w:pPr>
      <w:r>
        <w:drawing>
          <wp:anchor distT="0" distB="0" distL="0" distR="0" simplePos="0" relativeHeight="251957248" behindDoc="0" locked="0" layoutInCell="1" allowOverlap="1">
            <wp:simplePos x="0" y="0"/>
            <wp:positionH relativeFrom="column">
              <wp:posOffset>227965</wp:posOffset>
            </wp:positionH>
            <wp:positionV relativeFrom="paragraph">
              <wp:posOffset>1452245</wp:posOffset>
            </wp:positionV>
            <wp:extent cx="6480175" cy="6985"/>
            <wp:effectExtent l="0" t="0" r="0" b="0"/>
            <wp:wrapNone/>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114"/>
                    <a:stretch>
                      <a:fillRect/>
                    </a:stretch>
                  </pic:blipFill>
                  <pic:spPr>
                    <a:xfrm>
                      <a:off x="0" y="0"/>
                      <a:ext cx="6479999" cy="7143"/>
                    </a:xfrm>
                    <a:prstGeom prst="rect">
                      <a:avLst/>
                    </a:prstGeom>
                  </pic:spPr>
                </pic:pic>
              </a:graphicData>
            </a:graphic>
          </wp:anchor>
        </w:drawing>
      </w:r>
      <w:r>
        <w:rPr>
          <w:color w:val="174174"/>
          <w:spacing w:val="-11"/>
          <w:sz w:val="24"/>
          <w:szCs w:val="24"/>
        </w:rPr>
        <w:t>Key</w:t>
      </w:r>
      <w:r>
        <w:rPr>
          <w:color w:val="174174"/>
          <w:spacing w:val="-20"/>
          <w:sz w:val="24"/>
          <w:szCs w:val="24"/>
        </w:rPr>
        <w:t xml:space="preserve"> </w:t>
      </w:r>
      <w:r>
        <w:rPr>
          <w:color w:val="174174"/>
          <w:spacing w:val="-11"/>
          <w:sz w:val="24"/>
          <w:szCs w:val="24"/>
        </w:rPr>
        <w:t>Assets In</w:t>
      </w:r>
      <w:r>
        <w:rPr>
          <w:color w:val="174174"/>
          <w:spacing w:val="-24"/>
          <w:sz w:val="24"/>
          <w:szCs w:val="24"/>
        </w:rPr>
        <w:t xml:space="preserve"> </w:t>
      </w:r>
      <w:r>
        <w:rPr>
          <w:color w:val="174174"/>
          <w:spacing w:val="-11"/>
          <w:sz w:val="24"/>
          <w:szCs w:val="24"/>
        </w:rPr>
        <w:t>Argentina</w:t>
      </w:r>
    </w:p>
    <w:p w14:paraId="5DE7D258">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788"/>
        <w:gridCol w:w="3580"/>
        <w:gridCol w:w="2906"/>
        <w:gridCol w:w="1930"/>
      </w:tblGrid>
      <w:tr w14:paraId="13C11FB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1788" w:type="dxa"/>
            <w:tcBorders>
              <w:left w:val="nil"/>
            </w:tcBorders>
            <w:vAlign w:val="top"/>
          </w:tcPr>
          <w:p w14:paraId="2321BC49">
            <w:pPr>
              <w:pStyle w:val="8"/>
              <w:spacing w:before="114" w:line="183" w:lineRule="auto"/>
              <w:ind w:left="13"/>
            </w:pPr>
            <w:r>
              <w:rPr>
                <w:b/>
                <w:bCs/>
                <w:color w:val="5F6A72"/>
                <w:spacing w:val="-7"/>
              </w:rPr>
              <w:t>Name</w:t>
            </w:r>
          </w:p>
        </w:tc>
        <w:tc>
          <w:tcPr>
            <w:tcW w:w="3580" w:type="dxa"/>
            <w:tcBorders>
              <w:right w:val="nil"/>
            </w:tcBorders>
            <w:vAlign w:val="top"/>
          </w:tcPr>
          <w:p w14:paraId="376D1657">
            <w:pPr>
              <w:pStyle w:val="8"/>
              <w:spacing w:before="114" w:line="181" w:lineRule="auto"/>
              <w:ind w:left="72"/>
            </w:pPr>
            <w:r>
              <w:rPr>
                <w:b/>
                <w:bCs/>
                <w:color w:val="5F6A72"/>
                <w:spacing w:val="-9"/>
              </w:rPr>
              <w:t>Type</w:t>
            </w:r>
          </w:p>
        </w:tc>
        <w:tc>
          <w:tcPr>
            <w:tcW w:w="2906" w:type="dxa"/>
            <w:tcBorders>
              <w:left w:val="nil"/>
              <w:right w:val="nil"/>
            </w:tcBorders>
            <w:vAlign w:val="top"/>
          </w:tcPr>
          <w:p w14:paraId="76662B39">
            <w:pPr>
              <w:pStyle w:val="8"/>
              <w:spacing w:before="70" w:line="243" w:lineRule="exact"/>
              <w:ind w:left="85"/>
            </w:pPr>
            <w:r>
              <w:rPr>
                <w:b/>
                <w:bCs/>
                <w:color w:val="5F6A72"/>
                <w:spacing w:val="-9"/>
                <w:position w:val="1"/>
              </w:rPr>
              <w:t>Location</w:t>
            </w:r>
          </w:p>
        </w:tc>
        <w:tc>
          <w:tcPr>
            <w:tcW w:w="1930" w:type="dxa"/>
            <w:tcBorders>
              <w:left w:val="nil"/>
              <w:right w:val="nil"/>
            </w:tcBorders>
            <w:vAlign w:val="top"/>
          </w:tcPr>
          <w:p w14:paraId="4F1D1C7A">
            <w:pPr>
              <w:pStyle w:val="8"/>
              <w:spacing w:before="112" w:line="184" w:lineRule="auto"/>
              <w:ind w:left="80"/>
            </w:pPr>
            <w:r>
              <w:rPr>
                <w:b/>
                <w:bCs/>
                <w:color w:val="5F6A72"/>
                <w:spacing w:val="-8"/>
              </w:rPr>
              <w:t>Capacity</w:t>
            </w:r>
          </w:p>
        </w:tc>
      </w:tr>
      <w:tr w14:paraId="3163046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88" w:type="dxa"/>
            <w:tcBorders>
              <w:left w:val="nil"/>
            </w:tcBorders>
            <w:vAlign w:val="top"/>
          </w:tcPr>
          <w:p w14:paraId="32220F13">
            <w:pPr>
              <w:pStyle w:val="8"/>
              <w:spacing w:before="65" w:line="236" w:lineRule="auto"/>
              <w:ind w:left="18"/>
            </w:pPr>
            <w:r>
              <w:rPr>
                <w:color w:val="2A8ABF"/>
                <w:spacing w:val="-13"/>
              </w:rPr>
              <w:t>El</w:t>
            </w:r>
            <w:r>
              <w:rPr>
                <w:color w:val="2A8ABF"/>
                <w:spacing w:val="-16"/>
              </w:rPr>
              <w:t xml:space="preserve"> </w:t>
            </w:r>
            <w:r>
              <w:rPr>
                <w:color w:val="2A8ABF"/>
                <w:spacing w:val="-13"/>
              </w:rPr>
              <w:t>Trapial</w:t>
            </w:r>
          </w:p>
        </w:tc>
        <w:tc>
          <w:tcPr>
            <w:tcW w:w="3580" w:type="dxa"/>
            <w:tcBorders>
              <w:right w:val="nil"/>
            </w:tcBorders>
            <w:vAlign w:val="top"/>
          </w:tcPr>
          <w:p w14:paraId="63DE2D68">
            <w:pPr>
              <w:pStyle w:val="8"/>
              <w:spacing w:before="65" w:line="237" w:lineRule="exact"/>
              <w:ind w:left="80"/>
            </w:pPr>
            <w:r>
              <w:rPr>
                <w:color w:val="5F6A72"/>
                <w:spacing w:val="-9"/>
                <w:position w:val="1"/>
              </w:rPr>
              <w:t>Concession</w:t>
            </w:r>
          </w:p>
        </w:tc>
        <w:tc>
          <w:tcPr>
            <w:tcW w:w="2906" w:type="dxa"/>
            <w:tcBorders>
              <w:left w:val="nil"/>
              <w:right w:val="nil"/>
            </w:tcBorders>
            <w:vAlign w:val="top"/>
          </w:tcPr>
          <w:p w14:paraId="1D28A6C6">
            <w:pPr>
              <w:pStyle w:val="8"/>
              <w:spacing w:before="65" w:line="237" w:lineRule="exact"/>
              <w:ind w:left="71"/>
            </w:pPr>
            <w:r>
              <w:rPr>
                <w:color w:val="5F6A72"/>
                <w:spacing w:val="-11"/>
                <w:position w:val="1"/>
              </w:rPr>
              <w:t>Vaca Muerta</w:t>
            </w:r>
          </w:p>
        </w:tc>
        <w:tc>
          <w:tcPr>
            <w:tcW w:w="1930" w:type="dxa"/>
            <w:tcBorders>
              <w:left w:val="nil"/>
              <w:right w:val="nil"/>
            </w:tcBorders>
            <w:vAlign w:val="top"/>
          </w:tcPr>
          <w:p w14:paraId="4908BE1A">
            <w:pPr>
              <w:pStyle w:val="8"/>
              <w:spacing w:before="65" w:line="236" w:lineRule="auto"/>
              <w:ind w:left="85"/>
            </w:pPr>
            <w:r>
              <w:rPr>
                <w:color w:val="5F6A72"/>
                <w:spacing w:val="-7"/>
              </w:rPr>
              <w:t>Under development</w:t>
            </w:r>
          </w:p>
        </w:tc>
      </w:tr>
      <w:tr w14:paraId="1D93339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88" w:type="dxa"/>
            <w:tcBorders>
              <w:left w:val="nil"/>
            </w:tcBorders>
            <w:shd w:val="clear" w:color="auto" w:fill="EAF9FF"/>
            <w:vAlign w:val="top"/>
          </w:tcPr>
          <w:p w14:paraId="7E9C9BE7">
            <w:pPr>
              <w:pStyle w:val="8"/>
              <w:spacing w:before="104" w:line="184" w:lineRule="auto"/>
              <w:ind w:left="18"/>
            </w:pPr>
            <w:r>
              <w:rPr>
                <w:color w:val="2A8ABF"/>
                <w:spacing w:val="-12"/>
              </w:rPr>
              <w:t>Loma Campana</w:t>
            </w:r>
          </w:p>
        </w:tc>
        <w:tc>
          <w:tcPr>
            <w:tcW w:w="3580" w:type="dxa"/>
            <w:tcBorders>
              <w:right w:val="nil"/>
            </w:tcBorders>
            <w:shd w:val="clear" w:color="auto" w:fill="EAF9FF"/>
            <w:vAlign w:val="top"/>
          </w:tcPr>
          <w:p w14:paraId="206E0B83">
            <w:pPr>
              <w:pStyle w:val="8"/>
              <w:spacing w:before="65" w:line="237" w:lineRule="exact"/>
              <w:ind w:left="80"/>
            </w:pPr>
            <w:r>
              <w:rPr>
                <w:color w:val="5F6A72"/>
                <w:spacing w:val="-9"/>
                <w:position w:val="1"/>
              </w:rPr>
              <w:t>Concession</w:t>
            </w:r>
          </w:p>
        </w:tc>
        <w:tc>
          <w:tcPr>
            <w:tcW w:w="2906" w:type="dxa"/>
            <w:tcBorders>
              <w:left w:val="nil"/>
              <w:right w:val="nil"/>
            </w:tcBorders>
            <w:shd w:val="clear" w:color="auto" w:fill="EAF9FF"/>
            <w:vAlign w:val="top"/>
          </w:tcPr>
          <w:p w14:paraId="5C0BC941">
            <w:pPr>
              <w:pStyle w:val="8"/>
              <w:spacing w:before="65" w:line="237" w:lineRule="exact"/>
              <w:ind w:left="71"/>
            </w:pPr>
            <w:r>
              <w:rPr>
                <w:color w:val="5F6A72"/>
                <w:spacing w:val="-11"/>
                <w:position w:val="1"/>
              </w:rPr>
              <w:t>Vaca Muerta</w:t>
            </w:r>
          </w:p>
        </w:tc>
        <w:tc>
          <w:tcPr>
            <w:tcW w:w="1930" w:type="dxa"/>
            <w:tcBorders>
              <w:left w:val="nil"/>
              <w:right w:val="nil"/>
            </w:tcBorders>
            <w:shd w:val="clear" w:color="auto" w:fill="EAF9FF"/>
            <w:vAlign w:val="top"/>
          </w:tcPr>
          <w:p w14:paraId="26AF737B">
            <w:pPr>
              <w:pStyle w:val="8"/>
              <w:spacing w:before="65" w:line="214" w:lineRule="exact"/>
              <w:ind w:left="83"/>
            </w:pPr>
            <w:r>
              <w:rPr>
                <w:color w:val="5F6A72"/>
                <w:spacing w:val="-2"/>
                <w:position w:val="1"/>
              </w:rPr>
              <w:t>50,000boe/d</w:t>
            </w:r>
          </w:p>
        </w:tc>
      </w:tr>
      <w:tr w14:paraId="06CEB57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788" w:type="dxa"/>
            <w:tcBorders>
              <w:left w:val="nil"/>
            </w:tcBorders>
            <w:vAlign w:val="top"/>
          </w:tcPr>
          <w:p w14:paraId="1B654ACF">
            <w:pPr>
              <w:pStyle w:val="8"/>
              <w:spacing w:before="65" w:line="238" w:lineRule="exact"/>
              <w:ind w:left="18"/>
            </w:pPr>
            <w:r>
              <w:rPr>
                <w:color w:val="2A8ABF"/>
                <w:spacing w:val="-10"/>
                <w:position w:val="1"/>
              </w:rPr>
              <w:t>Narambuena Block</w:t>
            </w:r>
          </w:p>
        </w:tc>
        <w:tc>
          <w:tcPr>
            <w:tcW w:w="3580" w:type="dxa"/>
            <w:tcBorders>
              <w:right w:val="nil"/>
            </w:tcBorders>
            <w:vAlign w:val="top"/>
          </w:tcPr>
          <w:p w14:paraId="4D6E2777">
            <w:pPr>
              <w:pStyle w:val="8"/>
              <w:spacing w:before="65" w:line="234" w:lineRule="auto"/>
              <w:ind w:left="80"/>
            </w:pPr>
            <w:r>
              <w:rPr>
                <w:color w:val="5F6A72"/>
                <w:spacing w:val="-8"/>
              </w:rPr>
              <w:t>Chihuido de la Sierra</w:t>
            </w:r>
            <w:r>
              <w:rPr>
                <w:color w:val="5F6A72"/>
                <w:spacing w:val="-9"/>
              </w:rPr>
              <w:t xml:space="preserve"> Negra concession</w:t>
            </w:r>
          </w:p>
        </w:tc>
        <w:tc>
          <w:tcPr>
            <w:tcW w:w="2906" w:type="dxa"/>
            <w:tcBorders>
              <w:left w:val="nil"/>
              <w:right w:val="nil"/>
            </w:tcBorders>
            <w:vAlign w:val="top"/>
          </w:tcPr>
          <w:p w14:paraId="226BA81F">
            <w:pPr>
              <w:pStyle w:val="8"/>
              <w:spacing w:before="65" w:line="238" w:lineRule="exact"/>
              <w:ind w:left="71"/>
            </w:pPr>
            <w:r>
              <w:rPr>
                <w:color w:val="5F6A72"/>
                <w:spacing w:val="-11"/>
                <w:position w:val="1"/>
              </w:rPr>
              <w:t>Vaca Muerta</w:t>
            </w:r>
          </w:p>
        </w:tc>
        <w:tc>
          <w:tcPr>
            <w:tcW w:w="1930" w:type="dxa"/>
            <w:tcBorders>
              <w:left w:val="nil"/>
              <w:right w:val="nil"/>
            </w:tcBorders>
            <w:vAlign w:val="top"/>
          </w:tcPr>
          <w:p w14:paraId="4939B56B">
            <w:pPr>
              <w:pStyle w:val="8"/>
              <w:spacing w:before="66" w:line="236" w:lineRule="auto"/>
              <w:ind w:left="86"/>
            </w:pPr>
            <w:r>
              <w:rPr>
                <w:color w:val="5F6A72"/>
                <w:spacing w:val="-8"/>
              </w:rPr>
              <w:t>Exploration</w:t>
            </w:r>
          </w:p>
        </w:tc>
      </w:tr>
      <w:tr w14:paraId="76D7275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1788" w:type="dxa"/>
            <w:tcBorders>
              <w:left w:val="nil"/>
              <w:bottom w:val="nil"/>
            </w:tcBorders>
            <w:shd w:val="clear" w:color="auto" w:fill="EAF9FF"/>
            <w:vAlign w:val="top"/>
          </w:tcPr>
          <w:p w14:paraId="231C3C60">
            <w:pPr>
              <w:pStyle w:val="8"/>
              <w:spacing w:before="66" w:line="237" w:lineRule="exact"/>
              <w:ind w:left="12"/>
            </w:pPr>
            <w:r>
              <w:rPr>
                <w:color w:val="2A8ABF"/>
                <w:spacing w:val="-8"/>
                <w:position w:val="1"/>
              </w:rPr>
              <w:t>Oleoductos del Valle</w:t>
            </w:r>
          </w:p>
        </w:tc>
        <w:tc>
          <w:tcPr>
            <w:tcW w:w="3580" w:type="dxa"/>
            <w:tcBorders>
              <w:bottom w:val="nil"/>
              <w:right w:val="nil"/>
            </w:tcBorders>
            <w:shd w:val="clear" w:color="auto" w:fill="EAF9FF"/>
            <w:vAlign w:val="top"/>
          </w:tcPr>
          <w:p w14:paraId="3008143F">
            <w:pPr>
              <w:pStyle w:val="8"/>
              <w:spacing w:before="108" w:line="181" w:lineRule="auto"/>
              <w:ind w:left="86"/>
            </w:pPr>
            <w:r>
              <w:rPr>
                <w:color w:val="5F6A72"/>
                <w:spacing w:val="-7"/>
              </w:rPr>
              <w:t>Pipeline</w:t>
            </w:r>
          </w:p>
        </w:tc>
        <w:tc>
          <w:tcPr>
            <w:tcW w:w="2906" w:type="dxa"/>
            <w:tcBorders>
              <w:left w:val="nil"/>
              <w:bottom w:val="nil"/>
              <w:right w:val="nil"/>
            </w:tcBorders>
            <w:shd w:val="clear" w:color="auto" w:fill="EAF9FF"/>
            <w:vAlign w:val="top"/>
          </w:tcPr>
          <w:p w14:paraId="2A965CE6">
            <w:pPr>
              <w:pStyle w:val="8"/>
              <w:spacing w:before="66" w:line="236" w:lineRule="auto"/>
              <w:ind w:left="86"/>
            </w:pPr>
            <w:r>
              <w:rPr>
                <w:color w:val="5F6A72"/>
                <w:spacing w:val="-9"/>
              </w:rPr>
              <w:t>Neuquén Basin to Buenos Aires</w:t>
            </w:r>
          </w:p>
        </w:tc>
        <w:tc>
          <w:tcPr>
            <w:tcW w:w="1930" w:type="dxa"/>
            <w:tcBorders>
              <w:left w:val="nil"/>
              <w:bottom w:val="nil"/>
              <w:right w:val="nil"/>
            </w:tcBorders>
            <w:shd w:val="clear" w:color="auto" w:fill="EAF9FF"/>
            <w:vAlign w:val="top"/>
          </w:tcPr>
          <w:p w14:paraId="0D88CDBF">
            <w:pPr>
              <w:pStyle w:val="8"/>
              <w:spacing w:before="66" w:line="237" w:lineRule="exact"/>
              <w:ind w:left="86"/>
            </w:pPr>
            <w:r>
              <w:rPr>
                <w:color w:val="5F6A72"/>
                <w:spacing w:val="-1"/>
                <w:position w:val="1"/>
              </w:rPr>
              <w:t>11.4mcm/d</w:t>
            </w:r>
          </w:p>
        </w:tc>
      </w:tr>
    </w:tbl>
    <w:p w14:paraId="2E998719">
      <w:pPr>
        <w:pStyle w:val="4"/>
        <w:spacing w:before="182" w:line="173" w:lineRule="auto"/>
        <w:ind w:left="368"/>
        <w:rPr>
          <w:sz w:val="15"/>
          <w:szCs w:val="15"/>
        </w:rPr>
      </w:pPr>
      <w:r>
        <w:rPr>
          <w:i/>
          <w:iCs/>
          <w:color w:val="333333"/>
          <w:spacing w:val="-8"/>
          <w:w w:val="95"/>
          <w:sz w:val="15"/>
          <w:szCs w:val="15"/>
        </w:rPr>
        <w:t>Source: Chevron, BMI</w:t>
      </w:r>
    </w:p>
    <w:p w14:paraId="522A84AE">
      <w:pPr>
        <w:pStyle w:val="4"/>
        <w:spacing w:line="262" w:lineRule="auto"/>
      </w:pPr>
    </w:p>
    <w:p w14:paraId="5834327C">
      <w:pPr>
        <w:pStyle w:val="4"/>
        <w:spacing w:before="70" w:line="234" w:lineRule="auto"/>
        <w:ind w:left="427"/>
        <w:rPr>
          <w:sz w:val="24"/>
          <w:szCs w:val="24"/>
        </w:rPr>
      </w:pPr>
      <w:r>
        <w:drawing>
          <wp:anchor distT="0" distB="0" distL="0" distR="0" simplePos="0" relativeHeight="251958272" behindDoc="0" locked="0" layoutInCell="1" allowOverlap="1">
            <wp:simplePos x="0" y="0"/>
            <wp:positionH relativeFrom="column">
              <wp:posOffset>227965</wp:posOffset>
            </wp:positionH>
            <wp:positionV relativeFrom="paragraph">
              <wp:posOffset>1325245</wp:posOffset>
            </wp:positionV>
            <wp:extent cx="6480175" cy="6985"/>
            <wp:effectExtent l="0" t="0" r="0" b="0"/>
            <wp:wrapNone/>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114"/>
                    <a:stretch>
                      <a:fillRect/>
                    </a:stretch>
                  </pic:blipFill>
                  <pic:spPr>
                    <a:xfrm>
                      <a:off x="0" y="0"/>
                      <a:ext cx="6479999" cy="7143"/>
                    </a:xfrm>
                    <a:prstGeom prst="rect">
                      <a:avLst/>
                    </a:prstGeom>
                  </pic:spPr>
                </pic:pic>
              </a:graphicData>
            </a:graphic>
          </wp:anchor>
        </w:drawing>
      </w:r>
      <w:r>
        <w:rPr>
          <w:color w:val="174174"/>
          <w:spacing w:val="-15"/>
          <w:sz w:val="24"/>
          <w:szCs w:val="24"/>
        </w:rPr>
        <w:t>Key Financial Data, US</w:t>
      </w:r>
      <w:r>
        <w:rPr>
          <w:color w:val="174174"/>
          <w:spacing w:val="-16"/>
          <w:sz w:val="24"/>
          <w:szCs w:val="24"/>
        </w:rPr>
        <w:t>Dmn</w:t>
      </w:r>
    </w:p>
    <w:p w14:paraId="6F9F56A8">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824"/>
        <w:gridCol w:w="2537"/>
        <w:gridCol w:w="2879"/>
        <w:gridCol w:w="2964"/>
      </w:tblGrid>
      <w:tr w14:paraId="30CA5D8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1824" w:type="dxa"/>
            <w:tcBorders>
              <w:left w:val="nil"/>
            </w:tcBorders>
            <w:vAlign w:val="top"/>
          </w:tcPr>
          <w:p w14:paraId="125C6F8D">
            <w:pPr>
              <w:pStyle w:val="8"/>
              <w:rPr>
                <w:sz w:val="21"/>
              </w:rPr>
            </w:pPr>
          </w:p>
        </w:tc>
        <w:tc>
          <w:tcPr>
            <w:tcW w:w="2537" w:type="dxa"/>
            <w:tcBorders>
              <w:right w:val="nil"/>
            </w:tcBorders>
            <w:vAlign w:val="top"/>
          </w:tcPr>
          <w:p w14:paraId="026D0B00">
            <w:pPr>
              <w:pStyle w:val="8"/>
              <w:spacing w:before="113" w:line="185" w:lineRule="auto"/>
              <w:ind w:left="2076"/>
            </w:pPr>
            <w:r>
              <w:rPr>
                <w:b/>
                <w:bCs/>
                <w:color w:val="5F6A72"/>
                <w:spacing w:val="-10"/>
              </w:rPr>
              <w:t>FY22</w:t>
            </w:r>
          </w:p>
        </w:tc>
        <w:tc>
          <w:tcPr>
            <w:tcW w:w="2879" w:type="dxa"/>
            <w:tcBorders>
              <w:left w:val="nil"/>
              <w:right w:val="nil"/>
            </w:tcBorders>
            <w:vAlign w:val="top"/>
          </w:tcPr>
          <w:p w14:paraId="67F8D0CB">
            <w:pPr>
              <w:pStyle w:val="8"/>
              <w:spacing w:before="113" w:line="184" w:lineRule="auto"/>
              <w:ind w:left="2425"/>
            </w:pPr>
            <w:r>
              <w:rPr>
                <w:b/>
                <w:bCs/>
                <w:color w:val="5F6A72"/>
                <w:spacing w:val="-10"/>
              </w:rPr>
              <w:t>FY23</w:t>
            </w:r>
          </w:p>
        </w:tc>
        <w:tc>
          <w:tcPr>
            <w:tcW w:w="2964" w:type="dxa"/>
            <w:tcBorders>
              <w:left w:val="nil"/>
              <w:right w:val="nil"/>
            </w:tcBorders>
            <w:vAlign w:val="top"/>
          </w:tcPr>
          <w:p w14:paraId="20C920A1">
            <w:pPr>
              <w:pStyle w:val="8"/>
              <w:spacing w:before="113" w:line="185" w:lineRule="auto"/>
              <w:ind w:left="2511"/>
            </w:pPr>
            <w:r>
              <w:rPr>
                <w:b/>
                <w:bCs/>
                <w:color w:val="5F6A72"/>
                <w:spacing w:val="-9"/>
                <w:w w:val="99"/>
              </w:rPr>
              <w:t>FY24</w:t>
            </w:r>
          </w:p>
        </w:tc>
      </w:tr>
      <w:tr w14:paraId="5F5552F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824" w:type="dxa"/>
            <w:tcBorders>
              <w:left w:val="nil"/>
            </w:tcBorders>
            <w:vAlign w:val="top"/>
          </w:tcPr>
          <w:p w14:paraId="729F11A2">
            <w:pPr>
              <w:pStyle w:val="8"/>
              <w:spacing w:before="65" w:line="237" w:lineRule="exact"/>
              <w:ind w:left="18"/>
            </w:pPr>
            <w:r>
              <w:rPr>
                <w:color w:val="2A8ABF"/>
                <w:spacing w:val="-9"/>
                <w:position w:val="1"/>
              </w:rPr>
              <w:t>Net</w:t>
            </w:r>
            <w:r>
              <w:rPr>
                <w:color w:val="2A8ABF"/>
                <w:spacing w:val="-11"/>
                <w:position w:val="1"/>
              </w:rPr>
              <w:t xml:space="preserve"> </w:t>
            </w:r>
            <w:r>
              <w:rPr>
                <w:color w:val="2A8ABF"/>
                <w:spacing w:val="-9"/>
                <w:position w:val="1"/>
              </w:rPr>
              <w:t>sales</w:t>
            </w:r>
          </w:p>
        </w:tc>
        <w:tc>
          <w:tcPr>
            <w:tcW w:w="2537" w:type="dxa"/>
            <w:tcBorders>
              <w:right w:val="nil"/>
            </w:tcBorders>
            <w:vAlign w:val="top"/>
          </w:tcPr>
          <w:p w14:paraId="5F820050">
            <w:pPr>
              <w:pStyle w:val="8"/>
              <w:spacing w:before="65" w:line="214" w:lineRule="exact"/>
              <w:ind w:left="1847"/>
            </w:pPr>
            <w:r>
              <w:rPr>
                <w:color w:val="5F6A72"/>
                <w:spacing w:val="-5"/>
                <w:position w:val="1"/>
              </w:rPr>
              <w:t>246,252</w:t>
            </w:r>
          </w:p>
        </w:tc>
        <w:tc>
          <w:tcPr>
            <w:tcW w:w="2879" w:type="dxa"/>
            <w:tcBorders>
              <w:left w:val="nil"/>
              <w:right w:val="nil"/>
            </w:tcBorders>
            <w:vAlign w:val="top"/>
          </w:tcPr>
          <w:p w14:paraId="7AD06E26">
            <w:pPr>
              <w:pStyle w:val="8"/>
              <w:spacing w:before="65" w:line="214" w:lineRule="exact"/>
              <w:ind w:left="2197"/>
            </w:pPr>
            <w:r>
              <w:rPr>
                <w:color w:val="5F6A72"/>
                <w:spacing w:val="-5"/>
                <w:position w:val="1"/>
              </w:rPr>
              <w:t>200,949</w:t>
            </w:r>
          </w:p>
        </w:tc>
        <w:tc>
          <w:tcPr>
            <w:tcW w:w="2964" w:type="dxa"/>
            <w:tcBorders>
              <w:left w:val="nil"/>
              <w:right w:val="nil"/>
            </w:tcBorders>
            <w:vAlign w:val="top"/>
          </w:tcPr>
          <w:p w14:paraId="3D156E49">
            <w:pPr>
              <w:pStyle w:val="8"/>
              <w:spacing w:before="65" w:line="214" w:lineRule="exact"/>
              <w:ind w:left="2282"/>
            </w:pPr>
            <w:r>
              <w:rPr>
                <w:color w:val="5F6A72"/>
                <w:spacing w:val="-5"/>
                <w:position w:val="1"/>
              </w:rPr>
              <w:t>202,792</w:t>
            </w:r>
          </w:p>
        </w:tc>
      </w:tr>
      <w:tr w14:paraId="347C066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824" w:type="dxa"/>
            <w:tcBorders>
              <w:left w:val="nil"/>
            </w:tcBorders>
            <w:shd w:val="clear" w:color="auto" w:fill="EAF9FF"/>
            <w:vAlign w:val="top"/>
          </w:tcPr>
          <w:p w14:paraId="267E59BE">
            <w:pPr>
              <w:pStyle w:val="8"/>
              <w:spacing w:before="65" w:line="239" w:lineRule="exact"/>
              <w:ind w:left="18"/>
            </w:pPr>
            <w:r>
              <w:rPr>
                <w:color w:val="2A8ABF"/>
                <w:spacing w:val="-19"/>
                <w:position w:val="1"/>
              </w:rPr>
              <w:t>EBITDA</w:t>
            </w:r>
          </w:p>
        </w:tc>
        <w:tc>
          <w:tcPr>
            <w:tcW w:w="2537" w:type="dxa"/>
            <w:tcBorders>
              <w:right w:val="nil"/>
            </w:tcBorders>
            <w:shd w:val="clear" w:color="auto" w:fill="EAF9FF"/>
            <w:vAlign w:val="top"/>
          </w:tcPr>
          <w:p w14:paraId="3FEDC7F9">
            <w:pPr>
              <w:pStyle w:val="8"/>
              <w:spacing w:before="65" w:line="214" w:lineRule="exact"/>
              <w:ind w:left="1947"/>
            </w:pPr>
            <w:r>
              <w:rPr>
                <w:color w:val="5F6A72"/>
                <w:spacing w:val="-6"/>
                <w:position w:val="1"/>
              </w:rPr>
              <w:t>67,483</w:t>
            </w:r>
          </w:p>
        </w:tc>
        <w:tc>
          <w:tcPr>
            <w:tcW w:w="2879" w:type="dxa"/>
            <w:tcBorders>
              <w:left w:val="nil"/>
              <w:right w:val="nil"/>
            </w:tcBorders>
            <w:shd w:val="clear" w:color="auto" w:fill="EAF9FF"/>
            <w:vAlign w:val="top"/>
          </w:tcPr>
          <w:p w14:paraId="58D93774">
            <w:pPr>
              <w:pStyle w:val="8"/>
              <w:spacing w:before="65" w:line="214" w:lineRule="exact"/>
              <w:ind w:left="2291"/>
            </w:pPr>
            <w:r>
              <w:rPr>
                <w:color w:val="5F6A72"/>
                <w:spacing w:val="-5"/>
                <w:position w:val="1"/>
              </w:rPr>
              <w:t>48,293</w:t>
            </w:r>
          </w:p>
        </w:tc>
        <w:tc>
          <w:tcPr>
            <w:tcW w:w="2964" w:type="dxa"/>
            <w:tcBorders>
              <w:left w:val="nil"/>
              <w:right w:val="nil"/>
            </w:tcBorders>
            <w:shd w:val="clear" w:color="auto" w:fill="EAF9FF"/>
            <w:vAlign w:val="top"/>
          </w:tcPr>
          <w:p w14:paraId="7776C48C">
            <w:pPr>
              <w:pStyle w:val="8"/>
              <w:spacing w:before="65" w:line="214" w:lineRule="exact"/>
              <w:ind w:left="2377"/>
            </w:pPr>
            <w:r>
              <w:rPr>
                <w:color w:val="5F6A72"/>
                <w:spacing w:val="-5"/>
                <w:position w:val="1"/>
              </w:rPr>
              <w:t>45,382</w:t>
            </w:r>
          </w:p>
        </w:tc>
      </w:tr>
      <w:tr w14:paraId="4F007DC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480" w:hRule="atLeast"/>
        </w:trPr>
        <w:tc>
          <w:tcPr>
            <w:tcW w:w="1824" w:type="dxa"/>
            <w:tcBorders>
              <w:left w:val="nil"/>
              <w:bottom w:val="nil"/>
            </w:tcBorders>
            <w:vAlign w:val="top"/>
          </w:tcPr>
          <w:p w14:paraId="041F2E36">
            <w:pPr>
              <w:pStyle w:val="8"/>
              <w:spacing w:before="141" w:line="237" w:lineRule="exact"/>
              <w:ind w:left="18"/>
            </w:pPr>
            <w:r>
              <w:rPr>
                <w:color w:val="2A8ABF"/>
                <w:spacing w:val="-6"/>
                <w:position w:val="1"/>
              </w:rPr>
              <w:t>Net Income</w:t>
            </w:r>
          </w:p>
        </w:tc>
        <w:tc>
          <w:tcPr>
            <w:tcW w:w="2537" w:type="dxa"/>
            <w:tcBorders>
              <w:bottom w:val="nil"/>
              <w:right w:val="nil"/>
            </w:tcBorders>
            <w:vAlign w:val="top"/>
          </w:tcPr>
          <w:p w14:paraId="2901853D">
            <w:pPr>
              <w:pStyle w:val="8"/>
              <w:spacing w:before="141" w:line="214" w:lineRule="exact"/>
              <w:ind w:left="1941"/>
            </w:pPr>
            <w:r>
              <w:rPr>
                <w:color w:val="5F6A72"/>
                <w:spacing w:val="-5"/>
                <w:position w:val="1"/>
              </w:rPr>
              <w:t>35,465</w:t>
            </w:r>
          </w:p>
        </w:tc>
        <w:tc>
          <w:tcPr>
            <w:tcW w:w="2879" w:type="dxa"/>
            <w:tcBorders>
              <w:left w:val="nil"/>
              <w:bottom w:val="nil"/>
              <w:right w:val="nil"/>
            </w:tcBorders>
            <w:vAlign w:val="top"/>
          </w:tcPr>
          <w:p w14:paraId="7DDDAFFC">
            <w:pPr>
              <w:pStyle w:val="8"/>
              <w:spacing w:before="141" w:line="214" w:lineRule="exact"/>
              <w:ind w:left="2294"/>
            </w:pPr>
            <w:r>
              <w:rPr>
                <w:color w:val="5F6A72"/>
                <w:spacing w:val="-6"/>
                <w:position w:val="1"/>
              </w:rPr>
              <w:t>21,369</w:t>
            </w:r>
          </w:p>
        </w:tc>
        <w:tc>
          <w:tcPr>
            <w:tcW w:w="2964" w:type="dxa"/>
            <w:tcBorders>
              <w:left w:val="nil"/>
              <w:bottom w:val="nil"/>
              <w:right w:val="nil"/>
            </w:tcBorders>
            <w:vAlign w:val="top"/>
          </w:tcPr>
          <w:p w14:paraId="5D35CD6E">
            <w:pPr>
              <w:pStyle w:val="8"/>
              <w:spacing w:before="141" w:line="214" w:lineRule="exact"/>
              <w:ind w:left="2384"/>
            </w:pPr>
            <w:r>
              <w:rPr>
                <w:color w:val="5F6A72"/>
                <w:spacing w:val="-6"/>
                <w:position w:val="1"/>
              </w:rPr>
              <w:t>17,661</w:t>
            </w:r>
          </w:p>
        </w:tc>
      </w:tr>
    </w:tbl>
    <w:p w14:paraId="64A80367">
      <w:pPr>
        <w:pStyle w:val="4"/>
        <w:spacing w:before="182" w:line="173" w:lineRule="auto"/>
        <w:ind w:left="368"/>
        <w:rPr>
          <w:sz w:val="15"/>
          <w:szCs w:val="15"/>
        </w:rPr>
      </w:pPr>
      <w:r>
        <w:rPr>
          <w:i/>
          <w:iCs/>
          <w:color w:val="333333"/>
          <w:spacing w:val="-8"/>
          <w:w w:val="95"/>
          <w:sz w:val="15"/>
          <w:szCs w:val="15"/>
        </w:rPr>
        <w:t>Source: Chevron, BMI</w:t>
      </w:r>
    </w:p>
    <w:p w14:paraId="170028C6">
      <w:pPr>
        <w:spacing w:line="173" w:lineRule="auto"/>
        <w:rPr>
          <w:sz w:val="15"/>
          <w:szCs w:val="15"/>
        </w:rPr>
        <w:sectPr>
          <w:footerReference r:id="rId83" w:type="default"/>
          <w:pgSz w:w="11906" w:h="16838"/>
          <w:pgMar w:top="400" w:right="490" w:bottom="883" w:left="490" w:header="0" w:footer="0" w:gutter="0"/>
          <w:cols w:space="720" w:num="1"/>
        </w:sectPr>
      </w:pPr>
    </w:p>
    <w:p w14:paraId="2709C582">
      <w:pPr>
        <w:pStyle w:val="4"/>
        <w:spacing w:before="73" w:line="241" w:lineRule="auto"/>
        <w:ind w:left="7372"/>
        <w:rPr>
          <w:sz w:val="20"/>
          <w:szCs w:val="20"/>
        </w:rPr>
      </w:pPr>
      <w:r>
        <w:drawing>
          <wp:anchor distT="0" distB="0" distL="0" distR="0" simplePos="0" relativeHeight="25196032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61344" behindDoc="0" locked="0" layoutInCell="0" allowOverlap="1">
            <wp:simplePos x="0" y="0"/>
            <wp:positionH relativeFrom="page">
              <wp:posOffset>311150</wp:posOffset>
            </wp:positionH>
            <wp:positionV relativeFrom="page">
              <wp:posOffset>0</wp:posOffset>
            </wp:positionV>
            <wp:extent cx="19050" cy="814070"/>
            <wp:effectExtent l="0" t="0" r="0" b="0"/>
            <wp:wrapNone/>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2B2BA21">
      <w:pPr>
        <w:pStyle w:val="4"/>
        <w:spacing w:line="278" w:lineRule="auto"/>
      </w:pPr>
    </w:p>
    <w:p w14:paraId="568BDF1A">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6D090A2">
      <w:pPr>
        <w:pStyle w:val="4"/>
        <w:spacing w:line="248" w:lineRule="auto"/>
      </w:pPr>
    </w:p>
    <w:p w14:paraId="22B3FF1A">
      <w:pPr>
        <w:pStyle w:val="4"/>
        <w:spacing w:line="249" w:lineRule="auto"/>
      </w:pPr>
    </w:p>
    <w:p w14:paraId="68B9AE98">
      <w:pPr>
        <w:pStyle w:val="4"/>
        <w:spacing w:before="87" w:line="183" w:lineRule="auto"/>
        <w:ind w:left="384"/>
        <w:outlineLvl w:val="0"/>
        <w:rPr>
          <w:sz w:val="30"/>
          <w:szCs w:val="30"/>
        </w:rPr>
      </w:pPr>
      <w:bookmarkStart w:id="37" w:name="bookmark26"/>
      <w:bookmarkEnd w:id="37"/>
      <w:r>
        <w:rPr>
          <w:color w:val="2A8ABF"/>
          <w:spacing w:val="-19"/>
          <w:sz w:val="30"/>
          <w:szCs w:val="30"/>
        </w:rPr>
        <w:t>ExxonMobil</w:t>
      </w:r>
    </w:p>
    <w:p w14:paraId="299D5AD4">
      <w:pPr>
        <w:pStyle w:val="4"/>
        <w:spacing w:line="314" w:lineRule="auto"/>
      </w:pPr>
    </w:p>
    <w:p w14:paraId="6C134320">
      <w:pPr>
        <w:pStyle w:val="4"/>
        <w:spacing w:before="58" w:line="182" w:lineRule="auto"/>
        <w:ind w:left="375"/>
        <w:rPr>
          <w:sz w:val="20"/>
          <w:szCs w:val="20"/>
        </w:rPr>
      </w:pPr>
      <w:r>
        <w:rPr>
          <w:b/>
          <w:bCs/>
          <w:color w:val="57585A"/>
          <w:spacing w:val="-8"/>
          <w:sz w:val="20"/>
          <w:szCs w:val="20"/>
        </w:rPr>
        <w:t>Latest Updates</w:t>
      </w:r>
    </w:p>
    <w:p w14:paraId="7F536157">
      <w:pPr>
        <w:pStyle w:val="4"/>
        <w:spacing w:line="288" w:lineRule="auto"/>
      </w:pPr>
    </w:p>
    <w:p w14:paraId="5FA546D0">
      <w:pPr>
        <w:pStyle w:val="4"/>
        <w:spacing w:before="57" w:line="262" w:lineRule="auto"/>
        <w:ind w:left="604" w:right="407" w:hanging="247"/>
        <w:rPr>
          <w:sz w:val="20"/>
          <w:szCs w:val="20"/>
        </w:rPr>
      </w:pPr>
      <w:r>
        <w:rPr>
          <w:color w:val="33CCFF"/>
          <w:spacing w:val="-12"/>
          <w:sz w:val="20"/>
          <w:szCs w:val="20"/>
        </w:rPr>
        <w:t xml:space="preserve">•   </w:t>
      </w:r>
      <w:r>
        <w:rPr>
          <w:color w:val="57585A"/>
          <w:spacing w:val="-12"/>
          <w:sz w:val="20"/>
          <w:szCs w:val="20"/>
        </w:rPr>
        <w:t>In November 2024,</w:t>
      </w:r>
      <w:r>
        <w:rPr>
          <w:color w:val="57585A"/>
          <w:spacing w:val="1"/>
          <w:sz w:val="20"/>
          <w:szCs w:val="20"/>
        </w:rPr>
        <w:t xml:space="preserve"> </w:t>
      </w:r>
      <w:r>
        <w:rPr>
          <w:color w:val="57585A"/>
          <w:spacing w:val="-12"/>
          <w:sz w:val="20"/>
          <w:szCs w:val="20"/>
        </w:rPr>
        <w:t>ExxonMo</w:t>
      </w:r>
      <w:r>
        <w:rPr>
          <w:color w:val="57585A"/>
          <w:spacing w:val="-13"/>
          <w:sz w:val="20"/>
          <w:szCs w:val="20"/>
        </w:rPr>
        <w:t>bil</w:t>
      </w:r>
      <w:r>
        <w:rPr>
          <w:color w:val="57585A"/>
          <w:spacing w:val="-2"/>
          <w:sz w:val="20"/>
          <w:szCs w:val="20"/>
        </w:rPr>
        <w:t xml:space="preserve"> </w:t>
      </w:r>
      <w:r>
        <w:rPr>
          <w:color w:val="57585A"/>
          <w:spacing w:val="-13"/>
          <w:sz w:val="20"/>
          <w:szCs w:val="20"/>
        </w:rPr>
        <w:t>has agreed to sell its oil</w:t>
      </w:r>
      <w:r>
        <w:rPr>
          <w:color w:val="57585A"/>
          <w:spacing w:val="-8"/>
          <w:sz w:val="20"/>
          <w:szCs w:val="20"/>
        </w:rPr>
        <w:t xml:space="preserve"> </w:t>
      </w:r>
      <w:r>
        <w:rPr>
          <w:color w:val="57585A"/>
          <w:spacing w:val="-13"/>
          <w:sz w:val="20"/>
          <w:szCs w:val="20"/>
        </w:rPr>
        <w:t>and</w:t>
      </w:r>
      <w:r>
        <w:rPr>
          <w:color w:val="57585A"/>
          <w:spacing w:val="-7"/>
          <w:sz w:val="20"/>
          <w:szCs w:val="20"/>
        </w:rPr>
        <w:t xml:space="preserve"> </w:t>
      </w:r>
      <w:r>
        <w:rPr>
          <w:color w:val="57585A"/>
          <w:spacing w:val="-13"/>
          <w:sz w:val="20"/>
          <w:szCs w:val="20"/>
        </w:rPr>
        <w:t>gas</w:t>
      </w:r>
      <w:r>
        <w:rPr>
          <w:color w:val="57585A"/>
          <w:spacing w:val="-8"/>
          <w:sz w:val="20"/>
          <w:szCs w:val="20"/>
        </w:rPr>
        <w:t xml:space="preserve"> </w:t>
      </w:r>
      <w:r>
        <w:rPr>
          <w:color w:val="57585A"/>
          <w:spacing w:val="-13"/>
          <w:sz w:val="20"/>
          <w:szCs w:val="20"/>
        </w:rPr>
        <w:t>assets</w:t>
      </w:r>
      <w:r>
        <w:rPr>
          <w:color w:val="57585A"/>
          <w:spacing w:val="-4"/>
          <w:sz w:val="20"/>
          <w:szCs w:val="20"/>
        </w:rPr>
        <w:t xml:space="preserve"> </w:t>
      </w:r>
      <w:r>
        <w:rPr>
          <w:color w:val="57585A"/>
          <w:spacing w:val="-13"/>
          <w:sz w:val="20"/>
          <w:szCs w:val="20"/>
        </w:rPr>
        <w:t>in Argentina's Vaca Muerta formation to Pluspetrol.</w:t>
      </w:r>
      <w:r>
        <w:rPr>
          <w:color w:val="57585A"/>
          <w:spacing w:val="1"/>
          <w:sz w:val="20"/>
          <w:szCs w:val="20"/>
        </w:rPr>
        <w:t xml:space="preserve"> </w:t>
      </w:r>
      <w:r>
        <w:rPr>
          <w:color w:val="57585A"/>
          <w:spacing w:val="-13"/>
          <w:sz w:val="20"/>
          <w:szCs w:val="20"/>
        </w:rPr>
        <w:t>Exxon</w:t>
      </w:r>
      <w:r>
        <w:rPr>
          <w:color w:val="57585A"/>
          <w:sz w:val="20"/>
          <w:szCs w:val="20"/>
        </w:rPr>
        <w:t xml:space="preserve"> </w:t>
      </w:r>
      <w:r>
        <w:rPr>
          <w:color w:val="57585A"/>
          <w:spacing w:val="-11"/>
          <w:sz w:val="20"/>
          <w:szCs w:val="20"/>
        </w:rPr>
        <w:t>will sell five blocks in</w:t>
      </w:r>
      <w:r>
        <w:rPr>
          <w:color w:val="57585A"/>
          <w:spacing w:val="-16"/>
          <w:sz w:val="20"/>
          <w:szCs w:val="20"/>
        </w:rPr>
        <w:t xml:space="preserve"> </w:t>
      </w:r>
      <w:r>
        <w:rPr>
          <w:color w:val="57585A"/>
          <w:spacing w:val="-11"/>
          <w:sz w:val="20"/>
          <w:szCs w:val="20"/>
        </w:rPr>
        <w:t>Argentina's</w:t>
      </w:r>
      <w:r>
        <w:rPr>
          <w:color w:val="57585A"/>
          <w:spacing w:val="-16"/>
          <w:sz w:val="20"/>
          <w:szCs w:val="20"/>
        </w:rPr>
        <w:t xml:space="preserve"> </w:t>
      </w:r>
      <w:r>
        <w:rPr>
          <w:color w:val="57585A"/>
          <w:spacing w:val="-11"/>
          <w:sz w:val="20"/>
          <w:szCs w:val="20"/>
        </w:rPr>
        <w:t>western Neuquen province, and its stake in</w:t>
      </w:r>
      <w:r>
        <w:rPr>
          <w:color w:val="57585A"/>
          <w:spacing w:val="-15"/>
          <w:sz w:val="20"/>
          <w:szCs w:val="20"/>
        </w:rPr>
        <w:t xml:space="preserve"> </w:t>
      </w:r>
      <w:r>
        <w:rPr>
          <w:color w:val="57585A"/>
          <w:spacing w:val="-11"/>
          <w:sz w:val="20"/>
          <w:szCs w:val="20"/>
        </w:rPr>
        <w:t>Argentine oil pipel</w:t>
      </w:r>
      <w:r>
        <w:rPr>
          <w:color w:val="57585A"/>
          <w:spacing w:val="-12"/>
          <w:sz w:val="20"/>
          <w:szCs w:val="20"/>
        </w:rPr>
        <w:t>ine operator Oleoductos del Valle.</w:t>
      </w:r>
    </w:p>
    <w:p w14:paraId="564F0E3C">
      <w:pPr>
        <w:pStyle w:val="4"/>
        <w:spacing w:before="58" w:line="234" w:lineRule="auto"/>
        <w:ind w:left="357"/>
        <w:rPr>
          <w:sz w:val="20"/>
          <w:szCs w:val="20"/>
        </w:rPr>
      </w:pPr>
      <w:r>
        <w:rPr>
          <w:color w:val="33CCFF"/>
          <w:spacing w:val="-11"/>
          <w:sz w:val="20"/>
          <w:szCs w:val="20"/>
        </w:rPr>
        <w:t xml:space="preserve">•   </w:t>
      </w:r>
      <w:r>
        <w:rPr>
          <w:color w:val="57585A"/>
          <w:spacing w:val="-11"/>
          <w:sz w:val="20"/>
          <w:szCs w:val="20"/>
        </w:rPr>
        <w:t>In</w:t>
      </w:r>
      <w:r>
        <w:rPr>
          <w:color w:val="57585A"/>
          <w:spacing w:val="-16"/>
          <w:sz w:val="20"/>
          <w:szCs w:val="20"/>
        </w:rPr>
        <w:t xml:space="preserve"> </w:t>
      </w:r>
      <w:r>
        <w:rPr>
          <w:color w:val="57585A"/>
          <w:spacing w:val="-11"/>
          <w:sz w:val="20"/>
          <w:szCs w:val="20"/>
        </w:rPr>
        <w:t>August 2024, ExxonMobil unconventional gas production</w:t>
      </w:r>
      <w:r>
        <w:rPr>
          <w:color w:val="57585A"/>
          <w:spacing w:val="-4"/>
          <w:sz w:val="20"/>
          <w:szCs w:val="20"/>
        </w:rPr>
        <w:t xml:space="preserve"> </w:t>
      </w:r>
      <w:r>
        <w:rPr>
          <w:color w:val="57585A"/>
          <w:spacing w:val="-11"/>
          <w:sz w:val="20"/>
          <w:szCs w:val="20"/>
        </w:rPr>
        <w:t>in</w:t>
      </w:r>
      <w:r>
        <w:rPr>
          <w:color w:val="57585A"/>
          <w:spacing w:val="-15"/>
          <w:sz w:val="20"/>
          <w:szCs w:val="20"/>
        </w:rPr>
        <w:t xml:space="preserve"> </w:t>
      </w:r>
      <w:r>
        <w:rPr>
          <w:color w:val="57585A"/>
          <w:spacing w:val="-11"/>
          <w:sz w:val="20"/>
          <w:szCs w:val="20"/>
        </w:rPr>
        <w:t>Argentina</w:t>
      </w:r>
      <w:r>
        <w:rPr>
          <w:color w:val="57585A"/>
          <w:spacing w:val="-4"/>
          <w:sz w:val="20"/>
          <w:szCs w:val="20"/>
        </w:rPr>
        <w:t xml:space="preserve"> </w:t>
      </w:r>
      <w:r>
        <w:rPr>
          <w:color w:val="57585A"/>
          <w:spacing w:val="-11"/>
          <w:sz w:val="20"/>
          <w:szCs w:val="20"/>
        </w:rPr>
        <w:t>increased</w:t>
      </w:r>
      <w:r>
        <w:rPr>
          <w:color w:val="57585A"/>
          <w:spacing w:val="-2"/>
          <w:sz w:val="20"/>
          <w:szCs w:val="20"/>
        </w:rPr>
        <w:t xml:space="preserve"> </w:t>
      </w:r>
      <w:r>
        <w:rPr>
          <w:color w:val="57585A"/>
          <w:spacing w:val="-11"/>
          <w:sz w:val="20"/>
          <w:szCs w:val="20"/>
        </w:rPr>
        <w:t>by</w:t>
      </w:r>
      <w:r>
        <w:rPr>
          <w:color w:val="57585A"/>
          <w:spacing w:val="2"/>
          <w:sz w:val="20"/>
          <w:szCs w:val="20"/>
        </w:rPr>
        <w:t xml:space="preserve"> </w:t>
      </w:r>
      <w:r>
        <w:rPr>
          <w:color w:val="57585A"/>
          <w:spacing w:val="-11"/>
          <w:sz w:val="20"/>
          <w:szCs w:val="20"/>
        </w:rPr>
        <w:t>1</w:t>
      </w:r>
      <w:r>
        <w:rPr>
          <w:color w:val="57585A"/>
          <w:spacing w:val="-12"/>
          <w:sz w:val="20"/>
          <w:szCs w:val="20"/>
        </w:rPr>
        <w:t>56%</w:t>
      </w:r>
      <w:r>
        <w:rPr>
          <w:color w:val="57585A"/>
          <w:spacing w:val="-6"/>
          <w:sz w:val="20"/>
          <w:szCs w:val="20"/>
        </w:rPr>
        <w:t xml:space="preserve"> </w:t>
      </w:r>
      <w:r>
        <w:rPr>
          <w:color w:val="57585A"/>
          <w:spacing w:val="-12"/>
          <w:sz w:val="20"/>
          <w:szCs w:val="20"/>
        </w:rPr>
        <w:t>compared to</w:t>
      </w:r>
      <w:r>
        <w:rPr>
          <w:color w:val="57585A"/>
          <w:spacing w:val="-16"/>
          <w:sz w:val="20"/>
          <w:szCs w:val="20"/>
        </w:rPr>
        <w:t xml:space="preserve"> </w:t>
      </w:r>
      <w:r>
        <w:rPr>
          <w:color w:val="57585A"/>
          <w:spacing w:val="-12"/>
          <w:sz w:val="20"/>
          <w:szCs w:val="20"/>
        </w:rPr>
        <w:t>August 2023</w:t>
      </w:r>
      <w:r>
        <w:rPr>
          <w:color w:val="57585A"/>
          <w:spacing w:val="-1"/>
          <w:sz w:val="20"/>
          <w:szCs w:val="20"/>
        </w:rPr>
        <w:t xml:space="preserve"> </w:t>
      </w:r>
      <w:r>
        <w:rPr>
          <w:color w:val="57585A"/>
          <w:spacing w:val="-12"/>
          <w:sz w:val="20"/>
          <w:szCs w:val="20"/>
        </w:rPr>
        <w:t>levels.</w:t>
      </w:r>
    </w:p>
    <w:p w14:paraId="3F949A0B">
      <w:pPr>
        <w:pStyle w:val="4"/>
        <w:spacing w:before="56" w:line="272" w:lineRule="auto"/>
        <w:ind w:left="613" w:right="385" w:hanging="256"/>
        <w:rPr>
          <w:sz w:val="20"/>
          <w:szCs w:val="20"/>
        </w:rPr>
      </w:pPr>
      <w:r>
        <w:rPr>
          <w:color w:val="33CCFF"/>
          <w:spacing w:val="-12"/>
          <w:sz w:val="20"/>
          <w:szCs w:val="20"/>
        </w:rPr>
        <w:t xml:space="preserve">•   </w:t>
      </w:r>
      <w:r>
        <w:rPr>
          <w:color w:val="57585A"/>
          <w:spacing w:val="-12"/>
          <w:sz w:val="20"/>
          <w:szCs w:val="20"/>
        </w:rPr>
        <w:t>ExxonMobil remains a relatively small oil and gas</w:t>
      </w:r>
      <w:r>
        <w:rPr>
          <w:color w:val="57585A"/>
          <w:spacing w:val="-2"/>
          <w:sz w:val="20"/>
          <w:szCs w:val="20"/>
        </w:rPr>
        <w:t xml:space="preserve"> </w:t>
      </w:r>
      <w:r>
        <w:rPr>
          <w:color w:val="57585A"/>
          <w:spacing w:val="-12"/>
          <w:sz w:val="20"/>
          <w:szCs w:val="20"/>
        </w:rPr>
        <w:t>producer</w:t>
      </w:r>
      <w:r>
        <w:rPr>
          <w:color w:val="57585A"/>
          <w:spacing w:val="-4"/>
          <w:sz w:val="20"/>
          <w:szCs w:val="20"/>
        </w:rPr>
        <w:t xml:space="preserve"> </w:t>
      </w:r>
      <w:r>
        <w:rPr>
          <w:color w:val="57585A"/>
          <w:spacing w:val="-12"/>
          <w:sz w:val="20"/>
          <w:szCs w:val="20"/>
        </w:rPr>
        <w:t>in</w:t>
      </w:r>
      <w:r>
        <w:rPr>
          <w:color w:val="57585A"/>
          <w:spacing w:val="-15"/>
          <w:sz w:val="20"/>
          <w:szCs w:val="20"/>
        </w:rPr>
        <w:t xml:space="preserve"> </w:t>
      </w:r>
      <w:r>
        <w:rPr>
          <w:color w:val="57585A"/>
          <w:spacing w:val="-12"/>
          <w:sz w:val="20"/>
          <w:szCs w:val="20"/>
        </w:rPr>
        <w:t>Argentina, focused on unconventional assets.</w:t>
      </w:r>
      <w:r>
        <w:rPr>
          <w:color w:val="57585A"/>
          <w:spacing w:val="-16"/>
          <w:sz w:val="20"/>
          <w:szCs w:val="20"/>
        </w:rPr>
        <w:t xml:space="preserve"> </w:t>
      </w:r>
      <w:r>
        <w:rPr>
          <w:color w:val="57585A"/>
          <w:spacing w:val="-12"/>
          <w:sz w:val="20"/>
          <w:szCs w:val="20"/>
        </w:rPr>
        <w:t>As of 2023, Che</w:t>
      </w:r>
      <w:r>
        <w:rPr>
          <w:color w:val="57585A"/>
          <w:spacing w:val="-13"/>
          <w:sz w:val="20"/>
          <w:szCs w:val="20"/>
        </w:rPr>
        <w:t>vron's</w:t>
      </w:r>
      <w:r>
        <w:rPr>
          <w:color w:val="57585A"/>
          <w:sz w:val="20"/>
          <w:szCs w:val="20"/>
        </w:rPr>
        <w:t xml:space="preserve"> </w:t>
      </w:r>
      <w:r>
        <w:rPr>
          <w:color w:val="57585A"/>
          <w:spacing w:val="-12"/>
          <w:sz w:val="20"/>
          <w:szCs w:val="20"/>
        </w:rPr>
        <w:t>market share in oil and gas production lingered at 1.6% a</w:t>
      </w:r>
      <w:r>
        <w:rPr>
          <w:color w:val="57585A"/>
          <w:spacing w:val="-13"/>
          <w:sz w:val="20"/>
          <w:szCs w:val="20"/>
        </w:rPr>
        <w:t>nd 0.5% respectively. The US-based major is a</w:t>
      </w:r>
      <w:r>
        <w:rPr>
          <w:color w:val="57585A"/>
          <w:spacing w:val="-2"/>
          <w:sz w:val="20"/>
          <w:szCs w:val="20"/>
        </w:rPr>
        <w:t xml:space="preserve"> </w:t>
      </w:r>
      <w:r>
        <w:rPr>
          <w:color w:val="57585A"/>
          <w:spacing w:val="-13"/>
          <w:sz w:val="20"/>
          <w:szCs w:val="20"/>
        </w:rPr>
        <w:t>member of</w:t>
      </w:r>
      <w:r>
        <w:rPr>
          <w:color w:val="57585A"/>
          <w:spacing w:val="-21"/>
          <w:sz w:val="20"/>
          <w:szCs w:val="20"/>
        </w:rPr>
        <w:t xml:space="preserve"> </w:t>
      </w:r>
      <w:r>
        <w:rPr>
          <w:color w:val="57585A"/>
          <w:spacing w:val="-13"/>
          <w:sz w:val="20"/>
          <w:szCs w:val="20"/>
        </w:rPr>
        <w:t>the Oldelval</w:t>
      </w:r>
      <w:r>
        <w:rPr>
          <w:color w:val="57585A"/>
          <w:sz w:val="20"/>
          <w:szCs w:val="20"/>
        </w:rPr>
        <w:t xml:space="preserve"> </w:t>
      </w:r>
      <w:r>
        <w:rPr>
          <w:color w:val="57585A"/>
          <w:spacing w:val="-9"/>
          <w:sz w:val="20"/>
          <w:szCs w:val="20"/>
        </w:rPr>
        <w:t>consortium,</w:t>
      </w:r>
      <w:r>
        <w:rPr>
          <w:color w:val="57585A"/>
          <w:spacing w:val="-15"/>
          <w:sz w:val="20"/>
          <w:szCs w:val="20"/>
        </w:rPr>
        <w:t xml:space="preserve"> </w:t>
      </w:r>
      <w:r>
        <w:rPr>
          <w:color w:val="57585A"/>
          <w:spacing w:val="-9"/>
          <w:sz w:val="20"/>
          <w:szCs w:val="20"/>
        </w:rPr>
        <w:t>which continues to expand</w:t>
      </w:r>
      <w:r>
        <w:rPr>
          <w:color w:val="57585A"/>
          <w:spacing w:val="-10"/>
          <w:sz w:val="20"/>
          <w:szCs w:val="20"/>
        </w:rPr>
        <w:t xml:space="preserve"> primarily oil midstream infrastructure,</w:t>
      </w:r>
      <w:r>
        <w:rPr>
          <w:color w:val="57585A"/>
          <w:spacing w:val="-16"/>
          <w:sz w:val="20"/>
          <w:szCs w:val="20"/>
        </w:rPr>
        <w:t xml:space="preserve"> </w:t>
      </w:r>
      <w:r>
        <w:rPr>
          <w:color w:val="57585A"/>
          <w:spacing w:val="-10"/>
          <w:sz w:val="20"/>
          <w:szCs w:val="20"/>
        </w:rPr>
        <w:t>which</w:t>
      </w:r>
      <w:r>
        <w:rPr>
          <w:color w:val="57585A"/>
          <w:spacing w:val="-15"/>
          <w:sz w:val="20"/>
          <w:szCs w:val="20"/>
        </w:rPr>
        <w:t xml:space="preserve"> </w:t>
      </w:r>
      <w:r>
        <w:rPr>
          <w:color w:val="57585A"/>
          <w:spacing w:val="-10"/>
          <w:sz w:val="20"/>
          <w:szCs w:val="20"/>
        </w:rPr>
        <w:t>will support production ramp-up.</w:t>
      </w:r>
    </w:p>
    <w:p w14:paraId="0DD20F9A">
      <w:pPr>
        <w:pStyle w:val="4"/>
        <w:spacing w:before="57" w:line="234" w:lineRule="auto"/>
        <w:ind w:left="357"/>
        <w:rPr>
          <w:sz w:val="20"/>
          <w:szCs w:val="20"/>
        </w:rPr>
      </w:pPr>
      <w:r>
        <w:rPr>
          <w:color w:val="33CCFF"/>
          <w:spacing w:val="-11"/>
          <w:sz w:val="20"/>
          <w:szCs w:val="20"/>
        </w:rPr>
        <w:t xml:space="preserve">•   </w:t>
      </w:r>
      <w:r>
        <w:rPr>
          <w:color w:val="57585A"/>
          <w:spacing w:val="-11"/>
          <w:sz w:val="20"/>
          <w:szCs w:val="20"/>
        </w:rPr>
        <w:t>In March 2024,</w:t>
      </w:r>
      <w:r>
        <w:rPr>
          <w:color w:val="57585A"/>
          <w:spacing w:val="1"/>
          <w:sz w:val="20"/>
          <w:szCs w:val="20"/>
        </w:rPr>
        <w:t xml:space="preserve"> </w:t>
      </w:r>
      <w:r>
        <w:rPr>
          <w:color w:val="57585A"/>
          <w:spacing w:val="-11"/>
          <w:sz w:val="20"/>
          <w:szCs w:val="20"/>
        </w:rPr>
        <w:t>ExxonMobil returned two expl</w:t>
      </w:r>
      <w:r>
        <w:rPr>
          <w:color w:val="57585A"/>
          <w:spacing w:val="-12"/>
          <w:sz w:val="20"/>
          <w:szCs w:val="20"/>
        </w:rPr>
        <w:t>oration</w:t>
      </w:r>
      <w:r>
        <w:rPr>
          <w:color w:val="57585A"/>
          <w:spacing w:val="-2"/>
          <w:sz w:val="20"/>
          <w:szCs w:val="20"/>
        </w:rPr>
        <w:t xml:space="preserve"> </w:t>
      </w:r>
      <w:r>
        <w:rPr>
          <w:color w:val="57585A"/>
          <w:spacing w:val="-12"/>
          <w:sz w:val="20"/>
          <w:szCs w:val="20"/>
        </w:rPr>
        <w:t>blocks in the</w:t>
      </w:r>
      <w:r>
        <w:rPr>
          <w:color w:val="57585A"/>
          <w:spacing w:val="1"/>
          <w:sz w:val="20"/>
          <w:szCs w:val="20"/>
        </w:rPr>
        <w:t xml:space="preserve"> </w:t>
      </w:r>
      <w:r>
        <w:rPr>
          <w:color w:val="57585A"/>
          <w:spacing w:val="-12"/>
          <w:sz w:val="20"/>
          <w:szCs w:val="20"/>
        </w:rPr>
        <w:t>Malvinas Oeste</w:t>
      </w:r>
      <w:r>
        <w:rPr>
          <w:color w:val="57585A"/>
          <w:spacing w:val="-2"/>
          <w:sz w:val="20"/>
          <w:szCs w:val="20"/>
        </w:rPr>
        <w:t xml:space="preserve"> </w:t>
      </w:r>
      <w:r>
        <w:rPr>
          <w:color w:val="57585A"/>
          <w:spacing w:val="-12"/>
          <w:sz w:val="20"/>
          <w:szCs w:val="20"/>
        </w:rPr>
        <w:t>basin</w:t>
      </w:r>
      <w:r>
        <w:rPr>
          <w:color w:val="57585A"/>
          <w:spacing w:val="-4"/>
          <w:sz w:val="20"/>
          <w:szCs w:val="20"/>
        </w:rPr>
        <w:t xml:space="preserve"> </w:t>
      </w:r>
      <w:r>
        <w:rPr>
          <w:color w:val="57585A"/>
          <w:spacing w:val="-12"/>
          <w:sz w:val="20"/>
          <w:szCs w:val="20"/>
        </w:rPr>
        <w:t>in offshore</w:t>
      </w:r>
      <w:r>
        <w:rPr>
          <w:color w:val="57585A"/>
          <w:spacing w:val="-15"/>
          <w:sz w:val="20"/>
          <w:szCs w:val="20"/>
        </w:rPr>
        <w:t xml:space="preserve"> </w:t>
      </w:r>
      <w:r>
        <w:rPr>
          <w:color w:val="57585A"/>
          <w:spacing w:val="-12"/>
          <w:sz w:val="20"/>
          <w:szCs w:val="20"/>
        </w:rPr>
        <w:t>Argentina.</w:t>
      </w:r>
    </w:p>
    <w:p w14:paraId="6F3EE204">
      <w:pPr>
        <w:pStyle w:val="4"/>
        <w:spacing w:before="56" w:line="234" w:lineRule="auto"/>
        <w:ind w:left="357"/>
        <w:rPr>
          <w:sz w:val="20"/>
          <w:szCs w:val="20"/>
        </w:rPr>
      </w:pPr>
      <w:r>
        <w:rPr>
          <w:color w:val="33CCFF"/>
          <w:spacing w:val="-12"/>
          <w:sz w:val="20"/>
          <w:szCs w:val="20"/>
        </w:rPr>
        <w:t xml:space="preserve">•   </w:t>
      </w:r>
      <w:r>
        <w:rPr>
          <w:color w:val="57585A"/>
          <w:spacing w:val="-12"/>
          <w:sz w:val="20"/>
          <w:szCs w:val="20"/>
        </w:rPr>
        <w:t>In November 2023,</w:t>
      </w:r>
      <w:r>
        <w:rPr>
          <w:color w:val="57585A"/>
          <w:sz w:val="20"/>
          <w:szCs w:val="20"/>
        </w:rPr>
        <w:t xml:space="preserve"> </w:t>
      </w:r>
      <w:r>
        <w:rPr>
          <w:color w:val="57585A"/>
          <w:spacing w:val="-12"/>
          <w:sz w:val="20"/>
          <w:szCs w:val="20"/>
        </w:rPr>
        <w:t>ExxonMobil</w:t>
      </w:r>
      <w:r>
        <w:rPr>
          <w:color w:val="57585A"/>
          <w:spacing w:val="-2"/>
          <w:sz w:val="20"/>
          <w:szCs w:val="20"/>
        </w:rPr>
        <w:t xml:space="preserve"> </w:t>
      </w:r>
      <w:r>
        <w:rPr>
          <w:color w:val="57585A"/>
          <w:spacing w:val="-12"/>
          <w:sz w:val="20"/>
          <w:szCs w:val="20"/>
        </w:rPr>
        <w:t>launched a tender to build an oil pipeline</w:t>
      </w:r>
      <w:r>
        <w:rPr>
          <w:color w:val="57585A"/>
          <w:spacing w:val="-4"/>
          <w:sz w:val="20"/>
          <w:szCs w:val="20"/>
        </w:rPr>
        <w:t xml:space="preserve"> </w:t>
      </w:r>
      <w:r>
        <w:rPr>
          <w:color w:val="57585A"/>
          <w:spacing w:val="-12"/>
          <w:sz w:val="20"/>
          <w:szCs w:val="20"/>
        </w:rPr>
        <w:t>in</w:t>
      </w:r>
      <w:r>
        <w:rPr>
          <w:color w:val="57585A"/>
          <w:spacing w:val="-15"/>
          <w:sz w:val="20"/>
          <w:szCs w:val="20"/>
        </w:rPr>
        <w:t xml:space="preserve"> </w:t>
      </w:r>
      <w:r>
        <w:rPr>
          <w:color w:val="57585A"/>
          <w:spacing w:val="-12"/>
          <w:sz w:val="20"/>
          <w:szCs w:val="20"/>
        </w:rPr>
        <w:t>Argentina's Vaca Muerta. The</w:t>
      </w:r>
      <w:r>
        <w:rPr>
          <w:color w:val="57585A"/>
          <w:sz w:val="20"/>
          <w:szCs w:val="20"/>
        </w:rPr>
        <w:t xml:space="preserve"> </w:t>
      </w:r>
      <w:r>
        <w:rPr>
          <w:color w:val="57585A"/>
          <w:spacing w:val="-12"/>
          <w:sz w:val="20"/>
          <w:szCs w:val="20"/>
        </w:rPr>
        <w:t>Bajo del Choique</w:t>
      </w:r>
    </w:p>
    <w:p w14:paraId="6C75F558">
      <w:pPr>
        <w:pStyle w:val="4"/>
        <w:spacing w:before="56" w:line="262" w:lineRule="auto"/>
        <w:ind w:left="613" w:right="474" w:firstLine="7"/>
        <w:rPr>
          <w:sz w:val="20"/>
          <w:szCs w:val="20"/>
        </w:rPr>
      </w:pPr>
      <w:r>
        <w:rPr>
          <w:color w:val="57585A"/>
          <w:spacing w:val="-10"/>
          <w:sz w:val="20"/>
          <w:szCs w:val="20"/>
        </w:rPr>
        <w:t>Nordeste Pipeline</w:t>
      </w:r>
      <w:r>
        <w:rPr>
          <w:color w:val="57585A"/>
          <w:spacing w:val="-16"/>
          <w:sz w:val="20"/>
          <w:szCs w:val="20"/>
        </w:rPr>
        <w:t xml:space="preserve"> </w:t>
      </w:r>
      <w:r>
        <w:rPr>
          <w:color w:val="57585A"/>
          <w:spacing w:val="-10"/>
          <w:sz w:val="20"/>
          <w:szCs w:val="20"/>
        </w:rPr>
        <w:t>would move between 8,000-12,000b/d,with a potenti</w:t>
      </w:r>
      <w:r>
        <w:rPr>
          <w:color w:val="57585A"/>
          <w:spacing w:val="-11"/>
          <w:sz w:val="20"/>
          <w:szCs w:val="20"/>
        </w:rPr>
        <w:t>al to increase capacity to 60,000b/d, and connect Bajo</w:t>
      </w:r>
      <w:r>
        <w:rPr>
          <w:color w:val="57585A"/>
          <w:sz w:val="20"/>
          <w:szCs w:val="20"/>
        </w:rPr>
        <w:t xml:space="preserve"> </w:t>
      </w:r>
      <w:r>
        <w:rPr>
          <w:color w:val="57585A"/>
          <w:spacing w:val="-11"/>
          <w:sz w:val="20"/>
          <w:szCs w:val="20"/>
        </w:rPr>
        <w:t>del Choique</w:t>
      </w:r>
      <w:r>
        <w:rPr>
          <w:color w:val="57585A"/>
          <w:spacing w:val="-10"/>
          <w:sz w:val="20"/>
          <w:szCs w:val="20"/>
        </w:rPr>
        <w:t xml:space="preserve"> </w:t>
      </w:r>
      <w:r>
        <w:rPr>
          <w:color w:val="57585A"/>
          <w:spacing w:val="-11"/>
          <w:sz w:val="20"/>
          <w:szCs w:val="20"/>
        </w:rPr>
        <w:t>with La Invernada. The construction is set to begin in Q124</w:t>
      </w:r>
      <w:r>
        <w:rPr>
          <w:color w:val="57585A"/>
          <w:spacing w:val="-15"/>
          <w:sz w:val="20"/>
          <w:szCs w:val="20"/>
        </w:rPr>
        <w:t xml:space="preserve"> </w:t>
      </w:r>
      <w:r>
        <w:rPr>
          <w:color w:val="57585A"/>
          <w:spacing w:val="-11"/>
          <w:sz w:val="20"/>
          <w:szCs w:val="20"/>
        </w:rPr>
        <w:t>with commencement of</w:t>
      </w:r>
      <w:r>
        <w:rPr>
          <w:color w:val="57585A"/>
          <w:spacing w:val="-15"/>
          <w:sz w:val="20"/>
          <w:szCs w:val="20"/>
        </w:rPr>
        <w:t xml:space="preserve"> </w:t>
      </w:r>
      <w:r>
        <w:rPr>
          <w:color w:val="57585A"/>
          <w:spacing w:val="-11"/>
          <w:sz w:val="20"/>
          <w:szCs w:val="20"/>
        </w:rPr>
        <w:t>operations slated for Q4 2024.</w:t>
      </w:r>
    </w:p>
    <w:p w14:paraId="7DA72C69">
      <w:pPr>
        <w:pStyle w:val="4"/>
        <w:spacing w:before="58" w:line="262" w:lineRule="auto"/>
        <w:ind w:left="607" w:right="549" w:hanging="250"/>
        <w:rPr>
          <w:sz w:val="20"/>
          <w:szCs w:val="20"/>
        </w:rPr>
      </w:pPr>
      <w:r>
        <w:rPr>
          <w:color w:val="33CCFF"/>
          <w:spacing w:val="-11"/>
          <w:sz w:val="20"/>
          <w:szCs w:val="20"/>
        </w:rPr>
        <w:t xml:space="preserve">•   </w:t>
      </w:r>
      <w:r>
        <w:rPr>
          <w:color w:val="57585A"/>
          <w:spacing w:val="-11"/>
          <w:sz w:val="20"/>
          <w:szCs w:val="20"/>
        </w:rPr>
        <w:t>ExxonMobil, along</w:t>
      </w:r>
      <w:r>
        <w:rPr>
          <w:color w:val="57585A"/>
          <w:spacing w:val="-15"/>
          <w:sz w:val="20"/>
          <w:szCs w:val="20"/>
        </w:rPr>
        <w:t xml:space="preserve"> </w:t>
      </w:r>
      <w:r>
        <w:rPr>
          <w:color w:val="57585A"/>
          <w:spacing w:val="-11"/>
          <w:sz w:val="20"/>
          <w:szCs w:val="20"/>
        </w:rPr>
        <w:t>with Qatar Petroleum,</w:t>
      </w:r>
      <w:r>
        <w:rPr>
          <w:color w:val="57585A"/>
          <w:spacing w:val="-16"/>
          <w:sz w:val="20"/>
          <w:szCs w:val="20"/>
        </w:rPr>
        <w:t xml:space="preserve"> </w:t>
      </w:r>
      <w:r>
        <w:rPr>
          <w:color w:val="57585A"/>
          <w:spacing w:val="-11"/>
          <w:sz w:val="20"/>
          <w:szCs w:val="20"/>
        </w:rPr>
        <w:t>was granted an extension until 2024 for its offshore exploration</w:t>
      </w:r>
      <w:r>
        <w:rPr>
          <w:color w:val="57585A"/>
          <w:spacing w:val="-1"/>
          <w:sz w:val="20"/>
          <w:szCs w:val="20"/>
        </w:rPr>
        <w:t xml:space="preserve"> </w:t>
      </w:r>
      <w:r>
        <w:rPr>
          <w:color w:val="57585A"/>
          <w:spacing w:val="-11"/>
          <w:sz w:val="20"/>
          <w:szCs w:val="20"/>
        </w:rPr>
        <w:t>permits for ac</w:t>
      </w:r>
      <w:r>
        <w:rPr>
          <w:color w:val="57585A"/>
          <w:spacing w:val="-12"/>
          <w:sz w:val="20"/>
          <w:szCs w:val="20"/>
        </w:rPr>
        <w:t>reage in</w:t>
      </w:r>
      <w:r>
        <w:rPr>
          <w:color w:val="57585A"/>
          <w:sz w:val="20"/>
          <w:szCs w:val="20"/>
        </w:rPr>
        <w:t xml:space="preserve"> </w:t>
      </w:r>
      <w:r>
        <w:rPr>
          <w:color w:val="57585A"/>
          <w:spacing w:val="-12"/>
          <w:sz w:val="20"/>
          <w:szCs w:val="20"/>
        </w:rPr>
        <w:t>the</w:t>
      </w:r>
      <w:r>
        <w:rPr>
          <w:color w:val="57585A"/>
          <w:spacing w:val="-3"/>
          <w:sz w:val="20"/>
          <w:szCs w:val="20"/>
        </w:rPr>
        <w:t xml:space="preserve"> </w:t>
      </w:r>
      <w:r>
        <w:rPr>
          <w:color w:val="57585A"/>
          <w:spacing w:val="-12"/>
          <w:sz w:val="20"/>
          <w:szCs w:val="20"/>
        </w:rPr>
        <w:t>Argentine Sea.</w:t>
      </w:r>
    </w:p>
    <w:p w14:paraId="05C65CDE">
      <w:pPr>
        <w:pStyle w:val="4"/>
        <w:spacing w:before="58" w:line="262" w:lineRule="auto"/>
        <w:ind w:left="604" w:right="682" w:hanging="247"/>
        <w:rPr>
          <w:sz w:val="20"/>
          <w:szCs w:val="20"/>
        </w:rPr>
      </w:pPr>
      <w:r>
        <w:rPr>
          <w:color w:val="33CCFF"/>
          <w:spacing w:val="-11"/>
          <w:sz w:val="20"/>
          <w:szCs w:val="20"/>
        </w:rPr>
        <w:t xml:space="preserve">•   </w:t>
      </w:r>
      <w:r>
        <w:rPr>
          <w:color w:val="57585A"/>
          <w:spacing w:val="-11"/>
          <w:sz w:val="20"/>
          <w:szCs w:val="20"/>
        </w:rPr>
        <w:t>At the beginning of 2022, ExxonMobil’s net acreage totalled 2.9mn acres, of</w:t>
      </w:r>
      <w:r>
        <w:rPr>
          <w:color w:val="57585A"/>
          <w:spacing w:val="-25"/>
          <w:sz w:val="20"/>
          <w:szCs w:val="20"/>
        </w:rPr>
        <w:t xml:space="preserve"> </w:t>
      </w:r>
      <w:r>
        <w:rPr>
          <w:color w:val="57585A"/>
          <w:spacing w:val="-11"/>
          <w:sz w:val="20"/>
          <w:szCs w:val="20"/>
        </w:rPr>
        <w:t>which 2.6mn net acres</w:t>
      </w:r>
      <w:r>
        <w:rPr>
          <w:color w:val="57585A"/>
          <w:spacing w:val="-16"/>
          <w:sz w:val="20"/>
          <w:szCs w:val="20"/>
        </w:rPr>
        <w:t xml:space="preserve"> </w:t>
      </w:r>
      <w:r>
        <w:rPr>
          <w:color w:val="57585A"/>
          <w:spacing w:val="-11"/>
          <w:sz w:val="20"/>
          <w:szCs w:val="20"/>
        </w:rPr>
        <w:t>were offshore. During the</w:t>
      </w:r>
      <w:r>
        <w:rPr>
          <w:color w:val="57585A"/>
          <w:sz w:val="20"/>
          <w:szCs w:val="20"/>
        </w:rPr>
        <w:t xml:space="preserve"> </w:t>
      </w:r>
      <w:r>
        <w:rPr>
          <w:color w:val="57585A"/>
          <w:spacing w:val="-10"/>
          <w:sz w:val="20"/>
          <w:szCs w:val="20"/>
        </w:rPr>
        <w:t>year 2021, a total of</w:t>
      </w:r>
      <w:r>
        <w:rPr>
          <w:color w:val="57585A"/>
          <w:spacing w:val="-14"/>
          <w:sz w:val="20"/>
          <w:szCs w:val="20"/>
        </w:rPr>
        <w:t xml:space="preserve"> </w:t>
      </w:r>
      <w:r>
        <w:rPr>
          <w:color w:val="57585A"/>
          <w:spacing w:val="-10"/>
          <w:sz w:val="20"/>
          <w:szCs w:val="20"/>
        </w:rPr>
        <w:t>8.1 ne</w:t>
      </w:r>
      <w:r>
        <w:rPr>
          <w:color w:val="57585A"/>
          <w:spacing w:val="-11"/>
          <w:sz w:val="20"/>
          <w:szCs w:val="20"/>
        </w:rPr>
        <w:t>t development</w:t>
      </w:r>
      <w:r>
        <w:rPr>
          <w:color w:val="57585A"/>
          <w:spacing w:val="-16"/>
          <w:sz w:val="20"/>
          <w:szCs w:val="20"/>
        </w:rPr>
        <w:t xml:space="preserve"> </w:t>
      </w:r>
      <w:r>
        <w:rPr>
          <w:color w:val="57585A"/>
          <w:spacing w:val="-11"/>
          <w:sz w:val="20"/>
          <w:szCs w:val="20"/>
        </w:rPr>
        <w:t>wells</w:t>
      </w:r>
      <w:r>
        <w:rPr>
          <w:color w:val="57585A"/>
          <w:spacing w:val="-16"/>
          <w:sz w:val="20"/>
          <w:szCs w:val="20"/>
        </w:rPr>
        <w:t xml:space="preserve"> </w:t>
      </w:r>
      <w:r>
        <w:rPr>
          <w:color w:val="57585A"/>
          <w:spacing w:val="-11"/>
          <w:sz w:val="20"/>
          <w:szCs w:val="20"/>
        </w:rPr>
        <w:t>were completed.</w:t>
      </w:r>
    </w:p>
    <w:p w14:paraId="41BA98CD">
      <w:pPr>
        <w:spacing w:before="59"/>
      </w:pPr>
    </w:p>
    <w:p w14:paraId="4EA7E215">
      <w:pPr>
        <w:spacing w:before="58"/>
      </w:pPr>
    </w:p>
    <w:tbl>
      <w:tblPr>
        <w:tblStyle w:val="7"/>
        <w:tblW w:w="10192" w:type="dxa"/>
        <w:tblInd w:w="36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8"/>
        <w:gridCol w:w="4868"/>
        <w:gridCol w:w="219"/>
        <w:gridCol w:w="4877"/>
      </w:tblGrid>
      <w:tr w14:paraId="4FD2C4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85" w:hRule="atLeast"/>
        </w:trPr>
        <w:tc>
          <w:tcPr>
            <w:tcW w:w="5096" w:type="dxa"/>
            <w:gridSpan w:val="2"/>
            <w:tcBorders>
              <w:top w:val="single" w:color="E4F4FC" w:sz="2" w:space="0"/>
              <w:left w:val="single" w:color="E4F4FC" w:sz="2" w:space="0"/>
              <w:right w:val="single" w:color="D7DADB" w:sz="2" w:space="0"/>
            </w:tcBorders>
            <w:shd w:val="clear" w:color="auto" w:fill="E4F4FC"/>
            <w:vAlign w:val="top"/>
          </w:tcPr>
          <w:p w14:paraId="58526CCF">
            <w:pPr>
              <w:pStyle w:val="8"/>
              <w:spacing w:before="116" w:line="241" w:lineRule="auto"/>
              <w:ind w:left="286"/>
              <w:rPr>
                <w:sz w:val="24"/>
                <w:szCs w:val="24"/>
              </w:rPr>
            </w:pPr>
            <w:r>
              <w:rPr>
                <w:b/>
                <w:bCs/>
                <w:color w:val="174174"/>
                <w:spacing w:val="-9"/>
                <w:sz w:val="24"/>
                <w:szCs w:val="24"/>
              </w:rPr>
              <w:t>Strengths</w:t>
            </w:r>
          </w:p>
        </w:tc>
        <w:tc>
          <w:tcPr>
            <w:tcW w:w="5096" w:type="dxa"/>
            <w:gridSpan w:val="2"/>
            <w:tcBorders>
              <w:top w:val="single" w:color="E4F4FC" w:sz="2" w:space="0"/>
              <w:left w:val="single" w:color="D7DADB" w:sz="2" w:space="0"/>
              <w:right w:val="single" w:color="E4F4FC" w:sz="2" w:space="0"/>
            </w:tcBorders>
            <w:shd w:val="clear" w:color="auto" w:fill="E4F4FC"/>
            <w:vAlign w:val="top"/>
          </w:tcPr>
          <w:p w14:paraId="24D0E541">
            <w:pPr>
              <w:pStyle w:val="8"/>
              <w:spacing w:before="116" w:line="325" w:lineRule="exact"/>
              <w:ind w:left="282"/>
              <w:rPr>
                <w:sz w:val="24"/>
                <w:szCs w:val="24"/>
              </w:rPr>
            </w:pPr>
            <w:r>
              <w:rPr>
                <w:b/>
                <w:bCs/>
                <w:color w:val="174174"/>
                <w:spacing w:val="-14"/>
                <w:position w:val="1"/>
                <w:sz w:val="24"/>
                <w:szCs w:val="24"/>
              </w:rPr>
              <w:t>Weaknesses</w:t>
            </w:r>
          </w:p>
        </w:tc>
      </w:tr>
      <w:tr w14:paraId="2426A10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0" w:hRule="atLeast"/>
        </w:trPr>
        <w:tc>
          <w:tcPr>
            <w:tcW w:w="228" w:type="dxa"/>
            <w:tcBorders>
              <w:left w:val="single" w:color="D7DADB" w:sz="4" w:space="0"/>
            </w:tcBorders>
            <w:vAlign w:val="top"/>
          </w:tcPr>
          <w:p w14:paraId="563154CB">
            <w:pPr>
              <w:pStyle w:val="8"/>
              <w:spacing w:before="193" w:line="227" w:lineRule="exact"/>
              <w:ind w:left="78"/>
            </w:pPr>
            <w:r>
              <w:rPr>
                <w:color w:val="33CCFF"/>
                <w:spacing w:val="15"/>
              </w:rPr>
              <w:t>•</w:t>
            </w:r>
          </w:p>
        </w:tc>
        <w:tc>
          <w:tcPr>
            <w:tcW w:w="4868" w:type="dxa"/>
            <w:tcBorders>
              <w:right w:val="single" w:color="D7DADB" w:sz="2" w:space="0"/>
            </w:tcBorders>
            <w:vAlign w:val="top"/>
          </w:tcPr>
          <w:p w14:paraId="12F3DA9D">
            <w:pPr>
              <w:pStyle w:val="8"/>
              <w:spacing w:before="193" w:line="234" w:lineRule="auto"/>
              <w:ind w:left="348"/>
            </w:pPr>
            <w:r>
              <w:rPr>
                <w:color w:val="57585A"/>
                <w:spacing w:val="-6"/>
              </w:rPr>
              <w:t>Long history in refining and marketing.</w:t>
            </w:r>
          </w:p>
        </w:tc>
        <w:tc>
          <w:tcPr>
            <w:tcW w:w="219" w:type="dxa"/>
            <w:tcBorders>
              <w:left w:val="single" w:color="D7DADB" w:sz="2" w:space="0"/>
            </w:tcBorders>
            <w:vAlign w:val="top"/>
          </w:tcPr>
          <w:p w14:paraId="273C4E0F">
            <w:pPr>
              <w:pStyle w:val="8"/>
              <w:spacing w:before="193" w:line="227" w:lineRule="exact"/>
              <w:ind w:left="83"/>
            </w:pPr>
            <w:r>
              <w:rPr>
                <w:color w:val="33CCFF"/>
                <w:spacing w:val="15"/>
              </w:rPr>
              <w:t>•</w:t>
            </w:r>
          </w:p>
        </w:tc>
        <w:tc>
          <w:tcPr>
            <w:tcW w:w="4877" w:type="dxa"/>
            <w:tcBorders>
              <w:right w:val="single" w:color="D7DADB" w:sz="4" w:space="0"/>
            </w:tcBorders>
            <w:vAlign w:val="top"/>
          </w:tcPr>
          <w:p w14:paraId="09C97554">
            <w:pPr>
              <w:pStyle w:val="8"/>
              <w:spacing w:before="193" w:line="234" w:lineRule="auto"/>
              <w:ind w:left="360"/>
            </w:pPr>
            <w:r>
              <w:rPr>
                <w:color w:val="57585A"/>
                <w:spacing w:val="-5"/>
              </w:rPr>
              <w:t>Insignificant contribution to group revenues.</w:t>
            </w:r>
          </w:p>
        </w:tc>
      </w:tr>
      <w:tr w14:paraId="4399C7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9" w:hRule="atLeast"/>
        </w:trPr>
        <w:tc>
          <w:tcPr>
            <w:tcW w:w="228" w:type="dxa"/>
            <w:tcBorders>
              <w:left w:val="single" w:color="D7DADB" w:sz="4" w:space="0"/>
            </w:tcBorders>
            <w:vAlign w:val="top"/>
          </w:tcPr>
          <w:p w14:paraId="606DAA2F">
            <w:pPr>
              <w:pStyle w:val="8"/>
              <w:spacing w:before="43" w:line="226" w:lineRule="exact"/>
              <w:ind w:left="78"/>
            </w:pPr>
            <w:r>
              <w:rPr>
                <w:color w:val="33CCFF"/>
                <w:spacing w:val="15"/>
              </w:rPr>
              <w:t>•</w:t>
            </w:r>
          </w:p>
        </w:tc>
        <w:tc>
          <w:tcPr>
            <w:tcW w:w="4868" w:type="dxa"/>
            <w:tcBorders>
              <w:right w:val="single" w:color="D7DADB" w:sz="2" w:space="0"/>
            </w:tcBorders>
            <w:vAlign w:val="top"/>
          </w:tcPr>
          <w:p w14:paraId="7D7B7119">
            <w:pPr>
              <w:pStyle w:val="8"/>
              <w:spacing w:before="43" w:line="234" w:lineRule="auto"/>
              <w:ind w:left="339"/>
            </w:pPr>
            <w:r>
              <w:rPr>
                <w:color w:val="57585A"/>
                <w:spacing w:val="-6"/>
              </w:rPr>
              <w:t>Some gas production upside pote</w:t>
            </w:r>
            <w:r>
              <w:rPr>
                <w:color w:val="57585A"/>
                <w:spacing w:val="-7"/>
              </w:rPr>
              <w:t>ntial.</w:t>
            </w:r>
          </w:p>
        </w:tc>
        <w:tc>
          <w:tcPr>
            <w:tcW w:w="219" w:type="dxa"/>
            <w:tcBorders>
              <w:left w:val="single" w:color="D7DADB" w:sz="2" w:space="0"/>
            </w:tcBorders>
            <w:vAlign w:val="top"/>
          </w:tcPr>
          <w:p w14:paraId="61752ABA">
            <w:pPr>
              <w:pStyle w:val="8"/>
              <w:spacing w:before="43" w:line="226" w:lineRule="exact"/>
              <w:ind w:left="83"/>
            </w:pPr>
            <w:r>
              <w:rPr>
                <w:color w:val="33CCFF"/>
                <w:spacing w:val="15"/>
              </w:rPr>
              <w:t>•</w:t>
            </w:r>
          </w:p>
        </w:tc>
        <w:tc>
          <w:tcPr>
            <w:tcW w:w="4877" w:type="dxa"/>
            <w:tcBorders>
              <w:right w:val="single" w:color="D7DADB" w:sz="4" w:space="0"/>
            </w:tcBorders>
            <w:vAlign w:val="top"/>
          </w:tcPr>
          <w:p w14:paraId="37761CDA">
            <w:pPr>
              <w:pStyle w:val="8"/>
              <w:spacing w:before="43" w:line="236" w:lineRule="auto"/>
              <w:ind w:left="345"/>
            </w:pPr>
            <w:r>
              <w:rPr>
                <w:color w:val="57585A"/>
                <w:spacing w:val="-8"/>
              </w:rPr>
              <w:t>Weak upstream position.</w:t>
            </w:r>
          </w:p>
        </w:tc>
      </w:tr>
      <w:tr w14:paraId="543031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9" w:hRule="atLeast"/>
        </w:trPr>
        <w:tc>
          <w:tcPr>
            <w:tcW w:w="228" w:type="dxa"/>
            <w:tcBorders>
              <w:left w:val="single" w:color="D7DADB" w:sz="4" w:space="0"/>
            </w:tcBorders>
            <w:vAlign w:val="top"/>
          </w:tcPr>
          <w:p w14:paraId="4E325508">
            <w:pPr>
              <w:pStyle w:val="8"/>
              <w:spacing w:before="44" w:line="225" w:lineRule="exact"/>
              <w:ind w:left="78"/>
            </w:pPr>
            <w:r>
              <w:rPr>
                <w:color w:val="33CCFF"/>
                <w:spacing w:val="15"/>
              </w:rPr>
              <w:t>•</w:t>
            </w:r>
          </w:p>
        </w:tc>
        <w:tc>
          <w:tcPr>
            <w:tcW w:w="4868" w:type="dxa"/>
            <w:tcBorders>
              <w:right w:val="single" w:color="D7DADB" w:sz="2" w:space="0"/>
            </w:tcBorders>
            <w:vAlign w:val="top"/>
          </w:tcPr>
          <w:p w14:paraId="16699512">
            <w:pPr>
              <w:pStyle w:val="8"/>
              <w:spacing w:before="44" w:line="234" w:lineRule="auto"/>
              <w:ind w:left="339"/>
            </w:pPr>
            <w:r>
              <w:rPr>
                <w:color w:val="57585A"/>
                <w:spacing w:val="-5"/>
              </w:rPr>
              <w:t>Strong global unconventional portfolio.</w:t>
            </w:r>
          </w:p>
        </w:tc>
        <w:tc>
          <w:tcPr>
            <w:tcW w:w="219" w:type="dxa"/>
            <w:tcBorders>
              <w:left w:val="single" w:color="D7DADB" w:sz="2" w:space="0"/>
            </w:tcBorders>
            <w:vAlign w:val="top"/>
          </w:tcPr>
          <w:p w14:paraId="2DB5F60A">
            <w:pPr>
              <w:pStyle w:val="8"/>
              <w:spacing w:before="44" w:line="225" w:lineRule="exact"/>
              <w:ind w:left="83"/>
            </w:pPr>
            <w:r>
              <w:rPr>
                <w:color w:val="33CCFF"/>
                <w:spacing w:val="15"/>
              </w:rPr>
              <w:t>•</w:t>
            </w:r>
          </w:p>
        </w:tc>
        <w:tc>
          <w:tcPr>
            <w:tcW w:w="4877" w:type="dxa"/>
            <w:tcBorders>
              <w:right w:val="single" w:color="D7DADB" w:sz="4" w:space="0"/>
            </w:tcBorders>
            <w:vAlign w:val="top"/>
          </w:tcPr>
          <w:p w14:paraId="40E312B2">
            <w:pPr>
              <w:pStyle w:val="8"/>
              <w:spacing w:before="44" w:line="234" w:lineRule="auto"/>
              <w:ind w:left="351"/>
            </w:pPr>
            <w:r>
              <w:rPr>
                <w:color w:val="57585A"/>
                <w:spacing w:val="-7"/>
              </w:rPr>
              <w:t>Sunk costs at ongoing projects demand high levels of</w:t>
            </w:r>
          </w:p>
        </w:tc>
      </w:tr>
      <w:tr w14:paraId="34CDF1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99" w:hRule="atLeast"/>
        </w:trPr>
        <w:tc>
          <w:tcPr>
            <w:tcW w:w="228" w:type="dxa"/>
            <w:tcBorders>
              <w:left w:val="single" w:color="D7DADB" w:sz="4" w:space="0"/>
            </w:tcBorders>
            <w:vAlign w:val="top"/>
          </w:tcPr>
          <w:p w14:paraId="71A9EE68">
            <w:pPr>
              <w:pStyle w:val="8"/>
              <w:spacing w:before="45" w:line="281" w:lineRule="exact"/>
              <w:ind w:left="78"/>
            </w:pPr>
            <w:r>
              <w:rPr>
                <w:color w:val="33CCFF"/>
                <w:spacing w:val="15"/>
                <w:position w:val="2"/>
              </w:rPr>
              <w:t>•</w:t>
            </w:r>
          </w:p>
        </w:tc>
        <w:tc>
          <w:tcPr>
            <w:tcW w:w="4868" w:type="dxa"/>
            <w:tcBorders>
              <w:right w:val="single" w:color="D7DADB" w:sz="2" w:space="0"/>
            </w:tcBorders>
            <w:vAlign w:val="top"/>
          </w:tcPr>
          <w:p w14:paraId="36F3F2FB">
            <w:pPr>
              <w:pStyle w:val="8"/>
              <w:spacing w:before="46" w:line="305" w:lineRule="auto"/>
              <w:ind w:left="342" w:right="119" w:hanging="8"/>
            </w:pPr>
            <w:r>
              <w:rPr>
                <w:color w:val="57585A"/>
                <w:spacing w:val="-5"/>
              </w:rPr>
              <w:t>Vertically integrated business mod</w:t>
            </w:r>
            <w:r>
              <w:rPr>
                <w:color w:val="57585A"/>
                <w:spacing w:val="-6"/>
              </w:rPr>
              <w:t>el providing flexibility</w:t>
            </w:r>
            <w:r>
              <w:rPr>
                <w:color w:val="57585A"/>
                <w:spacing w:val="-14"/>
              </w:rPr>
              <w:t xml:space="preserve"> </w:t>
            </w:r>
            <w:r>
              <w:rPr>
                <w:color w:val="57585A"/>
                <w:spacing w:val="-6"/>
              </w:rPr>
              <w:t>with</w:t>
            </w:r>
            <w:r>
              <w:rPr>
                <w:color w:val="57585A"/>
              </w:rPr>
              <w:t xml:space="preserve"> </w:t>
            </w:r>
            <w:r>
              <w:rPr>
                <w:color w:val="57585A"/>
                <w:spacing w:val="-4"/>
              </w:rPr>
              <w:t>commodity price</w:t>
            </w:r>
            <w:r>
              <w:rPr>
                <w:color w:val="57585A"/>
                <w:spacing w:val="-3"/>
              </w:rPr>
              <w:t xml:space="preserve"> </w:t>
            </w:r>
            <w:r>
              <w:rPr>
                <w:color w:val="57585A"/>
                <w:spacing w:val="-4"/>
              </w:rPr>
              <w:t>volatility.</w:t>
            </w:r>
          </w:p>
        </w:tc>
        <w:tc>
          <w:tcPr>
            <w:tcW w:w="219" w:type="dxa"/>
            <w:tcBorders>
              <w:left w:val="single" w:color="D7DADB" w:sz="2" w:space="0"/>
            </w:tcBorders>
            <w:vAlign w:val="top"/>
          </w:tcPr>
          <w:p w14:paraId="047AC009">
            <w:pPr>
              <w:pStyle w:val="8"/>
              <w:rPr>
                <w:sz w:val="21"/>
              </w:rPr>
            </w:pPr>
          </w:p>
        </w:tc>
        <w:tc>
          <w:tcPr>
            <w:tcW w:w="4877" w:type="dxa"/>
            <w:tcBorders>
              <w:right w:val="single" w:color="D7DADB" w:sz="4" w:space="0"/>
            </w:tcBorders>
            <w:vAlign w:val="top"/>
          </w:tcPr>
          <w:p w14:paraId="2A9FCFF2">
            <w:pPr>
              <w:pStyle w:val="8"/>
              <w:spacing w:before="45" w:line="236" w:lineRule="auto"/>
              <w:ind w:left="354"/>
            </w:pPr>
            <w:r>
              <w:rPr>
                <w:color w:val="57585A"/>
                <w:spacing w:val="-7"/>
              </w:rPr>
              <w:t>continued capex</w:t>
            </w:r>
            <w:r>
              <w:rPr>
                <w:color w:val="57585A"/>
                <w:spacing w:val="-6"/>
              </w:rPr>
              <w:t xml:space="preserve"> </w:t>
            </w:r>
            <w:r>
              <w:rPr>
                <w:color w:val="57585A"/>
                <w:spacing w:val="-7"/>
              </w:rPr>
              <w:t>while oil prices are low.</w:t>
            </w:r>
          </w:p>
        </w:tc>
      </w:tr>
      <w:tr w14:paraId="0252D9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83" w:hRule="atLeast"/>
        </w:trPr>
        <w:tc>
          <w:tcPr>
            <w:tcW w:w="228" w:type="dxa"/>
            <w:tcBorders>
              <w:left w:val="single" w:color="D7DADB" w:sz="4" w:space="0"/>
            </w:tcBorders>
            <w:shd w:val="clear" w:color="auto" w:fill="E4F4FC"/>
            <w:vAlign w:val="top"/>
          </w:tcPr>
          <w:p w14:paraId="58634ADF">
            <w:pPr>
              <w:pStyle w:val="8"/>
              <w:rPr>
                <w:sz w:val="21"/>
              </w:rPr>
            </w:pPr>
          </w:p>
        </w:tc>
        <w:tc>
          <w:tcPr>
            <w:tcW w:w="4868" w:type="dxa"/>
            <w:tcBorders>
              <w:right w:val="single" w:color="D7DADB" w:sz="2" w:space="0"/>
            </w:tcBorders>
            <w:shd w:val="clear" w:color="auto" w:fill="E4F4FC"/>
            <w:vAlign w:val="top"/>
          </w:tcPr>
          <w:p w14:paraId="354B2147">
            <w:pPr>
              <w:pStyle w:val="8"/>
              <w:spacing w:before="123" w:line="280" w:lineRule="exact"/>
              <w:ind w:left="65"/>
              <w:rPr>
                <w:sz w:val="24"/>
                <w:szCs w:val="24"/>
              </w:rPr>
            </w:pPr>
            <w:r>
              <w:rPr>
                <w:b/>
                <w:bCs/>
                <w:color w:val="174174"/>
                <w:spacing w:val="-8"/>
                <w:position w:val="2"/>
                <w:sz w:val="24"/>
                <w:szCs w:val="24"/>
              </w:rPr>
              <w:t>Opportunities</w:t>
            </w:r>
          </w:p>
        </w:tc>
        <w:tc>
          <w:tcPr>
            <w:tcW w:w="219" w:type="dxa"/>
            <w:tcBorders>
              <w:left w:val="single" w:color="D7DADB" w:sz="2" w:space="0"/>
            </w:tcBorders>
            <w:shd w:val="clear" w:color="auto" w:fill="E4F4FC"/>
            <w:vAlign w:val="top"/>
          </w:tcPr>
          <w:p w14:paraId="004AFF49">
            <w:pPr>
              <w:pStyle w:val="8"/>
              <w:rPr>
                <w:sz w:val="21"/>
              </w:rPr>
            </w:pPr>
          </w:p>
        </w:tc>
        <w:tc>
          <w:tcPr>
            <w:tcW w:w="4877" w:type="dxa"/>
            <w:tcBorders>
              <w:right w:val="single" w:color="D7DADB" w:sz="4" w:space="0"/>
            </w:tcBorders>
            <w:shd w:val="clear" w:color="auto" w:fill="E4F4FC"/>
            <w:vAlign w:val="top"/>
          </w:tcPr>
          <w:p w14:paraId="22E45438">
            <w:pPr>
              <w:pStyle w:val="8"/>
              <w:spacing w:before="123" w:line="325" w:lineRule="exact"/>
              <w:ind w:left="67"/>
              <w:rPr>
                <w:sz w:val="24"/>
                <w:szCs w:val="24"/>
              </w:rPr>
            </w:pPr>
            <w:r>
              <w:rPr>
                <w:b/>
                <w:bCs/>
                <w:color w:val="174174"/>
                <w:spacing w:val="-8"/>
                <w:position w:val="1"/>
                <w:sz w:val="24"/>
                <w:szCs w:val="24"/>
              </w:rPr>
              <w:t>Threats</w:t>
            </w:r>
          </w:p>
        </w:tc>
      </w:tr>
      <w:tr w14:paraId="07D2C62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28" w:hRule="atLeast"/>
        </w:trPr>
        <w:tc>
          <w:tcPr>
            <w:tcW w:w="228" w:type="dxa"/>
            <w:tcBorders>
              <w:left w:val="single" w:color="D7DADB" w:sz="4" w:space="0"/>
            </w:tcBorders>
            <w:vAlign w:val="top"/>
          </w:tcPr>
          <w:p w14:paraId="6BEC9991">
            <w:pPr>
              <w:pStyle w:val="8"/>
              <w:spacing w:before="202" w:line="215" w:lineRule="exact"/>
              <w:ind w:left="78"/>
            </w:pPr>
            <w:r>
              <w:rPr>
                <w:color w:val="33CCFF"/>
                <w:spacing w:val="15"/>
              </w:rPr>
              <w:t>•</w:t>
            </w:r>
          </w:p>
        </w:tc>
        <w:tc>
          <w:tcPr>
            <w:tcW w:w="4868" w:type="dxa"/>
            <w:tcBorders>
              <w:right w:val="single" w:color="D7DADB" w:sz="2" w:space="0"/>
            </w:tcBorders>
            <w:vAlign w:val="top"/>
          </w:tcPr>
          <w:p w14:paraId="5398A355">
            <w:pPr>
              <w:pStyle w:val="8"/>
              <w:spacing w:before="202" w:line="234" w:lineRule="auto"/>
              <w:ind w:left="339"/>
            </w:pPr>
            <w:r>
              <w:rPr>
                <w:color w:val="57585A"/>
                <w:spacing w:val="-7"/>
              </w:rPr>
              <w:t>Steady growth in domestic energy demand.</w:t>
            </w:r>
          </w:p>
        </w:tc>
        <w:tc>
          <w:tcPr>
            <w:tcW w:w="219" w:type="dxa"/>
            <w:tcBorders>
              <w:left w:val="single" w:color="D7DADB" w:sz="2" w:space="0"/>
            </w:tcBorders>
            <w:vAlign w:val="top"/>
          </w:tcPr>
          <w:p w14:paraId="094C047C">
            <w:pPr>
              <w:pStyle w:val="8"/>
              <w:spacing w:before="202" w:line="215" w:lineRule="exact"/>
              <w:ind w:left="83"/>
            </w:pPr>
            <w:r>
              <w:rPr>
                <w:color w:val="33CCFF"/>
                <w:spacing w:val="15"/>
              </w:rPr>
              <w:t>•</w:t>
            </w:r>
          </w:p>
        </w:tc>
        <w:tc>
          <w:tcPr>
            <w:tcW w:w="4877" w:type="dxa"/>
            <w:tcBorders>
              <w:right w:val="single" w:color="D7DADB" w:sz="4" w:space="0"/>
            </w:tcBorders>
            <w:vAlign w:val="top"/>
          </w:tcPr>
          <w:p w14:paraId="44866FB2">
            <w:pPr>
              <w:pStyle w:val="8"/>
              <w:spacing w:before="202" w:line="215" w:lineRule="exact"/>
              <w:ind w:left="351"/>
            </w:pPr>
            <w:r>
              <w:rPr>
                <w:color w:val="57585A"/>
                <w:spacing w:val="-5"/>
              </w:rPr>
              <w:t>State intervention in tariffs and</w:t>
            </w:r>
            <w:r>
              <w:rPr>
                <w:color w:val="57585A"/>
                <w:spacing w:val="-11"/>
              </w:rPr>
              <w:t xml:space="preserve"> </w:t>
            </w:r>
            <w:r>
              <w:rPr>
                <w:color w:val="57585A"/>
                <w:spacing w:val="-5"/>
              </w:rPr>
              <w:t>taxat</w:t>
            </w:r>
            <w:r>
              <w:rPr>
                <w:color w:val="57585A"/>
                <w:spacing w:val="-6"/>
              </w:rPr>
              <w:t>ion.</w:t>
            </w:r>
          </w:p>
        </w:tc>
      </w:tr>
      <w:tr w14:paraId="788360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0" w:hRule="atLeast"/>
        </w:trPr>
        <w:tc>
          <w:tcPr>
            <w:tcW w:w="228" w:type="dxa"/>
            <w:tcBorders>
              <w:left w:val="single" w:color="D7DADB" w:sz="4" w:space="0"/>
            </w:tcBorders>
            <w:vAlign w:val="top"/>
          </w:tcPr>
          <w:p w14:paraId="6B7415C3">
            <w:pPr>
              <w:pStyle w:val="8"/>
              <w:spacing w:before="54" w:line="216" w:lineRule="exact"/>
              <w:ind w:left="78"/>
            </w:pPr>
            <w:r>
              <w:rPr>
                <w:color w:val="33CCFF"/>
                <w:spacing w:val="15"/>
              </w:rPr>
              <w:t>•</w:t>
            </w:r>
          </w:p>
        </w:tc>
        <w:tc>
          <w:tcPr>
            <w:tcW w:w="4868" w:type="dxa"/>
            <w:tcBorders>
              <w:right w:val="single" w:color="D7DADB" w:sz="2" w:space="0"/>
            </w:tcBorders>
            <w:vAlign w:val="top"/>
          </w:tcPr>
          <w:p w14:paraId="73F60ABC">
            <w:pPr>
              <w:pStyle w:val="8"/>
              <w:spacing w:before="54" w:line="236" w:lineRule="auto"/>
              <w:ind w:left="348"/>
            </w:pPr>
            <w:r>
              <w:rPr>
                <w:color w:val="57585A"/>
                <w:spacing w:val="-5"/>
              </w:rPr>
              <w:t>Modest investment requir</w:t>
            </w:r>
            <w:r>
              <w:rPr>
                <w:color w:val="57585A"/>
                <w:spacing w:val="-6"/>
              </w:rPr>
              <w:t>ement.</w:t>
            </w:r>
          </w:p>
        </w:tc>
        <w:tc>
          <w:tcPr>
            <w:tcW w:w="219" w:type="dxa"/>
            <w:tcBorders>
              <w:left w:val="single" w:color="D7DADB" w:sz="2" w:space="0"/>
            </w:tcBorders>
            <w:vAlign w:val="top"/>
          </w:tcPr>
          <w:p w14:paraId="272D2EC3">
            <w:pPr>
              <w:pStyle w:val="8"/>
              <w:spacing w:before="54" w:line="216" w:lineRule="exact"/>
              <w:ind w:left="83"/>
            </w:pPr>
            <w:r>
              <w:rPr>
                <w:color w:val="33CCFF"/>
                <w:spacing w:val="15"/>
              </w:rPr>
              <w:t>•</w:t>
            </w:r>
          </w:p>
        </w:tc>
        <w:tc>
          <w:tcPr>
            <w:tcW w:w="4877" w:type="dxa"/>
            <w:tcBorders>
              <w:right w:val="single" w:color="D7DADB" w:sz="4" w:space="0"/>
            </w:tcBorders>
            <w:vAlign w:val="top"/>
          </w:tcPr>
          <w:p w14:paraId="5A7D58B8">
            <w:pPr>
              <w:pStyle w:val="8"/>
              <w:spacing w:before="54" w:line="236" w:lineRule="auto"/>
              <w:ind w:left="359"/>
            </w:pPr>
            <w:r>
              <w:rPr>
                <w:color w:val="57585A"/>
                <w:spacing w:val="-5"/>
              </w:rPr>
              <w:t>Uncertain political an</w:t>
            </w:r>
            <w:r>
              <w:rPr>
                <w:color w:val="57585A"/>
                <w:spacing w:val="-6"/>
              </w:rPr>
              <w:t>d fiscal outlook.</w:t>
            </w:r>
          </w:p>
        </w:tc>
      </w:tr>
      <w:tr w14:paraId="2C780F6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8" w:hRule="atLeast"/>
        </w:trPr>
        <w:tc>
          <w:tcPr>
            <w:tcW w:w="228" w:type="dxa"/>
            <w:tcBorders>
              <w:left w:val="single" w:color="D7DADB" w:sz="4" w:space="0"/>
            </w:tcBorders>
            <w:vAlign w:val="top"/>
          </w:tcPr>
          <w:p w14:paraId="6AE26750">
            <w:pPr>
              <w:pStyle w:val="8"/>
              <w:spacing w:before="54" w:line="233" w:lineRule="exact"/>
              <w:ind w:left="78"/>
            </w:pPr>
            <w:r>
              <w:rPr>
                <w:color w:val="33CCFF"/>
                <w:spacing w:val="15"/>
                <w:position w:val="1"/>
              </w:rPr>
              <w:t>•</w:t>
            </w:r>
          </w:p>
        </w:tc>
        <w:tc>
          <w:tcPr>
            <w:tcW w:w="4868" w:type="dxa"/>
            <w:tcBorders>
              <w:right w:val="single" w:color="D7DADB" w:sz="2" w:space="0"/>
            </w:tcBorders>
            <w:vAlign w:val="top"/>
          </w:tcPr>
          <w:p w14:paraId="7B65651A">
            <w:pPr>
              <w:pStyle w:val="8"/>
              <w:spacing w:before="54" w:line="234" w:lineRule="auto"/>
              <w:ind w:left="339"/>
            </w:pPr>
            <w:r>
              <w:rPr>
                <w:color w:val="57585A"/>
                <w:spacing w:val="-6"/>
              </w:rPr>
              <w:t>Shale drilling potential.</w:t>
            </w:r>
          </w:p>
        </w:tc>
        <w:tc>
          <w:tcPr>
            <w:tcW w:w="219" w:type="dxa"/>
            <w:tcBorders>
              <w:left w:val="single" w:color="D7DADB" w:sz="2" w:space="0"/>
            </w:tcBorders>
            <w:vAlign w:val="top"/>
          </w:tcPr>
          <w:p w14:paraId="02E62C15">
            <w:pPr>
              <w:pStyle w:val="8"/>
              <w:spacing w:before="54" w:line="233" w:lineRule="exact"/>
              <w:ind w:left="83"/>
            </w:pPr>
            <w:r>
              <w:rPr>
                <w:color w:val="33CCFF"/>
                <w:spacing w:val="15"/>
                <w:position w:val="1"/>
              </w:rPr>
              <w:t>•</w:t>
            </w:r>
          </w:p>
        </w:tc>
        <w:tc>
          <w:tcPr>
            <w:tcW w:w="4877" w:type="dxa"/>
            <w:tcBorders>
              <w:right w:val="single" w:color="D7DADB" w:sz="4" w:space="0"/>
            </w:tcBorders>
            <w:vAlign w:val="top"/>
          </w:tcPr>
          <w:p w14:paraId="3DFB3B90">
            <w:pPr>
              <w:pStyle w:val="8"/>
              <w:spacing w:before="54" w:line="234" w:lineRule="auto"/>
              <w:ind w:left="360"/>
            </w:pPr>
            <w:r>
              <w:rPr>
                <w:color w:val="57585A"/>
                <w:spacing w:val="-7"/>
              </w:rPr>
              <w:t>Persistently low oil prices.</w:t>
            </w:r>
          </w:p>
        </w:tc>
      </w:tr>
      <w:tr w14:paraId="635D07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86" w:hRule="atLeast"/>
        </w:trPr>
        <w:tc>
          <w:tcPr>
            <w:tcW w:w="228" w:type="dxa"/>
            <w:tcBorders>
              <w:left w:val="single" w:color="D7DADB" w:sz="4" w:space="0"/>
              <w:bottom w:val="single" w:color="D7DADB" w:sz="8" w:space="0"/>
            </w:tcBorders>
            <w:vAlign w:val="top"/>
          </w:tcPr>
          <w:p w14:paraId="6B88A845">
            <w:pPr>
              <w:pStyle w:val="8"/>
              <w:spacing w:before="36" w:line="280" w:lineRule="exact"/>
              <w:ind w:left="78"/>
            </w:pPr>
            <w:r>
              <w:rPr>
                <w:color w:val="33CCFF"/>
                <w:spacing w:val="15"/>
                <w:position w:val="2"/>
              </w:rPr>
              <w:t>•</w:t>
            </w:r>
          </w:p>
        </w:tc>
        <w:tc>
          <w:tcPr>
            <w:tcW w:w="4868" w:type="dxa"/>
            <w:tcBorders>
              <w:bottom w:val="single" w:color="E4F4FC" w:sz="2" w:space="0"/>
              <w:right w:val="single" w:color="D7DADB" w:sz="2" w:space="0"/>
            </w:tcBorders>
            <w:vAlign w:val="top"/>
          </w:tcPr>
          <w:p w14:paraId="0DA84C56">
            <w:pPr>
              <w:pStyle w:val="8"/>
              <w:spacing w:before="35" w:line="307" w:lineRule="auto"/>
              <w:ind w:left="341" w:right="346" w:hanging="2"/>
            </w:pPr>
            <w:r>
              <w:rPr>
                <w:color w:val="57585A"/>
                <w:spacing w:val="-5"/>
              </w:rPr>
              <w:t>Strong cash position suppor</w:t>
            </w:r>
            <w:r>
              <w:rPr>
                <w:color w:val="57585A"/>
                <w:spacing w:val="-6"/>
              </w:rPr>
              <w:t>ts opportunities for inorganic</w:t>
            </w:r>
            <w:r>
              <w:rPr>
                <w:color w:val="57585A"/>
              </w:rPr>
              <w:t xml:space="preserve"> </w:t>
            </w:r>
            <w:r>
              <w:rPr>
                <w:color w:val="57585A"/>
                <w:spacing w:val="-9"/>
              </w:rPr>
              <w:t>expansion.</w:t>
            </w:r>
          </w:p>
        </w:tc>
        <w:tc>
          <w:tcPr>
            <w:tcW w:w="219" w:type="dxa"/>
            <w:tcBorders>
              <w:left w:val="single" w:color="D7DADB" w:sz="2" w:space="0"/>
              <w:bottom w:val="single" w:color="E4F4FC" w:sz="2" w:space="0"/>
            </w:tcBorders>
            <w:vAlign w:val="top"/>
          </w:tcPr>
          <w:p w14:paraId="3D5B2586">
            <w:pPr>
              <w:pStyle w:val="8"/>
              <w:rPr>
                <w:sz w:val="21"/>
              </w:rPr>
            </w:pPr>
          </w:p>
        </w:tc>
        <w:tc>
          <w:tcPr>
            <w:tcW w:w="4877" w:type="dxa"/>
            <w:tcBorders>
              <w:bottom w:val="single" w:color="D7DADB" w:sz="4" w:space="0"/>
              <w:right w:val="single" w:color="D7DADB" w:sz="6" w:space="0"/>
            </w:tcBorders>
            <w:vAlign w:val="top"/>
          </w:tcPr>
          <w:p w14:paraId="7D69F59B">
            <w:pPr>
              <w:pStyle w:val="8"/>
              <w:rPr>
                <w:sz w:val="21"/>
              </w:rPr>
            </w:pPr>
          </w:p>
        </w:tc>
      </w:tr>
    </w:tbl>
    <w:p w14:paraId="36F1D885">
      <w:pPr>
        <w:pStyle w:val="4"/>
        <w:spacing w:line="318" w:lineRule="auto"/>
      </w:pPr>
    </w:p>
    <w:p w14:paraId="073258FD">
      <w:pPr>
        <w:pStyle w:val="4"/>
        <w:spacing w:before="69" w:line="241" w:lineRule="auto"/>
        <w:ind w:left="370"/>
        <w:outlineLvl w:val="2"/>
        <w:rPr>
          <w:sz w:val="24"/>
          <w:szCs w:val="24"/>
        </w:rPr>
      </w:pPr>
      <w:r>
        <w:rPr>
          <w:b/>
          <w:bCs/>
          <w:color w:val="174174"/>
          <w:spacing w:val="-11"/>
          <w:sz w:val="24"/>
          <w:szCs w:val="24"/>
        </w:rPr>
        <w:t>Company Overview</w:t>
      </w:r>
    </w:p>
    <w:p w14:paraId="07CF738F">
      <w:pPr>
        <w:pStyle w:val="4"/>
        <w:spacing w:line="348" w:lineRule="auto"/>
      </w:pPr>
    </w:p>
    <w:p w14:paraId="5AB26794">
      <w:pPr>
        <w:pStyle w:val="4"/>
        <w:spacing w:before="58" w:line="231" w:lineRule="auto"/>
        <w:ind w:left="376"/>
        <w:rPr>
          <w:sz w:val="20"/>
          <w:szCs w:val="20"/>
        </w:rPr>
      </w:pPr>
      <w:r>
        <w:rPr>
          <w:color w:val="57585A"/>
          <w:spacing w:val="-12"/>
          <w:sz w:val="20"/>
          <w:szCs w:val="20"/>
        </w:rPr>
        <w:t>ExxonMobil has been investing in Argentina's Vaca Muerta shale play since 2010, holding interests in approximatel</w:t>
      </w:r>
      <w:r>
        <w:rPr>
          <w:color w:val="57585A"/>
          <w:spacing w:val="-13"/>
          <w:sz w:val="20"/>
          <w:szCs w:val="20"/>
        </w:rPr>
        <w:t>y 900,000 net</w:t>
      </w:r>
    </w:p>
    <w:p w14:paraId="17F86159">
      <w:pPr>
        <w:pStyle w:val="4"/>
        <w:spacing w:before="57" w:line="283" w:lineRule="auto"/>
        <w:ind w:left="366" w:right="418" w:firstLine="1"/>
        <w:rPr>
          <w:sz w:val="20"/>
          <w:szCs w:val="20"/>
        </w:rPr>
      </w:pPr>
      <w:r>
        <w:rPr>
          <w:color w:val="57585A"/>
          <w:spacing w:val="-13"/>
          <w:sz w:val="20"/>
          <w:szCs w:val="20"/>
        </w:rPr>
        <w:t>acres.</w:t>
      </w:r>
      <w:r>
        <w:rPr>
          <w:color w:val="57585A"/>
          <w:spacing w:val="-15"/>
          <w:sz w:val="20"/>
          <w:szCs w:val="20"/>
        </w:rPr>
        <w:t xml:space="preserve"> </w:t>
      </w:r>
      <w:r>
        <w:rPr>
          <w:color w:val="57585A"/>
          <w:spacing w:val="-13"/>
          <w:sz w:val="20"/>
          <w:szCs w:val="20"/>
        </w:rPr>
        <w:t>The company operates through its subsidiaries, ExxonMobil Exploration Argentina, Mobil Argentina and ExxonMobil Busi</w:t>
      </w:r>
      <w:r>
        <w:rPr>
          <w:color w:val="57585A"/>
          <w:spacing w:val="-14"/>
          <w:sz w:val="20"/>
          <w:szCs w:val="20"/>
        </w:rPr>
        <w:t>ness</w:t>
      </w:r>
      <w:r>
        <w:rPr>
          <w:color w:val="57585A"/>
          <w:sz w:val="20"/>
          <w:szCs w:val="20"/>
        </w:rPr>
        <w:t xml:space="preserve"> </w:t>
      </w:r>
      <w:r>
        <w:rPr>
          <w:color w:val="57585A"/>
          <w:spacing w:val="-11"/>
          <w:sz w:val="20"/>
          <w:szCs w:val="20"/>
        </w:rPr>
        <w:t>Support Center</w:t>
      </w:r>
      <w:r>
        <w:rPr>
          <w:color w:val="57585A"/>
          <w:spacing w:val="-15"/>
          <w:sz w:val="20"/>
          <w:szCs w:val="20"/>
        </w:rPr>
        <w:t xml:space="preserve"> </w:t>
      </w:r>
      <w:r>
        <w:rPr>
          <w:color w:val="57585A"/>
          <w:spacing w:val="-11"/>
          <w:sz w:val="20"/>
          <w:szCs w:val="20"/>
        </w:rPr>
        <w:t>Argentina. The company has drilled seven</w:t>
      </w:r>
      <w:r>
        <w:rPr>
          <w:color w:val="57585A"/>
          <w:spacing w:val="-16"/>
          <w:sz w:val="20"/>
          <w:szCs w:val="20"/>
        </w:rPr>
        <w:t xml:space="preserve"> </w:t>
      </w:r>
      <w:r>
        <w:rPr>
          <w:color w:val="57585A"/>
          <w:spacing w:val="-11"/>
          <w:sz w:val="20"/>
          <w:szCs w:val="20"/>
        </w:rPr>
        <w:t>wells</w:t>
      </w:r>
      <w:r>
        <w:rPr>
          <w:color w:val="57585A"/>
          <w:spacing w:val="-15"/>
          <w:sz w:val="20"/>
          <w:szCs w:val="20"/>
        </w:rPr>
        <w:t xml:space="preserve"> </w:t>
      </w:r>
      <w:r>
        <w:rPr>
          <w:color w:val="57585A"/>
          <w:spacing w:val="-11"/>
          <w:sz w:val="20"/>
          <w:szCs w:val="20"/>
        </w:rPr>
        <w:t>with their strategic partners an</w:t>
      </w:r>
      <w:r>
        <w:rPr>
          <w:color w:val="57585A"/>
          <w:spacing w:val="-12"/>
          <w:sz w:val="20"/>
          <w:szCs w:val="20"/>
        </w:rPr>
        <w:t>d have recently begun to explore for</w:t>
      </w:r>
      <w:r>
        <w:rPr>
          <w:color w:val="57585A"/>
          <w:sz w:val="20"/>
          <w:szCs w:val="20"/>
        </w:rPr>
        <w:t xml:space="preserve"> </w:t>
      </w:r>
      <w:r>
        <w:rPr>
          <w:color w:val="57585A"/>
          <w:spacing w:val="-12"/>
          <w:sz w:val="20"/>
          <w:szCs w:val="20"/>
        </w:rPr>
        <w:t>unconventional resources in the Bajo del Choique and La Invernada bl</w:t>
      </w:r>
      <w:r>
        <w:rPr>
          <w:color w:val="57585A"/>
          <w:spacing w:val="-13"/>
          <w:sz w:val="20"/>
          <w:szCs w:val="20"/>
        </w:rPr>
        <w:t>ocks,</w:t>
      </w:r>
      <w:r>
        <w:rPr>
          <w:color w:val="57585A"/>
          <w:spacing w:val="-15"/>
          <w:sz w:val="20"/>
          <w:szCs w:val="20"/>
        </w:rPr>
        <w:t xml:space="preserve"> </w:t>
      </w:r>
      <w:r>
        <w:rPr>
          <w:color w:val="57585A"/>
          <w:spacing w:val="-13"/>
          <w:sz w:val="20"/>
          <w:szCs w:val="20"/>
        </w:rPr>
        <w:t>where the company holds 85% interest and</w:t>
      </w:r>
      <w:r>
        <w:rPr>
          <w:color w:val="57585A"/>
          <w:spacing w:val="-6"/>
          <w:sz w:val="20"/>
          <w:szCs w:val="20"/>
        </w:rPr>
        <w:t xml:space="preserve"> </w:t>
      </w:r>
      <w:r>
        <w:rPr>
          <w:color w:val="57585A"/>
          <w:spacing w:val="-13"/>
          <w:sz w:val="20"/>
          <w:szCs w:val="20"/>
        </w:rPr>
        <w:t>Oil and</w:t>
      </w:r>
      <w:r>
        <w:rPr>
          <w:color w:val="57585A"/>
          <w:spacing w:val="-6"/>
          <w:sz w:val="20"/>
          <w:szCs w:val="20"/>
        </w:rPr>
        <w:t xml:space="preserve"> </w:t>
      </w:r>
      <w:r>
        <w:rPr>
          <w:color w:val="57585A"/>
          <w:spacing w:val="-13"/>
          <w:sz w:val="20"/>
          <w:szCs w:val="20"/>
        </w:rPr>
        <w:t>Gas</w:t>
      </w:r>
      <w:r>
        <w:rPr>
          <w:color w:val="57585A"/>
          <w:sz w:val="20"/>
          <w:szCs w:val="20"/>
        </w:rPr>
        <w:t xml:space="preserve"> </w:t>
      </w:r>
      <w:r>
        <w:rPr>
          <w:color w:val="57585A"/>
          <w:spacing w:val="-11"/>
          <w:sz w:val="20"/>
          <w:szCs w:val="20"/>
        </w:rPr>
        <w:t>Provincial Company of Neuquén ho</w:t>
      </w:r>
      <w:r>
        <w:rPr>
          <w:color w:val="57585A"/>
          <w:spacing w:val="-12"/>
          <w:sz w:val="20"/>
          <w:szCs w:val="20"/>
        </w:rPr>
        <w:t>lds the remaining 15%.</w:t>
      </w:r>
    </w:p>
    <w:p w14:paraId="42A89847">
      <w:pPr>
        <w:spacing w:line="283" w:lineRule="auto"/>
        <w:rPr>
          <w:sz w:val="20"/>
          <w:szCs w:val="20"/>
        </w:rPr>
        <w:sectPr>
          <w:footerReference r:id="rId84" w:type="default"/>
          <w:pgSz w:w="11906" w:h="16838"/>
          <w:pgMar w:top="400" w:right="490" w:bottom="883" w:left="490" w:header="0" w:footer="0" w:gutter="0"/>
          <w:cols w:space="720" w:num="1"/>
        </w:sectPr>
      </w:pPr>
    </w:p>
    <w:p w14:paraId="362944D3">
      <w:pPr>
        <w:pStyle w:val="4"/>
        <w:spacing w:before="73" w:line="241" w:lineRule="auto"/>
        <w:ind w:left="7372"/>
        <w:rPr>
          <w:sz w:val="20"/>
          <w:szCs w:val="20"/>
        </w:rPr>
      </w:pPr>
      <w:r>
        <w:drawing>
          <wp:anchor distT="0" distB="0" distL="0" distR="0" simplePos="0" relativeHeight="25196236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63392" behindDoc="0" locked="0" layoutInCell="0" allowOverlap="1">
            <wp:simplePos x="0" y="0"/>
            <wp:positionH relativeFrom="page">
              <wp:posOffset>311150</wp:posOffset>
            </wp:positionH>
            <wp:positionV relativeFrom="page">
              <wp:posOffset>0</wp:posOffset>
            </wp:positionV>
            <wp:extent cx="19050" cy="814070"/>
            <wp:effectExtent l="0" t="0" r="0" b="0"/>
            <wp:wrapNone/>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A831830">
      <w:pPr>
        <w:pStyle w:val="4"/>
        <w:spacing w:line="278" w:lineRule="auto"/>
      </w:pPr>
    </w:p>
    <w:p w14:paraId="17382EAE">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B3C3655">
      <w:pPr>
        <w:pStyle w:val="4"/>
        <w:spacing w:line="311" w:lineRule="auto"/>
      </w:pPr>
    </w:p>
    <w:p w14:paraId="68AFEE01">
      <w:pPr>
        <w:pStyle w:val="4"/>
        <w:spacing w:line="312" w:lineRule="auto"/>
      </w:pPr>
    </w:p>
    <w:p w14:paraId="37A8DAFA">
      <w:pPr>
        <w:pStyle w:val="4"/>
        <w:spacing w:before="69" w:line="234" w:lineRule="auto"/>
        <w:ind w:left="427"/>
        <w:rPr>
          <w:sz w:val="24"/>
          <w:szCs w:val="24"/>
        </w:rPr>
      </w:pPr>
      <w:r>
        <w:rPr>
          <w:color w:val="174174"/>
          <w:spacing w:val="-11"/>
          <w:sz w:val="24"/>
          <w:szCs w:val="24"/>
        </w:rPr>
        <w:t>Key</w:t>
      </w:r>
      <w:r>
        <w:rPr>
          <w:color w:val="174174"/>
          <w:spacing w:val="-20"/>
          <w:sz w:val="24"/>
          <w:szCs w:val="24"/>
        </w:rPr>
        <w:t xml:space="preserve"> </w:t>
      </w:r>
      <w:r>
        <w:rPr>
          <w:color w:val="174174"/>
          <w:spacing w:val="-11"/>
          <w:sz w:val="24"/>
          <w:szCs w:val="24"/>
        </w:rPr>
        <w:t>Assets In</w:t>
      </w:r>
      <w:r>
        <w:rPr>
          <w:color w:val="174174"/>
          <w:spacing w:val="-24"/>
          <w:sz w:val="24"/>
          <w:szCs w:val="24"/>
        </w:rPr>
        <w:t xml:space="preserve"> </w:t>
      </w:r>
      <w:r>
        <w:rPr>
          <w:color w:val="174174"/>
          <w:spacing w:val="-11"/>
          <w:sz w:val="24"/>
          <w:szCs w:val="24"/>
        </w:rPr>
        <w:t>Argentina</w:t>
      </w:r>
    </w:p>
    <w:p w14:paraId="0D7C2541">
      <w:pPr>
        <w:spacing w:line="41"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1838"/>
        <w:gridCol w:w="1323"/>
        <w:gridCol w:w="1813"/>
        <w:gridCol w:w="2261"/>
        <w:gridCol w:w="2095"/>
        <w:gridCol w:w="874"/>
      </w:tblGrid>
      <w:tr w14:paraId="204A9D4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3" w:hRule="atLeast"/>
        </w:trPr>
        <w:tc>
          <w:tcPr>
            <w:tcW w:w="1838" w:type="dxa"/>
            <w:tcBorders>
              <w:left w:val="nil"/>
            </w:tcBorders>
            <w:vAlign w:val="top"/>
          </w:tcPr>
          <w:p w14:paraId="51289052">
            <w:pPr>
              <w:pStyle w:val="8"/>
              <w:spacing w:before="114" w:line="183" w:lineRule="auto"/>
              <w:ind w:left="13"/>
            </w:pPr>
            <w:r>
              <w:rPr>
                <w:b/>
                <w:bCs/>
                <w:color w:val="5F6A72"/>
                <w:spacing w:val="-7"/>
              </w:rPr>
              <w:t>Name</w:t>
            </w:r>
          </w:p>
        </w:tc>
        <w:tc>
          <w:tcPr>
            <w:tcW w:w="1323" w:type="dxa"/>
            <w:tcBorders>
              <w:right w:val="nil"/>
            </w:tcBorders>
            <w:vAlign w:val="top"/>
          </w:tcPr>
          <w:p w14:paraId="2C7B4E5D">
            <w:pPr>
              <w:pStyle w:val="8"/>
              <w:spacing w:before="70" w:line="241" w:lineRule="auto"/>
              <w:ind w:left="90"/>
            </w:pPr>
            <w:r>
              <w:rPr>
                <w:b/>
                <w:bCs/>
                <w:color w:val="5F6A72"/>
                <w:spacing w:val="-10"/>
              </w:rPr>
              <w:t>Stake (%)</w:t>
            </w:r>
          </w:p>
        </w:tc>
        <w:tc>
          <w:tcPr>
            <w:tcW w:w="1813" w:type="dxa"/>
            <w:tcBorders>
              <w:left w:val="nil"/>
              <w:right w:val="nil"/>
            </w:tcBorders>
            <w:vAlign w:val="top"/>
          </w:tcPr>
          <w:p w14:paraId="072AE1EC">
            <w:pPr>
              <w:pStyle w:val="8"/>
              <w:spacing w:before="114" w:line="181" w:lineRule="auto"/>
              <w:ind w:left="73"/>
            </w:pPr>
            <w:r>
              <w:rPr>
                <w:b/>
                <w:bCs/>
                <w:color w:val="5F6A72"/>
                <w:spacing w:val="-9"/>
              </w:rPr>
              <w:t>Type</w:t>
            </w:r>
          </w:p>
        </w:tc>
        <w:tc>
          <w:tcPr>
            <w:tcW w:w="2261" w:type="dxa"/>
            <w:tcBorders>
              <w:left w:val="nil"/>
              <w:right w:val="nil"/>
            </w:tcBorders>
            <w:vAlign w:val="top"/>
          </w:tcPr>
          <w:p w14:paraId="683D2E89">
            <w:pPr>
              <w:pStyle w:val="8"/>
              <w:spacing w:before="70" w:line="243" w:lineRule="exact"/>
              <w:ind w:left="86"/>
            </w:pPr>
            <w:r>
              <w:rPr>
                <w:b/>
                <w:bCs/>
                <w:color w:val="5F6A72"/>
                <w:spacing w:val="-9"/>
                <w:position w:val="1"/>
              </w:rPr>
              <w:t>Location</w:t>
            </w:r>
          </w:p>
        </w:tc>
        <w:tc>
          <w:tcPr>
            <w:tcW w:w="2095" w:type="dxa"/>
            <w:tcBorders>
              <w:left w:val="nil"/>
              <w:right w:val="nil"/>
            </w:tcBorders>
            <w:vAlign w:val="top"/>
          </w:tcPr>
          <w:p w14:paraId="3261740A">
            <w:pPr>
              <w:pStyle w:val="8"/>
              <w:spacing w:before="70" w:line="243" w:lineRule="exact"/>
              <w:ind w:left="82"/>
            </w:pPr>
            <w:r>
              <w:rPr>
                <w:b/>
                <w:bCs/>
                <w:color w:val="5F6A72"/>
                <w:spacing w:val="-9"/>
                <w:position w:val="1"/>
              </w:rPr>
              <w:t>Products</w:t>
            </w:r>
          </w:p>
        </w:tc>
        <w:tc>
          <w:tcPr>
            <w:tcW w:w="874" w:type="dxa"/>
            <w:tcBorders>
              <w:left w:val="nil"/>
              <w:right w:val="nil"/>
            </w:tcBorders>
            <w:vAlign w:val="top"/>
          </w:tcPr>
          <w:p w14:paraId="25F81E4F">
            <w:pPr>
              <w:pStyle w:val="8"/>
              <w:rPr>
                <w:sz w:val="21"/>
              </w:rPr>
            </w:pPr>
          </w:p>
        </w:tc>
      </w:tr>
      <w:tr w14:paraId="6D5A794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5" w:hRule="atLeast"/>
        </w:trPr>
        <w:tc>
          <w:tcPr>
            <w:tcW w:w="1838" w:type="dxa"/>
            <w:tcBorders>
              <w:left w:val="nil"/>
            </w:tcBorders>
            <w:vAlign w:val="top"/>
          </w:tcPr>
          <w:p w14:paraId="3C2FC7B4">
            <w:pPr>
              <w:pStyle w:val="8"/>
              <w:spacing w:before="66" w:line="237" w:lineRule="exact"/>
              <w:ind w:left="9"/>
            </w:pPr>
            <w:r>
              <w:rPr>
                <w:color w:val="2A8ABF"/>
                <w:spacing w:val="-10"/>
                <w:position w:val="1"/>
              </w:rPr>
              <w:t>Sierra</w:t>
            </w:r>
            <w:r>
              <w:rPr>
                <w:color w:val="2A8ABF"/>
                <w:spacing w:val="-6"/>
                <w:position w:val="1"/>
              </w:rPr>
              <w:t xml:space="preserve"> </w:t>
            </w:r>
            <w:r>
              <w:rPr>
                <w:color w:val="2A8ABF"/>
                <w:spacing w:val="-10"/>
                <w:position w:val="1"/>
              </w:rPr>
              <w:t>Chata</w:t>
            </w:r>
          </w:p>
        </w:tc>
        <w:tc>
          <w:tcPr>
            <w:tcW w:w="1323" w:type="dxa"/>
            <w:tcBorders>
              <w:right w:val="nil"/>
            </w:tcBorders>
            <w:vAlign w:val="top"/>
          </w:tcPr>
          <w:p w14:paraId="4E6DB45F">
            <w:pPr>
              <w:pStyle w:val="8"/>
              <w:spacing w:before="66" w:line="237" w:lineRule="exact"/>
              <w:ind w:left="97"/>
            </w:pPr>
            <w:r>
              <w:rPr>
                <w:color w:val="5F6A72"/>
                <w:spacing w:val="-5"/>
                <w:position w:val="1"/>
              </w:rPr>
              <w:t>51</w:t>
            </w:r>
          </w:p>
        </w:tc>
        <w:tc>
          <w:tcPr>
            <w:tcW w:w="1813" w:type="dxa"/>
            <w:tcBorders>
              <w:left w:val="nil"/>
              <w:right w:val="nil"/>
            </w:tcBorders>
            <w:vAlign w:val="top"/>
          </w:tcPr>
          <w:p w14:paraId="7E69E521">
            <w:pPr>
              <w:pStyle w:val="8"/>
              <w:spacing w:before="66" w:line="237" w:lineRule="exact"/>
              <w:ind w:left="80"/>
            </w:pPr>
            <w:r>
              <w:rPr>
                <w:color w:val="5F6A72"/>
                <w:spacing w:val="-7"/>
                <w:position w:val="1"/>
              </w:rPr>
              <w:t>Onshore</w:t>
            </w:r>
            <w:r>
              <w:rPr>
                <w:color w:val="5F6A72"/>
                <w:spacing w:val="-10"/>
                <w:position w:val="1"/>
              </w:rPr>
              <w:t xml:space="preserve"> </w:t>
            </w:r>
            <w:r>
              <w:rPr>
                <w:color w:val="5F6A72"/>
                <w:spacing w:val="-7"/>
                <w:position w:val="1"/>
              </w:rPr>
              <w:t>field</w:t>
            </w:r>
          </w:p>
        </w:tc>
        <w:tc>
          <w:tcPr>
            <w:tcW w:w="2261" w:type="dxa"/>
            <w:tcBorders>
              <w:left w:val="nil"/>
              <w:right w:val="nil"/>
            </w:tcBorders>
            <w:vAlign w:val="top"/>
          </w:tcPr>
          <w:p w14:paraId="08FA6464">
            <w:pPr>
              <w:pStyle w:val="8"/>
              <w:spacing w:before="66" w:line="236" w:lineRule="auto"/>
              <w:ind w:left="86"/>
            </w:pPr>
            <w:r>
              <w:rPr>
                <w:color w:val="5F6A72"/>
                <w:spacing w:val="-8"/>
              </w:rPr>
              <w:t>Neuquén Province</w:t>
            </w:r>
          </w:p>
        </w:tc>
        <w:tc>
          <w:tcPr>
            <w:tcW w:w="2095" w:type="dxa"/>
            <w:tcBorders>
              <w:left w:val="nil"/>
              <w:right w:val="nil"/>
            </w:tcBorders>
            <w:vAlign w:val="top"/>
          </w:tcPr>
          <w:p w14:paraId="395B18EE">
            <w:pPr>
              <w:pStyle w:val="8"/>
              <w:spacing w:before="65" w:line="234" w:lineRule="auto"/>
              <w:ind w:left="82"/>
            </w:pPr>
            <w:r>
              <w:rPr>
                <w:color w:val="5F6A72"/>
                <w:spacing w:val="-9"/>
              </w:rPr>
              <w:t>Natural gas, condensates</w:t>
            </w:r>
          </w:p>
        </w:tc>
        <w:tc>
          <w:tcPr>
            <w:tcW w:w="874" w:type="dxa"/>
            <w:tcBorders>
              <w:left w:val="nil"/>
              <w:right w:val="nil"/>
            </w:tcBorders>
            <w:vAlign w:val="top"/>
          </w:tcPr>
          <w:p w14:paraId="2663F428">
            <w:pPr>
              <w:pStyle w:val="8"/>
              <w:rPr>
                <w:sz w:val="21"/>
              </w:rPr>
            </w:pPr>
          </w:p>
        </w:tc>
      </w:tr>
      <w:tr w14:paraId="25C6C5A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5" w:hRule="atLeast"/>
        </w:trPr>
        <w:tc>
          <w:tcPr>
            <w:tcW w:w="1838" w:type="dxa"/>
            <w:tcBorders>
              <w:left w:val="nil"/>
            </w:tcBorders>
            <w:shd w:val="clear" w:color="auto" w:fill="EAF9FF"/>
            <w:vAlign w:val="top"/>
          </w:tcPr>
          <w:p w14:paraId="758F2EDE">
            <w:pPr>
              <w:pStyle w:val="8"/>
              <w:spacing w:before="67" w:line="234" w:lineRule="auto"/>
              <w:ind w:left="18"/>
            </w:pPr>
            <w:r>
              <w:rPr>
                <w:color w:val="2A8ABF"/>
                <w:spacing w:val="-10"/>
              </w:rPr>
              <w:t>Bajo</w:t>
            </w:r>
            <w:r>
              <w:rPr>
                <w:color w:val="2A8ABF"/>
                <w:spacing w:val="2"/>
              </w:rPr>
              <w:t xml:space="preserve"> </w:t>
            </w:r>
            <w:r>
              <w:rPr>
                <w:color w:val="2A8ABF"/>
                <w:spacing w:val="-10"/>
              </w:rPr>
              <w:t>del Choique</w:t>
            </w:r>
          </w:p>
        </w:tc>
        <w:tc>
          <w:tcPr>
            <w:tcW w:w="1323" w:type="dxa"/>
            <w:tcBorders>
              <w:right w:val="nil"/>
            </w:tcBorders>
            <w:shd w:val="clear" w:color="auto" w:fill="EAF9FF"/>
            <w:vAlign w:val="top"/>
          </w:tcPr>
          <w:p w14:paraId="1EA3A561">
            <w:pPr>
              <w:pStyle w:val="8"/>
              <w:spacing w:before="67" w:line="237" w:lineRule="exact"/>
              <w:ind w:left="96"/>
            </w:pPr>
            <w:r>
              <w:rPr>
                <w:color w:val="5F6A72"/>
                <w:spacing w:val="-5"/>
                <w:position w:val="1"/>
              </w:rPr>
              <w:t>85</w:t>
            </w:r>
          </w:p>
        </w:tc>
        <w:tc>
          <w:tcPr>
            <w:tcW w:w="1813" w:type="dxa"/>
            <w:tcBorders>
              <w:left w:val="nil"/>
              <w:right w:val="nil"/>
            </w:tcBorders>
            <w:shd w:val="clear" w:color="auto" w:fill="EAF9FF"/>
            <w:vAlign w:val="top"/>
          </w:tcPr>
          <w:p w14:paraId="4D80549F">
            <w:pPr>
              <w:pStyle w:val="8"/>
              <w:spacing w:before="67" w:line="237" w:lineRule="exact"/>
              <w:ind w:left="80"/>
            </w:pPr>
            <w:r>
              <w:rPr>
                <w:color w:val="5F6A72"/>
                <w:spacing w:val="-8"/>
                <w:position w:val="1"/>
              </w:rPr>
              <w:t>Onshore block</w:t>
            </w:r>
          </w:p>
        </w:tc>
        <w:tc>
          <w:tcPr>
            <w:tcW w:w="2261" w:type="dxa"/>
            <w:tcBorders>
              <w:left w:val="nil"/>
              <w:right w:val="nil"/>
            </w:tcBorders>
            <w:shd w:val="clear" w:color="auto" w:fill="EAF9FF"/>
            <w:vAlign w:val="top"/>
          </w:tcPr>
          <w:p w14:paraId="5772A407">
            <w:pPr>
              <w:pStyle w:val="8"/>
              <w:spacing w:before="67" w:line="236" w:lineRule="auto"/>
              <w:ind w:left="86"/>
            </w:pPr>
            <w:r>
              <w:rPr>
                <w:color w:val="5F6A72"/>
                <w:spacing w:val="-8"/>
              </w:rPr>
              <w:t>Neuquén Province</w:t>
            </w:r>
          </w:p>
        </w:tc>
        <w:tc>
          <w:tcPr>
            <w:tcW w:w="2095" w:type="dxa"/>
            <w:tcBorders>
              <w:left w:val="nil"/>
              <w:right w:val="nil"/>
            </w:tcBorders>
            <w:shd w:val="clear" w:color="auto" w:fill="EAF9FF"/>
            <w:vAlign w:val="top"/>
          </w:tcPr>
          <w:p w14:paraId="53FA06C6">
            <w:pPr>
              <w:pStyle w:val="8"/>
              <w:spacing w:before="67" w:line="236" w:lineRule="auto"/>
              <w:ind w:left="82"/>
            </w:pPr>
            <w:r>
              <w:rPr>
                <w:color w:val="5F6A72"/>
                <w:spacing w:val="-7"/>
              </w:rPr>
              <w:t>In development</w:t>
            </w:r>
          </w:p>
        </w:tc>
        <w:tc>
          <w:tcPr>
            <w:tcW w:w="874" w:type="dxa"/>
            <w:tcBorders>
              <w:left w:val="nil"/>
              <w:right w:val="nil"/>
            </w:tcBorders>
            <w:shd w:val="clear" w:color="auto" w:fill="EAF9FF"/>
            <w:vAlign w:val="top"/>
          </w:tcPr>
          <w:p w14:paraId="1BF3AFDE">
            <w:pPr>
              <w:pStyle w:val="8"/>
              <w:rPr>
                <w:sz w:val="21"/>
              </w:rPr>
            </w:pPr>
          </w:p>
        </w:tc>
      </w:tr>
      <w:tr w14:paraId="516123D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483" w:hRule="atLeast"/>
        </w:trPr>
        <w:tc>
          <w:tcPr>
            <w:tcW w:w="1838" w:type="dxa"/>
            <w:tcBorders>
              <w:left w:val="nil"/>
              <w:bottom w:val="single" w:color="000000" w:sz="4" w:space="0"/>
            </w:tcBorders>
            <w:vAlign w:val="top"/>
          </w:tcPr>
          <w:p w14:paraId="39610532">
            <w:pPr>
              <w:pStyle w:val="8"/>
              <w:spacing w:before="68" w:line="238" w:lineRule="exact"/>
              <w:ind w:left="18"/>
            </w:pPr>
            <w:r>
              <w:rPr>
                <w:color w:val="2A8ABF"/>
                <w:spacing w:val="-10"/>
                <w:position w:val="1"/>
              </w:rPr>
              <w:t>La Invernada</w:t>
            </w:r>
          </w:p>
        </w:tc>
        <w:tc>
          <w:tcPr>
            <w:tcW w:w="1323" w:type="dxa"/>
            <w:tcBorders>
              <w:bottom w:val="single" w:color="000000" w:sz="4" w:space="0"/>
              <w:right w:val="nil"/>
            </w:tcBorders>
            <w:vAlign w:val="top"/>
          </w:tcPr>
          <w:p w14:paraId="668208D4">
            <w:pPr>
              <w:pStyle w:val="8"/>
              <w:spacing w:before="68" w:line="238" w:lineRule="exact"/>
              <w:ind w:left="96"/>
            </w:pPr>
            <w:r>
              <w:rPr>
                <w:color w:val="5F6A72"/>
                <w:spacing w:val="-5"/>
                <w:position w:val="1"/>
              </w:rPr>
              <w:t>85</w:t>
            </w:r>
          </w:p>
        </w:tc>
        <w:tc>
          <w:tcPr>
            <w:tcW w:w="1813" w:type="dxa"/>
            <w:tcBorders>
              <w:left w:val="nil"/>
              <w:bottom w:val="single" w:color="000000" w:sz="4" w:space="0"/>
              <w:right w:val="nil"/>
            </w:tcBorders>
            <w:vAlign w:val="top"/>
          </w:tcPr>
          <w:p w14:paraId="24FE9AE9">
            <w:pPr>
              <w:pStyle w:val="8"/>
              <w:spacing w:before="68" w:line="238" w:lineRule="exact"/>
              <w:ind w:left="80"/>
            </w:pPr>
            <w:r>
              <w:rPr>
                <w:color w:val="5F6A72"/>
                <w:spacing w:val="-8"/>
                <w:position w:val="1"/>
              </w:rPr>
              <w:t>Onshore block</w:t>
            </w:r>
          </w:p>
        </w:tc>
        <w:tc>
          <w:tcPr>
            <w:tcW w:w="2261" w:type="dxa"/>
            <w:tcBorders>
              <w:left w:val="nil"/>
              <w:bottom w:val="single" w:color="000000" w:sz="4" w:space="0"/>
              <w:right w:val="nil"/>
            </w:tcBorders>
            <w:vAlign w:val="top"/>
          </w:tcPr>
          <w:p w14:paraId="06236FB0">
            <w:pPr>
              <w:pStyle w:val="8"/>
              <w:spacing w:before="69" w:line="236" w:lineRule="auto"/>
              <w:ind w:left="86"/>
            </w:pPr>
            <w:r>
              <w:rPr>
                <w:color w:val="5F6A72"/>
                <w:spacing w:val="-8"/>
              </w:rPr>
              <w:t>Neuquén Province</w:t>
            </w:r>
          </w:p>
        </w:tc>
        <w:tc>
          <w:tcPr>
            <w:tcW w:w="2095" w:type="dxa"/>
            <w:tcBorders>
              <w:left w:val="nil"/>
              <w:bottom w:val="single" w:color="000000" w:sz="4" w:space="0"/>
              <w:right w:val="nil"/>
            </w:tcBorders>
            <w:vAlign w:val="top"/>
          </w:tcPr>
          <w:p w14:paraId="4B1CED08">
            <w:pPr>
              <w:pStyle w:val="8"/>
              <w:spacing w:before="69" w:line="236" w:lineRule="auto"/>
              <w:ind w:left="82"/>
            </w:pPr>
            <w:r>
              <w:rPr>
                <w:color w:val="5F6A72"/>
                <w:spacing w:val="-7"/>
              </w:rPr>
              <w:t>In development</w:t>
            </w:r>
          </w:p>
        </w:tc>
        <w:tc>
          <w:tcPr>
            <w:tcW w:w="874" w:type="dxa"/>
            <w:tcBorders>
              <w:left w:val="nil"/>
              <w:bottom w:val="single" w:color="000000" w:sz="4" w:space="0"/>
              <w:right w:val="nil"/>
            </w:tcBorders>
            <w:vAlign w:val="top"/>
          </w:tcPr>
          <w:p w14:paraId="4148455A">
            <w:pPr>
              <w:pStyle w:val="8"/>
              <w:rPr>
                <w:sz w:val="21"/>
              </w:rPr>
            </w:pPr>
          </w:p>
        </w:tc>
      </w:tr>
      <w:tr w14:paraId="5018F90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791" w:hRule="atLeast"/>
        </w:trPr>
        <w:tc>
          <w:tcPr>
            <w:tcW w:w="10204" w:type="dxa"/>
            <w:gridSpan w:val="6"/>
            <w:tcBorders>
              <w:top w:val="single" w:color="000000" w:sz="4" w:space="0"/>
              <w:left w:val="nil"/>
              <w:right w:val="nil"/>
            </w:tcBorders>
            <w:vAlign w:val="top"/>
          </w:tcPr>
          <w:p w14:paraId="3BC605B5">
            <w:pPr>
              <w:pStyle w:val="8"/>
              <w:spacing w:before="21" w:line="173" w:lineRule="auto"/>
              <w:ind w:left="8"/>
              <w:rPr>
                <w:sz w:val="15"/>
                <w:szCs w:val="15"/>
              </w:rPr>
            </w:pPr>
            <w:r>
              <w:rPr>
                <w:i/>
                <w:iCs/>
                <w:color w:val="333333"/>
                <w:spacing w:val="-5"/>
                <w:w w:val="90"/>
                <w:sz w:val="15"/>
                <w:szCs w:val="15"/>
              </w:rPr>
              <w:t>Source: ExxonMobil, BMI</w:t>
            </w:r>
          </w:p>
          <w:p w14:paraId="15077C2F">
            <w:pPr>
              <w:pStyle w:val="8"/>
              <w:spacing w:line="262" w:lineRule="auto"/>
              <w:rPr>
                <w:sz w:val="21"/>
              </w:rPr>
            </w:pPr>
          </w:p>
          <w:p w14:paraId="1462CE3B">
            <w:pPr>
              <w:pStyle w:val="8"/>
              <w:spacing w:before="69" w:line="234" w:lineRule="auto"/>
              <w:ind w:left="67"/>
              <w:rPr>
                <w:sz w:val="24"/>
                <w:szCs w:val="24"/>
              </w:rPr>
            </w:pPr>
            <w:r>
              <w:rPr>
                <w:color w:val="174174"/>
                <w:spacing w:val="-15"/>
                <w:sz w:val="24"/>
                <w:szCs w:val="24"/>
              </w:rPr>
              <w:t>Key Financial Data, US</w:t>
            </w:r>
            <w:r>
              <w:rPr>
                <w:color w:val="174174"/>
                <w:spacing w:val="-16"/>
                <w:sz w:val="24"/>
                <w:szCs w:val="24"/>
              </w:rPr>
              <w:t>Dmn</w:t>
            </w:r>
          </w:p>
        </w:tc>
      </w:tr>
      <w:tr w14:paraId="12EEF38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5" w:hRule="atLeast"/>
        </w:trPr>
        <w:tc>
          <w:tcPr>
            <w:tcW w:w="1838" w:type="dxa"/>
            <w:tcBorders>
              <w:left w:val="nil"/>
            </w:tcBorders>
            <w:vAlign w:val="top"/>
          </w:tcPr>
          <w:p w14:paraId="2332619C">
            <w:pPr>
              <w:pStyle w:val="8"/>
              <w:rPr>
                <w:sz w:val="21"/>
              </w:rPr>
            </w:pPr>
          </w:p>
        </w:tc>
        <w:tc>
          <w:tcPr>
            <w:tcW w:w="1323" w:type="dxa"/>
            <w:tcBorders>
              <w:right w:val="nil"/>
            </w:tcBorders>
            <w:vAlign w:val="top"/>
          </w:tcPr>
          <w:p w14:paraId="6D14CF17">
            <w:pPr>
              <w:pStyle w:val="8"/>
              <w:rPr>
                <w:sz w:val="21"/>
              </w:rPr>
            </w:pPr>
          </w:p>
        </w:tc>
        <w:tc>
          <w:tcPr>
            <w:tcW w:w="1813" w:type="dxa"/>
            <w:tcBorders>
              <w:left w:val="nil"/>
              <w:right w:val="nil"/>
            </w:tcBorders>
            <w:vAlign w:val="top"/>
          </w:tcPr>
          <w:p w14:paraId="0F48941D">
            <w:pPr>
              <w:pStyle w:val="8"/>
              <w:spacing w:before="112" w:line="185" w:lineRule="auto"/>
              <w:ind w:left="746"/>
            </w:pPr>
            <w:r>
              <w:rPr>
                <w:b/>
                <w:bCs/>
                <w:color w:val="5F6A72"/>
                <w:spacing w:val="-10"/>
              </w:rPr>
              <w:t>FY22</w:t>
            </w:r>
          </w:p>
        </w:tc>
        <w:tc>
          <w:tcPr>
            <w:tcW w:w="2261" w:type="dxa"/>
            <w:tcBorders>
              <w:left w:val="nil"/>
              <w:right w:val="nil"/>
            </w:tcBorders>
            <w:vAlign w:val="top"/>
          </w:tcPr>
          <w:p w14:paraId="170A1701">
            <w:pPr>
              <w:pStyle w:val="8"/>
              <w:spacing w:before="112" w:line="184" w:lineRule="auto"/>
              <w:ind w:left="1812"/>
            </w:pPr>
            <w:r>
              <w:rPr>
                <w:b/>
                <w:bCs/>
                <w:color w:val="5F6A72"/>
                <w:spacing w:val="-10"/>
              </w:rPr>
              <w:t>FY23</w:t>
            </w:r>
          </w:p>
        </w:tc>
        <w:tc>
          <w:tcPr>
            <w:tcW w:w="2095" w:type="dxa"/>
            <w:tcBorders>
              <w:left w:val="nil"/>
              <w:right w:val="nil"/>
            </w:tcBorders>
            <w:vAlign w:val="top"/>
          </w:tcPr>
          <w:p w14:paraId="70C4A6AA">
            <w:pPr>
              <w:pStyle w:val="8"/>
              <w:rPr>
                <w:sz w:val="21"/>
              </w:rPr>
            </w:pPr>
          </w:p>
        </w:tc>
        <w:tc>
          <w:tcPr>
            <w:tcW w:w="874" w:type="dxa"/>
            <w:tcBorders>
              <w:left w:val="nil"/>
              <w:right w:val="nil"/>
            </w:tcBorders>
            <w:vAlign w:val="top"/>
          </w:tcPr>
          <w:p w14:paraId="06A76805">
            <w:pPr>
              <w:pStyle w:val="8"/>
              <w:spacing w:before="112" w:line="185" w:lineRule="auto"/>
              <w:ind w:left="421"/>
            </w:pPr>
            <w:r>
              <w:rPr>
                <w:b/>
                <w:bCs/>
                <w:color w:val="5F6A72"/>
                <w:spacing w:val="-9"/>
                <w:w w:val="99"/>
              </w:rPr>
              <w:t>FY24</w:t>
            </w:r>
          </w:p>
        </w:tc>
      </w:tr>
      <w:tr w14:paraId="19BEDB4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838" w:type="dxa"/>
            <w:tcBorders>
              <w:left w:val="nil"/>
            </w:tcBorders>
            <w:vAlign w:val="top"/>
          </w:tcPr>
          <w:p w14:paraId="22DBFF81">
            <w:pPr>
              <w:pStyle w:val="8"/>
              <w:spacing w:before="73" w:line="237" w:lineRule="exact"/>
              <w:ind w:left="18"/>
            </w:pPr>
            <w:r>
              <w:rPr>
                <w:color w:val="2A8ABF"/>
                <w:spacing w:val="-9"/>
                <w:position w:val="1"/>
              </w:rPr>
              <w:t>Net</w:t>
            </w:r>
            <w:r>
              <w:rPr>
                <w:color w:val="2A8ABF"/>
                <w:spacing w:val="-11"/>
                <w:position w:val="1"/>
              </w:rPr>
              <w:t xml:space="preserve"> </w:t>
            </w:r>
            <w:r>
              <w:rPr>
                <w:color w:val="2A8ABF"/>
                <w:spacing w:val="-9"/>
                <w:position w:val="1"/>
              </w:rPr>
              <w:t>sales</w:t>
            </w:r>
          </w:p>
        </w:tc>
        <w:tc>
          <w:tcPr>
            <w:tcW w:w="1323" w:type="dxa"/>
            <w:tcBorders>
              <w:right w:val="nil"/>
            </w:tcBorders>
            <w:vAlign w:val="top"/>
          </w:tcPr>
          <w:p w14:paraId="62784FBD">
            <w:pPr>
              <w:pStyle w:val="8"/>
              <w:rPr>
                <w:sz w:val="21"/>
              </w:rPr>
            </w:pPr>
          </w:p>
        </w:tc>
        <w:tc>
          <w:tcPr>
            <w:tcW w:w="1813" w:type="dxa"/>
            <w:tcBorders>
              <w:left w:val="nil"/>
              <w:right w:val="nil"/>
            </w:tcBorders>
            <w:vAlign w:val="top"/>
          </w:tcPr>
          <w:p w14:paraId="26559753">
            <w:pPr>
              <w:pStyle w:val="8"/>
              <w:spacing w:before="73" w:line="214" w:lineRule="exact"/>
              <w:ind w:left="515"/>
            </w:pPr>
            <w:r>
              <w:rPr>
                <w:color w:val="5F6A72"/>
                <w:spacing w:val="-5"/>
                <w:position w:val="1"/>
              </w:rPr>
              <w:t>413,680</w:t>
            </w:r>
          </w:p>
        </w:tc>
        <w:tc>
          <w:tcPr>
            <w:tcW w:w="2261" w:type="dxa"/>
            <w:tcBorders>
              <w:left w:val="nil"/>
              <w:right w:val="nil"/>
            </w:tcBorders>
            <w:vAlign w:val="top"/>
          </w:tcPr>
          <w:p w14:paraId="4D11E786">
            <w:pPr>
              <w:pStyle w:val="8"/>
              <w:spacing w:before="73" w:line="214" w:lineRule="exact"/>
              <w:ind w:left="1581"/>
            </w:pPr>
            <w:r>
              <w:rPr>
                <w:color w:val="5F6A72"/>
                <w:spacing w:val="-5"/>
                <w:position w:val="1"/>
              </w:rPr>
              <w:t>344,582</w:t>
            </w:r>
          </w:p>
        </w:tc>
        <w:tc>
          <w:tcPr>
            <w:tcW w:w="2095" w:type="dxa"/>
            <w:tcBorders>
              <w:left w:val="nil"/>
              <w:right w:val="nil"/>
            </w:tcBorders>
            <w:vAlign w:val="top"/>
          </w:tcPr>
          <w:p w14:paraId="6DCDA5B4">
            <w:pPr>
              <w:pStyle w:val="8"/>
              <w:rPr>
                <w:sz w:val="21"/>
              </w:rPr>
            </w:pPr>
          </w:p>
        </w:tc>
        <w:tc>
          <w:tcPr>
            <w:tcW w:w="874" w:type="dxa"/>
            <w:tcBorders>
              <w:left w:val="nil"/>
              <w:right w:val="nil"/>
            </w:tcBorders>
            <w:vAlign w:val="top"/>
          </w:tcPr>
          <w:p w14:paraId="3D934DBC">
            <w:pPr>
              <w:pStyle w:val="8"/>
              <w:spacing w:before="73" w:line="214" w:lineRule="exact"/>
              <w:ind w:left="189"/>
            </w:pPr>
            <w:r>
              <w:rPr>
                <w:color w:val="5F6A72"/>
                <w:spacing w:val="-5"/>
                <w:position w:val="1"/>
              </w:rPr>
              <w:t>349,585</w:t>
            </w:r>
          </w:p>
        </w:tc>
      </w:tr>
      <w:tr w14:paraId="7A3043E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1838" w:type="dxa"/>
            <w:tcBorders>
              <w:left w:val="nil"/>
            </w:tcBorders>
            <w:shd w:val="clear" w:color="auto" w:fill="EAF9FF"/>
            <w:vAlign w:val="top"/>
          </w:tcPr>
          <w:p w14:paraId="7C057192">
            <w:pPr>
              <w:pStyle w:val="8"/>
              <w:spacing w:before="73" w:line="240" w:lineRule="exact"/>
              <w:ind w:left="18"/>
            </w:pPr>
            <w:r>
              <w:rPr>
                <w:color w:val="2A8ABF"/>
                <w:spacing w:val="-19"/>
                <w:position w:val="1"/>
              </w:rPr>
              <w:t>EBITDA</w:t>
            </w:r>
          </w:p>
        </w:tc>
        <w:tc>
          <w:tcPr>
            <w:tcW w:w="1323" w:type="dxa"/>
            <w:tcBorders>
              <w:right w:val="nil"/>
            </w:tcBorders>
            <w:shd w:val="clear" w:color="auto" w:fill="EAF9FF"/>
            <w:vAlign w:val="top"/>
          </w:tcPr>
          <w:p w14:paraId="0A3E43D7">
            <w:pPr>
              <w:pStyle w:val="8"/>
              <w:rPr>
                <w:sz w:val="21"/>
              </w:rPr>
            </w:pPr>
          </w:p>
        </w:tc>
        <w:tc>
          <w:tcPr>
            <w:tcW w:w="1813" w:type="dxa"/>
            <w:tcBorders>
              <w:left w:val="nil"/>
              <w:right w:val="nil"/>
            </w:tcBorders>
            <w:shd w:val="clear" w:color="auto" w:fill="EAF9FF"/>
            <w:vAlign w:val="top"/>
          </w:tcPr>
          <w:p w14:paraId="23EFC2CD">
            <w:pPr>
              <w:pStyle w:val="8"/>
              <w:spacing w:before="73" w:line="214" w:lineRule="exact"/>
              <w:ind w:left="522"/>
            </w:pPr>
            <w:r>
              <w:rPr>
                <w:color w:val="5F6A72"/>
                <w:spacing w:val="-6"/>
                <w:position w:val="1"/>
              </w:rPr>
              <w:t>104,451</w:t>
            </w:r>
          </w:p>
        </w:tc>
        <w:tc>
          <w:tcPr>
            <w:tcW w:w="2261" w:type="dxa"/>
            <w:tcBorders>
              <w:left w:val="nil"/>
              <w:right w:val="nil"/>
            </w:tcBorders>
            <w:shd w:val="clear" w:color="auto" w:fill="EAF9FF"/>
            <w:vAlign w:val="top"/>
          </w:tcPr>
          <w:p w14:paraId="00B0F814">
            <w:pPr>
              <w:pStyle w:val="8"/>
              <w:spacing w:before="73" w:line="214" w:lineRule="exact"/>
              <w:ind w:left="1678"/>
            </w:pPr>
            <w:r>
              <w:rPr>
                <w:color w:val="5F6A72"/>
                <w:spacing w:val="-5"/>
                <w:position w:val="1"/>
              </w:rPr>
              <w:t>77,183</w:t>
            </w:r>
          </w:p>
        </w:tc>
        <w:tc>
          <w:tcPr>
            <w:tcW w:w="2095" w:type="dxa"/>
            <w:tcBorders>
              <w:left w:val="nil"/>
              <w:right w:val="nil"/>
            </w:tcBorders>
            <w:shd w:val="clear" w:color="auto" w:fill="EAF9FF"/>
            <w:vAlign w:val="top"/>
          </w:tcPr>
          <w:p w14:paraId="371EB531">
            <w:pPr>
              <w:pStyle w:val="8"/>
              <w:rPr>
                <w:sz w:val="21"/>
              </w:rPr>
            </w:pPr>
          </w:p>
        </w:tc>
        <w:tc>
          <w:tcPr>
            <w:tcW w:w="874" w:type="dxa"/>
            <w:tcBorders>
              <w:left w:val="nil"/>
              <w:right w:val="nil"/>
            </w:tcBorders>
            <w:shd w:val="clear" w:color="auto" w:fill="EAF9FF"/>
            <w:vAlign w:val="top"/>
          </w:tcPr>
          <w:p w14:paraId="2DDC3718">
            <w:pPr>
              <w:pStyle w:val="8"/>
              <w:spacing w:before="73" w:line="214" w:lineRule="exact"/>
              <w:ind w:left="286"/>
            </w:pPr>
            <w:r>
              <w:rPr>
                <w:color w:val="5F6A72"/>
                <w:spacing w:val="-5"/>
                <w:position w:val="1"/>
              </w:rPr>
              <w:t>73,504</w:t>
            </w:r>
          </w:p>
        </w:tc>
      </w:tr>
      <w:tr w14:paraId="6BCECBC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640" w:hRule="atLeast"/>
        </w:trPr>
        <w:tc>
          <w:tcPr>
            <w:tcW w:w="1838" w:type="dxa"/>
            <w:tcBorders>
              <w:left w:val="nil"/>
              <w:bottom w:val="single" w:color="000000" w:sz="4" w:space="0"/>
            </w:tcBorders>
            <w:vAlign w:val="top"/>
          </w:tcPr>
          <w:p w14:paraId="1E23A1BC">
            <w:pPr>
              <w:pStyle w:val="8"/>
              <w:spacing w:before="149" w:line="238" w:lineRule="exact"/>
              <w:ind w:left="18"/>
            </w:pPr>
            <w:r>
              <w:rPr>
                <w:color w:val="2A8ABF"/>
                <w:spacing w:val="-6"/>
                <w:position w:val="1"/>
              </w:rPr>
              <w:t>Net Income</w:t>
            </w:r>
          </w:p>
        </w:tc>
        <w:tc>
          <w:tcPr>
            <w:tcW w:w="1323" w:type="dxa"/>
            <w:tcBorders>
              <w:bottom w:val="single" w:color="000000" w:sz="4" w:space="0"/>
              <w:right w:val="nil"/>
            </w:tcBorders>
            <w:vAlign w:val="top"/>
          </w:tcPr>
          <w:p w14:paraId="4E2621A1">
            <w:pPr>
              <w:pStyle w:val="8"/>
              <w:rPr>
                <w:sz w:val="21"/>
              </w:rPr>
            </w:pPr>
          </w:p>
        </w:tc>
        <w:tc>
          <w:tcPr>
            <w:tcW w:w="1813" w:type="dxa"/>
            <w:tcBorders>
              <w:left w:val="nil"/>
              <w:bottom w:val="single" w:color="000000" w:sz="4" w:space="0"/>
              <w:right w:val="nil"/>
            </w:tcBorders>
            <w:vAlign w:val="top"/>
          </w:tcPr>
          <w:p w14:paraId="1809541F">
            <w:pPr>
              <w:pStyle w:val="8"/>
              <w:spacing w:before="149" w:line="214" w:lineRule="exact"/>
              <w:ind w:left="617"/>
            </w:pPr>
            <w:r>
              <w:rPr>
                <w:color w:val="5F6A72"/>
                <w:spacing w:val="-6"/>
                <w:position w:val="1"/>
              </w:rPr>
              <w:t>55,740</w:t>
            </w:r>
          </w:p>
        </w:tc>
        <w:tc>
          <w:tcPr>
            <w:tcW w:w="2261" w:type="dxa"/>
            <w:tcBorders>
              <w:left w:val="nil"/>
              <w:bottom w:val="single" w:color="000000" w:sz="4" w:space="0"/>
              <w:right w:val="nil"/>
            </w:tcBorders>
            <w:vAlign w:val="top"/>
          </w:tcPr>
          <w:p w14:paraId="3504D78D">
            <w:pPr>
              <w:pStyle w:val="8"/>
              <w:spacing w:before="149" w:line="214" w:lineRule="exact"/>
              <w:ind w:left="1678"/>
            </w:pPr>
            <w:r>
              <w:rPr>
                <w:color w:val="5F6A72"/>
                <w:spacing w:val="-5"/>
                <w:position w:val="1"/>
              </w:rPr>
              <w:t>36,010</w:t>
            </w:r>
          </w:p>
        </w:tc>
        <w:tc>
          <w:tcPr>
            <w:tcW w:w="2095" w:type="dxa"/>
            <w:tcBorders>
              <w:left w:val="nil"/>
              <w:bottom w:val="single" w:color="000000" w:sz="4" w:space="0"/>
              <w:right w:val="nil"/>
            </w:tcBorders>
            <w:vAlign w:val="top"/>
          </w:tcPr>
          <w:p w14:paraId="039A3AE4">
            <w:pPr>
              <w:pStyle w:val="8"/>
              <w:rPr>
                <w:sz w:val="21"/>
              </w:rPr>
            </w:pPr>
          </w:p>
        </w:tc>
        <w:tc>
          <w:tcPr>
            <w:tcW w:w="874" w:type="dxa"/>
            <w:tcBorders>
              <w:left w:val="nil"/>
              <w:bottom w:val="single" w:color="000000" w:sz="4" w:space="0"/>
              <w:right w:val="nil"/>
            </w:tcBorders>
            <w:vAlign w:val="top"/>
          </w:tcPr>
          <w:p w14:paraId="68DF4FA1">
            <w:pPr>
              <w:pStyle w:val="8"/>
              <w:spacing w:before="149" w:line="214" w:lineRule="exact"/>
              <w:ind w:left="286"/>
            </w:pPr>
            <w:r>
              <w:rPr>
                <w:color w:val="5F6A72"/>
                <w:spacing w:val="-5"/>
                <w:position w:val="1"/>
              </w:rPr>
              <w:t>33,680</w:t>
            </w:r>
          </w:p>
        </w:tc>
      </w:tr>
    </w:tbl>
    <w:p w14:paraId="2B7DBECC">
      <w:pPr>
        <w:pStyle w:val="4"/>
        <w:spacing w:before="21" w:line="173" w:lineRule="auto"/>
        <w:ind w:left="368"/>
        <w:rPr>
          <w:sz w:val="15"/>
          <w:szCs w:val="15"/>
        </w:rPr>
      </w:pPr>
      <w:r>
        <w:rPr>
          <w:i/>
          <w:iCs/>
          <w:color w:val="333333"/>
          <w:spacing w:val="-5"/>
          <w:w w:val="90"/>
          <w:sz w:val="15"/>
          <w:szCs w:val="15"/>
        </w:rPr>
        <w:t>Source: ExxonMobil, BMI</w:t>
      </w:r>
    </w:p>
    <w:p w14:paraId="247526B4">
      <w:pPr>
        <w:spacing w:line="173" w:lineRule="auto"/>
        <w:rPr>
          <w:sz w:val="15"/>
          <w:szCs w:val="15"/>
        </w:rPr>
        <w:sectPr>
          <w:footerReference r:id="rId85" w:type="default"/>
          <w:pgSz w:w="11906" w:h="16838"/>
          <w:pgMar w:top="400" w:right="490" w:bottom="883" w:left="490" w:header="0" w:footer="0" w:gutter="0"/>
          <w:cols w:space="720" w:num="1"/>
        </w:sectPr>
      </w:pPr>
    </w:p>
    <w:p w14:paraId="661DF840">
      <w:pPr>
        <w:pStyle w:val="4"/>
        <w:spacing w:before="73" w:line="241" w:lineRule="auto"/>
        <w:ind w:left="7372"/>
        <w:rPr>
          <w:sz w:val="20"/>
          <w:szCs w:val="20"/>
        </w:rPr>
      </w:pPr>
      <w:r>
        <w:drawing>
          <wp:anchor distT="0" distB="0" distL="0" distR="0" simplePos="0" relativeHeight="25196441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65440" behindDoc="0" locked="0" layoutInCell="0" allowOverlap="1">
            <wp:simplePos x="0" y="0"/>
            <wp:positionH relativeFrom="page">
              <wp:posOffset>311150</wp:posOffset>
            </wp:positionH>
            <wp:positionV relativeFrom="page">
              <wp:posOffset>0</wp:posOffset>
            </wp:positionV>
            <wp:extent cx="19050" cy="814070"/>
            <wp:effectExtent l="0" t="0" r="0" b="0"/>
            <wp:wrapNone/>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3FB2A97">
      <w:pPr>
        <w:pStyle w:val="4"/>
        <w:spacing w:line="278" w:lineRule="auto"/>
      </w:pPr>
    </w:p>
    <w:p w14:paraId="2050B68E">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3E5820A">
      <w:pPr>
        <w:pStyle w:val="4"/>
        <w:spacing w:line="374" w:lineRule="auto"/>
      </w:pPr>
    </w:p>
    <w:p w14:paraId="02F88A9F">
      <w:pPr>
        <w:pStyle w:val="4"/>
        <w:spacing w:before="126" w:line="234" w:lineRule="auto"/>
        <w:ind w:left="395"/>
        <w:outlineLvl w:val="0"/>
        <w:rPr>
          <w:sz w:val="44"/>
          <w:szCs w:val="44"/>
        </w:rPr>
      </w:pPr>
      <w:bookmarkStart w:id="38" w:name="bookmark27"/>
      <w:bookmarkEnd w:id="38"/>
      <w:bookmarkStart w:id="39" w:name="bookmark28"/>
      <w:bookmarkEnd w:id="39"/>
      <w:bookmarkStart w:id="40" w:name="bookmark45"/>
      <w:bookmarkEnd w:id="40"/>
      <w:r>
        <w:rPr>
          <w:color w:val="174174"/>
          <w:spacing w:val="-24"/>
          <w:sz w:val="44"/>
          <w:szCs w:val="44"/>
        </w:rPr>
        <w:t>Regional Overview</w:t>
      </w:r>
    </w:p>
    <w:p w14:paraId="23261714">
      <w:pPr>
        <w:pStyle w:val="4"/>
        <w:spacing w:before="145" w:line="234" w:lineRule="auto"/>
        <w:ind w:left="384"/>
        <w:outlineLvl w:val="0"/>
        <w:rPr>
          <w:sz w:val="30"/>
          <w:szCs w:val="30"/>
        </w:rPr>
      </w:pPr>
      <w:bookmarkStart w:id="41" w:name="bookmark46"/>
      <w:bookmarkEnd w:id="41"/>
      <w:r>
        <w:rPr>
          <w:color w:val="2A8ABF"/>
          <w:spacing w:val="-16"/>
          <w:sz w:val="30"/>
          <w:szCs w:val="30"/>
        </w:rPr>
        <w:t>Latin</w:t>
      </w:r>
      <w:r>
        <w:rPr>
          <w:color w:val="2A8ABF"/>
          <w:spacing w:val="-23"/>
          <w:sz w:val="30"/>
          <w:szCs w:val="30"/>
        </w:rPr>
        <w:t xml:space="preserve"> </w:t>
      </w:r>
      <w:r>
        <w:rPr>
          <w:color w:val="2A8ABF"/>
          <w:spacing w:val="-16"/>
          <w:sz w:val="30"/>
          <w:szCs w:val="30"/>
        </w:rPr>
        <w:t>America Oil &amp; Gas Regiona</w:t>
      </w:r>
      <w:r>
        <w:rPr>
          <w:color w:val="2A8ABF"/>
          <w:spacing w:val="-17"/>
          <w:sz w:val="30"/>
          <w:szCs w:val="30"/>
        </w:rPr>
        <w:t>l Overview</w:t>
      </w:r>
    </w:p>
    <w:p w14:paraId="7A8A5316">
      <w:pPr>
        <w:pStyle w:val="4"/>
        <w:spacing w:line="265" w:lineRule="auto"/>
      </w:pPr>
    </w:p>
    <w:p w14:paraId="6C63DE3E">
      <w:pPr>
        <w:pStyle w:val="4"/>
        <w:spacing w:before="58" w:line="273" w:lineRule="auto"/>
        <w:ind w:left="365" w:right="420" w:firstLine="20"/>
        <w:rPr>
          <w:sz w:val="20"/>
          <w:szCs w:val="20"/>
        </w:rPr>
      </w:pPr>
      <w:r>
        <w:rPr>
          <w:b/>
          <w:bCs/>
          <w:i/>
          <w:iCs/>
          <w:color w:val="57585A"/>
          <w:spacing w:val="-7"/>
          <w:w w:val="97"/>
          <w:sz w:val="20"/>
          <w:szCs w:val="20"/>
        </w:rPr>
        <w:t xml:space="preserve">Key View: </w:t>
      </w:r>
      <w:r>
        <w:rPr>
          <w:i/>
          <w:iCs/>
          <w:color w:val="57585A"/>
          <w:spacing w:val="-7"/>
          <w:w w:val="97"/>
          <w:sz w:val="20"/>
          <w:szCs w:val="20"/>
        </w:rPr>
        <w:t>Latin</w:t>
      </w:r>
      <w:r>
        <w:rPr>
          <w:i/>
          <w:iCs/>
          <w:color w:val="57585A"/>
          <w:spacing w:val="-14"/>
          <w:sz w:val="20"/>
          <w:szCs w:val="20"/>
        </w:rPr>
        <w:t xml:space="preserve"> </w:t>
      </w:r>
      <w:r>
        <w:rPr>
          <w:i/>
          <w:iCs/>
          <w:color w:val="57585A"/>
          <w:spacing w:val="-7"/>
          <w:w w:val="97"/>
          <w:sz w:val="20"/>
          <w:szCs w:val="20"/>
        </w:rPr>
        <w:t>America's oil</w:t>
      </w:r>
      <w:r>
        <w:rPr>
          <w:i/>
          <w:iCs/>
          <w:color w:val="57585A"/>
          <w:spacing w:val="-25"/>
          <w:sz w:val="20"/>
          <w:szCs w:val="20"/>
        </w:rPr>
        <w:t xml:space="preserve"> </w:t>
      </w:r>
      <w:r>
        <w:rPr>
          <w:i/>
          <w:iCs/>
          <w:color w:val="57585A"/>
          <w:spacing w:val="-7"/>
          <w:w w:val="97"/>
          <w:sz w:val="20"/>
          <w:szCs w:val="20"/>
        </w:rPr>
        <w:t>production growth is</w:t>
      </w:r>
      <w:r>
        <w:rPr>
          <w:i/>
          <w:iCs/>
          <w:color w:val="57585A"/>
          <w:spacing w:val="-20"/>
          <w:sz w:val="20"/>
          <w:szCs w:val="20"/>
        </w:rPr>
        <w:t xml:space="preserve"> </w:t>
      </w:r>
      <w:r>
        <w:rPr>
          <w:i/>
          <w:iCs/>
          <w:color w:val="57585A"/>
          <w:spacing w:val="-7"/>
          <w:w w:val="97"/>
          <w:sz w:val="20"/>
          <w:szCs w:val="20"/>
        </w:rPr>
        <w:t>projected to slow</w:t>
      </w:r>
      <w:r>
        <w:rPr>
          <w:i/>
          <w:iCs/>
          <w:color w:val="57585A"/>
          <w:spacing w:val="-15"/>
          <w:sz w:val="20"/>
          <w:szCs w:val="20"/>
        </w:rPr>
        <w:t xml:space="preserve"> </w:t>
      </w:r>
      <w:r>
        <w:rPr>
          <w:i/>
          <w:iCs/>
          <w:color w:val="57585A"/>
          <w:spacing w:val="-7"/>
          <w:w w:val="97"/>
          <w:sz w:val="20"/>
          <w:szCs w:val="20"/>
        </w:rPr>
        <w:t>to 2.6%y-o-yin 2025, down from 3.3%</w:t>
      </w:r>
      <w:r>
        <w:rPr>
          <w:i/>
          <w:iCs/>
          <w:color w:val="57585A"/>
          <w:spacing w:val="-22"/>
          <w:sz w:val="20"/>
          <w:szCs w:val="20"/>
        </w:rPr>
        <w:t xml:space="preserve"> </w:t>
      </w:r>
      <w:r>
        <w:rPr>
          <w:i/>
          <w:iCs/>
          <w:color w:val="57585A"/>
          <w:spacing w:val="-7"/>
          <w:w w:val="97"/>
          <w:sz w:val="20"/>
          <w:szCs w:val="20"/>
        </w:rPr>
        <w:t>in 2024, but</w:t>
      </w:r>
      <w:r>
        <w:rPr>
          <w:i/>
          <w:iCs/>
          <w:color w:val="57585A"/>
          <w:spacing w:val="-19"/>
          <w:sz w:val="20"/>
          <w:szCs w:val="20"/>
        </w:rPr>
        <w:t xml:space="preserve"> </w:t>
      </w:r>
      <w:r>
        <w:rPr>
          <w:i/>
          <w:iCs/>
          <w:color w:val="57585A"/>
          <w:spacing w:val="-7"/>
          <w:w w:val="97"/>
          <w:sz w:val="20"/>
          <w:szCs w:val="20"/>
        </w:rPr>
        <w:t>long-term</w:t>
      </w:r>
      <w:r>
        <w:rPr>
          <w:i/>
          <w:iCs/>
          <w:color w:val="57585A"/>
          <w:sz w:val="20"/>
          <w:szCs w:val="20"/>
        </w:rPr>
        <w:t xml:space="preserve"> </w:t>
      </w:r>
      <w:r>
        <w:rPr>
          <w:i/>
          <w:iCs/>
          <w:color w:val="57585A"/>
          <w:spacing w:val="-7"/>
          <w:w w:val="95"/>
          <w:sz w:val="20"/>
          <w:szCs w:val="20"/>
        </w:rPr>
        <w:t>prospects remain positive with key</w:t>
      </w:r>
      <w:r>
        <w:rPr>
          <w:i/>
          <w:iCs/>
          <w:color w:val="57585A"/>
          <w:spacing w:val="-32"/>
          <w:sz w:val="20"/>
          <w:szCs w:val="20"/>
        </w:rPr>
        <w:t xml:space="preserve"> </w:t>
      </w:r>
      <w:r>
        <w:rPr>
          <w:i/>
          <w:iCs/>
          <w:color w:val="57585A"/>
          <w:spacing w:val="-7"/>
          <w:w w:val="95"/>
          <w:sz w:val="20"/>
          <w:szCs w:val="20"/>
        </w:rPr>
        <w:t>growth from Brazil</w:t>
      </w:r>
      <w:r>
        <w:rPr>
          <w:i/>
          <w:iCs/>
          <w:color w:val="57585A"/>
          <w:spacing w:val="-17"/>
          <w:sz w:val="20"/>
          <w:szCs w:val="20"/>
        </w:rPr>
        <w:t xml:space="preserve"> </w:t>
      </w:r>
      <w:r>
        <w:rPr>
          <w:i/>
          <w:iCs/>
          <w:color w:val="57585A"/>
          <w:spacing w:val="-7"/>
          <w:w w:val="95"/>
          <w:sz w:val="20"/>
          <w:szCs w:val="20"/>
        </w:rPr>
        <w:t>and Guyana. Refining capacity</w:t>
      </w:r>
      <w:r>
        <w:rPr>
          <w:i/>
          <w:iCs/>
          <w:color w:val="57585A"/>
          <w:spacing w:val="-23"/>
          <w:sz w:val="20"/>
          <w:szCs w:val="20"/>
        </w:rPr>
        <w:t xml:space="preserve"> </w:t>
      </w:r>
      <w:r>
        <w:rPr>
          <w:i/>
          <w:iCs/>
          <w:color w:val="57585A"/>
          <w:spacing w:val="-7"/>
          <w:w w:val="95"/>
          <w:sz w:val="20"/>
          <w:szCs w:val="20"/>
        </w:rPr>
        <w:t>is expected to expand, dr</w:t>
      </w:r>
      <w:r>
        <w:rPr>
          <w:i/>
          <w:iCs/>
          <w:color w:val="57585A"/>
          <w:spacing w:val="-8"/>
          <w:w w:val="95"/>
          <w:sz w:val="20"/>
          <w:szCs w:val="20"/>
        </w:rPr>
        <w:t>iven by</w:t>
      </w:r>
      <w:r>
        <w:rPr>
          <w:i/>
          <w:iCs/>
          <w:color w:val="57585A"/>
          <w:spacing w:val="-21"/>
          <w:sz w:val="20"/>
          <w:szCs w:val="20"/>
        </w:rPr>
        <w:t xml:space="preserve"> </w:t>
      </w:r>
      <w:r>
        <w:rPr>
          <w:i/>
          <w:iCs/>
          <w:color w:val="57585A"/>
          <w:spacing w:val="-8"/>
          <w:w w:val="95"/>
          <w:sz w:val="20"/>
          <w:szCs w:val="20"/>
        </w:rPr>
        <w:t>Brazil</w:t>
      </w:r>
      <w:r>
        <w:rPr>
          <w:i/>
          <w:iCs/>
          <w:color w:val="57585A"/>
          <w:spacing w:val="-17"/>
          <w:sz w:val="20"/>
          <w:szCs w:val="20"/>
        </w:rPr>
        <w:t xml:space="preserve"> </w:t>
      </w:r>
      <w:r>
        <w:rPr>
          <w:i/>
          <w:iCs/>
          <w:color w:val="57585A"/>
          <w:spacing w:val="-8"/>
          <w:w w:val="95"/>
          <w:sz w:val="20"/>
          <w:szCs w:val="20"/>
        </w:rPr>
        <w:t>and</w:t>
      </w:r>
    </w:p>
    <w:p w14:paraId="3F89FB62">
      <w:pPr>
        <w:pStyle w:val="4"/>
        <w:spacing w:before="35" w:line="283" w:lineRule="auto"/>
        <w:ind w:left="361" w:right="548" w:firstLine="14"/>
        <w:rPr>
          <w:sz w:val="20"/>
          <w:szCs w:val="20"/>
        </w:rPr>
      </w:pPr>
      <w:r>
        <w:rPr>
          <w:i/>
          <w:iCs/>
          <w:color w:val="57585A"/>
          <w:spacing w:val="-6"/>
          <w:w w:val="95"/>
          <w:sz w:val="20"/>
          <w:szCs w:val="20"/>
        </w:rPr>
        <w:t>Mexico, with significant</w:t>
      </w:r>
      <w:r>
        <w:rPr>
          <w:i/>
          <w:iCs/>
          <w:color w:val="57585A"/>
          <w:spacing w:val="-19"/>
          <w:sz w:val="20"/>
          <w:szCs w:val="20"/>
        </w:rPr>
        <w:t xml:space="preserve"> </w:t>
      </w:r>
      <w:r>
        <w:rPr>
          <w:i/>
          <w:iCs/>
          <w:color w:val="57585A"/>
          <w:spacing w:val="-6"/>
          <w:w w:val="95"/>
          <w:sz w:val="20"/>
          <w:szCs w:val="20"/>
        </w:rPr>
        <w:t>investments in infrastructure. Natural</w:t>
      </w:r>
      <w:r>
        <w:rPr>
          <w:i/>
          <w:iCs/>
          <w:color w:val="57585A"/>
          <w:spacing w:val="-25"/>
          <w:sz w:val="20"/>
          <w:szCs w:val="20"/>
        </w:rPr>
        <w:t xml:space="preserve"> </w:t>
      </w:r>
      <w:r>
        <w:rPr>
          <w:i/>
          <w:iCs/>
          <w:color w:val="57585A"/>
          <w:spacing w:val="-6"/>
          <w:w w:val="95"/>
          <w:sz w:val="20"/>
          <w:szCs w:val="20"/>
        </w:rPr>
        <w:t>gas</w:t>
      </w:r>
      <w:r>
        <w:rPr>
          <w:i/>
          <w:iCs/>
          <w:color w:val="57585A"/>
          <w:spacing w:val="-21"/>
          <w:sz w:val="20"/>
          <w:szCs w:val="20"/>
        </w:rPr>
        <w:t xml:space="preserve"> </w:t>
      </w:r>
      <w:r>
        <w:rPr>
          <w:i/>
          <w:iCs/>
          <w:color w:val="57585A"/>
          <w:spacing w:val="-6"/>
          <w:w w:val="95"/>
          <w:sz w:val="20"/>
          <w:szCs w:val="20"/>
        </w:rPr>
        <w:t>production is</w:t>
      </w:r>
      <w:r>
        <w:rPr>
          <w:i/>
          <w:iCs/>
          <w:color w:val="57585A"/>
          <w:spacing w:val="-15"/>
          <w:sz w:val="20"/>
          <w:szCs w:val="20"/>
        </w:rPr>
        <w:t xml:space="preserve"> </w:t>
      </w:r>
      <w:r>
        <w:rPr>
          <w:i/>
          <w:iCs/>
          <w:color w:val="57585A"/>
          <w:spacing w:val="-6"/>
          <w:w w:val="95"/>
          <w:sz w:val="20"/>
          <w:szCs w:val="20"/>
        </w:rPr>
        <w:t>set to experience a strong</w:t>
      </w:r>
      <w:r>
        <w:rPr>
          <w:i/>
          <w:iCs/>
          <w:color w:val="57585A"/>
          <w:spacing w:val="-16"/>
          <w:sz w:val="20"/>
          <w:szCs w:val="20"/>
        </w:rPr>
        <w:t xml:space="preserve"> </w:t>
      </w:r>
      <w:r>
        <w:rPr>
          <w:i/>
          <w:iCs/>
          <w:color w:val="57585A"/>
          <w:spacing w:val="-6"/>
          <w:w w:val="95"/>
          <w:sz w:val="20"/>
          <w:szCs w:val="20"/>
        </w:rPr>
        <w:t>recov</w:t>
      </w:r>
      <w:r>
        <w:rPr>
          <w:i/>
          <w:iCs/>
          <w:color w:val="57585A"/>
          <w:spacing w:val="-7"/>
          <w:w w:val="95"/>
          <w:sz w:val="20"/>
          <w:szCs w:val="20"/>
        </w:rPr>
        <w:t>ery</w:t>
      </w:r>
      <w:r>
        <w:rPr>
          <w:i/>
          <w:iCs/>
          <w:color w:val="57585A"/>
          <w:spacing w:val="-23"/>
          <w:sz w:val="20"/>
          <w:szCs w:val="20"/>
        </w:rPr>
        <w:t xml:space="preserve"> </w:t>
      </w:r>
      <w:r>
        <w:rPr>
          <w:i/>
          <w:iCs/>
          <w:color w:val="57585A"/>
          <w:spacing w:val="-7"/>
          <w:w w:val="95"/>
          <w:sz w:val="20"/>
          <w:szCs w:val="20"/>
        </w:rPr>
        <w:t>in 2025, led</w:t>
      </w:r>
      <w:r>
        <w:rPr>
          <w:i/>
          <w:iCs/>
          <w:color w:val="57585A"/>
          <w:spacing w:val="-17"/>
          <w:sz w:val="20"/>
          <w:szCs w:val="20"/>
        </w:rPr>
        <w:t xml:space="preserve"> </w:t>
      </w:r>
      <w:r>
        <w:rPr>
          <w:i/>
          <w:iCs/>
          <w:color w:val="57585A"/>
          <w:spacing w:val="-7"/>
          <w:w w:val="95"/>
          <w:sz w:val="20"/>
          <w:szCs w:val="20"/>
        </w:rPr>
        <w:t>by</w:t>
      </w:r>
      <w:r>
        <w:rPr>
          <w:i/>
          <w:iCs/>
          <w:color w:val="57585A"/>
          <w:sz w:val="20"/>
          <w:szCs w:val="20"/>
        </w:rPr>
        <w:t xml:space="preserve"> </w:t>
      </w:r>
      <w:r>
        <w:rPr>
          <w:i/>
          <w:iCs/>
          <w:color w:val="57585A"/>
          <w:spacing w:val="-8"/>
          <w:w w:val="96"/>
          <w:sz w:val="20"/>
          <w:szCs w:val="20"/>
        </w:rPr>
        <w:t>Argentina and Brazil, with a 4.1%</w:t>
      </w:r>
      <w:r>
        <w:rPr>
          <w:i/>
          <w:iCs/>
          <w:color w:val="57585A"/>
          <w:spacing w:val="-22"/>
          <w:sz w:val="20"/>
          <w:szCs w:val="20"/>
        </w:rPr>
        <w:t xml:space="preserve"> </w:t>
      </w:r>
      <w:r>
        <w:rPr>
          <w:i/>
          <w:iCs/>
          <w:color w:val="57585A"/>
          <w:spacing w:val="-8"/>
          <w:w w:val="96"/>
          <w:sz w:val="20"/>
          <w:szCs w:val="20"/>
        </w:rPr>
        <w:t>increase, following</w:t>
      </w:r>
      <w:r>
        <w:rPr>
          <w:i/>
          <w:iCs/>
          <w:color w:val="57585A"/>
          <w:spacing w:val="-17"/>
          <w:sz w:val="20"/>
          <w:szCs w:val="20"/>
        </w:rPr>
        <w:t xml:space="preserve"> </w:t>
      </w:r>
      <w:r>
        <w:rPr>
          <w:i/>
          <w:iCs/>
          <w:color w:val="57585A"/>
          <w:spacing w:val="-8"/>
          <w:w w:val="96"/>
          <w:sz w:val="20"/>
          <w:szCs w:val="20"/>
        </w:rPr>
        <w:t>a decline in 2024.</w:t>
      </w:r>
      <w:r>
        <w:rPr>
          <w:i/>
          <w:iCs/>
          <w:color w:val="57585A"/>
          <w:spacing w:val="6"/>
          <w:sz w:val="20"/>
          <w:szCs w:val="20"/>
        </w:rPr>
        <w:t xml:space="preserve"> </w:t>
      </w:r>
      <w:r>
        <w:rPr>
          <w:i/>
          <w:iCs/>
          <w:color w:val="57585A"/>
          <w:spacing w:val="-8"/>
          <w:w w:val="96"/>
          <w:sz w:val="20"/>
          <w:szCs w:val="20"/>
        </w:rPr>
        <w:t>Gas c</w:t>
      </w:r>
      <w:r>
        <w:rPr>
          <w:i/>
          <w:iCs/>
          <w:color w:val="57585A"/>
          <w:spacing w:val="-9"/>
          <w:w w:val="96"/>
          <w:sz w:val="20"/>
          <w:szCs w:val="20"/>
        </w:rPr>
        <w:t>onsumption is</w:t>
      </w:r>
      <w:r>
        <w:rPr>
          <w:i/>
          <w:iCs/>
          <w:color w:val="57585A"/>
          <w:spacing w:val="-21"/>
          <w:sz w:val="20"/>
          <w:szCs w:val="20"/>
        </w:rPr>
        <w:t xml:space="preserve"> </w:t>
      </w:r>
      <w:r>
        <w:rPr>
          <w:i/>
          <w:iCs/>
          <w:color w:val="57585A"/>
          <w:spacing w:val="-9"/>
          <w:w w:val="96"/>
          <w:sz w:val="20"/>
          <w:szCs w:val="20"/>
        </w:rPr>
        <w:t>projected to grow</w:t>
      </w:r>
      <w:r>
        <w:rPr>
          <w:i/>
          <w:iCs/>
          <w:color w:val="57585A"/>
          <w:spacing w:val="-25"/>
          <w:sz w:val="20"/>
          <w:szCs w:val="20"/>
        </w:rPr>
        <w:t xml:space="preserve"> </w:t>
      </w:r>
      <w:r>
        <w:rPr>
          <w:i/>
          <w:iCs/>
          <w:color w:val="57585A"/>
          <w:spacing w:val="-9"/>
          <w:w w:val="96"/>
          <w:sz w:val="20"/>
          <w:szCs w:val="20"/>
        </w:rPr>
        <w:t>steadily, with</w:t>
      </w:r>
      <w:r>
        <w:rPr>
          <w:i/>
          <w:iCs/>
          <w:color w:val="57585A"/>
          <w:spacing w:val="-1"/>
          <w:sz w:val="20"/>
          <w:szCs w:val="20"/>
        </w:rPr>
        <w:t xml:space="preserve"> </w:t>
      </w:r>
      <w:r>
        <w:rPr>
          <w:i/>
          <w:iCs/>
          <w:color w:val="57585A"/>
          <w:spacing w:val="-9"/>
          <w:w w:val="96"/>
          <w:sz w:val="20"/>
          <w:szCs w:val="20"/>
        </w:rPr>
        <w:t>Mexico</w:t>
      </w:r>
      <w:r>
        <w:rPr>
          <w:i/>
          <w:iCs/>
          <w:color w:val="57585A"/>
          <w:sz w:val="20"/>
          <w:szCs w:val="20"/>
        </w:rPr>
        <w:t xml:space="preserve"> </w:t>
      </w:r>
      <w:r>
        <w:rPr>
          <w:i/>
          <w:iCs/>
          <w:color w:val="57585A"/>
          <w:spacing w:val="-10"/>
          <w:sz w:val="20"/>
          <w:szCs w:val="20"/>
        </w:rPr>
        <w:t>leading the increase due to</w:t>
      </w:r>
      <w:r>
        <w:rPr>
          <w:i/>
          <w:iCs/>
          <w:color w:val="57585A"/>
          <w:spacing w:val="-11"/>
          <w:sz w:val="20"/>
          <w:szCs w:val="20"/>
        </w:rPr>
        <w:t xml:space="preserve"> the expansion of</w:t>
      </w:r>
      <w:r>
        <w:rPr>
          <w:i/>
          <w:iCs/>
          <w:color w:val="57585A"/>
          <w:spacing w:val="-40"/>
          <w:sz w:val="20"/>
          <w:szCs w:val="20"/>
        </w:rPr>
        <w:t xml:space="preserve"> </w:t>
      </w:r>
      <w:r>
        <w:rPr>
          <w:i/>
          <w:iCs/>
          <w:color w:val="57585A"/>
          <w:spacing w:val="-11"/>
          <w:sz w:val="20"/>
          <w:szCs w:val="20"/>
        </w:rPr>
        <w:t>natural</w:t>
      </w:r>
      <w:r>
        <w:rPr>
          <w:i/>
          <w:iCs/>
          <w:color w:val="57585A"/>
          <w:spacing w:val="-25"/>
          <w:sz w:val="20"/>
          <w:szCs w:val="20"/>
        </w:rPr>
        <w:t xml:space="preserve"> </w:t>
      </w:r>
      <w:r>
        <w:rPr>
          <w:i/>
          <w:iCs/>
          <w:color w:val="57585A"/>
          <w:spacing w:val="-11"/>
          <w:sz w:val="20"/>
          <w:szCs w:val="20"/>
        </w:rPr>
        <w:t>gas</w:t>
      </w:r>
      <w:r>
        <w:rPr>
          <w:i/>
          <w:iCs/>
          <w:color w:val="57585A"/>
          <w:spacing w:val="-20"/>
          <w:sz w:val="20"/>
          <w:szCs w:val="20"/>
        </w:rPr>
        <w:t xml:space="preserve"> </w:t>
      </w:r>
      <w:r>
        <w:rPr>
          <w:i/>
          <w:iCs/>
          <w:color w:val="57585A"/>
          <w:spacing w:val="-11"/>
          <w:sz w:val="20"/>
          <w:szCs w:val="20"/>
        </w:rPr>
        <w:t>power</w:t>
      </w:r>
      <w:r>
        <w:rPr>
          <w:i/>
          <w:iCs/>
          <w:color w:val="57585A"/>
          <w:spacing w:val="-32"/>
          <w:sz w:val="20"/>
          <w:szCs w:val="20"/>
        </w:rPr>
        <w:t xml:space="preserve"> </w:t>
      </w:r>
      <w:r>
        <w:rPr>
          <w:i/>
          <w:iCs/>
          <w:color w:val="57585A"/>
          <w:spacing w:val="-11"/>
          <w:sz w:val="20"/>
          <w:szCs w:val="20"/>
        </w:rPr>
        <w:t>generation. Fuel consumption is expected to recover</w:t>
      </w:r>
      <w:r>
        <w:rPr>
          <w:i/>
          <w:iCs/>
          <w:color w:val="57585A"/>
          <w:spacing w:val="-15"/>
          <w:sz w:val="20"/>
          <w:szCs w:val="20"/>
        </w:rPr>
        <w:t xml:space="preserve"> </w:t>
      </w:r>
      <w:r>
        <w:rPr>
          <w:i/>
          <w:iCs/>
          <w:color w:val="57585A"/>
          <w:spacing w:val="-11"/>
          <w:sz w:val="20"/>
          <w:szCs w:val="20"/>
        </w:rPr>
        <w:t>to pre-Covid</w:t>
      </w:r>
      <w:r>
        <w:rPr>
          <w:i/>
          <w:iCs/>
          <w:color w:val="57585A"/>
          <w:sz w:val="20"/>
          <w:szCs w:val="20"/>
        </w:rPr>
        <w:t xml:space="preserve"> </w:t>
      </w:r>
      <w:r>
        <w:rPr>
          <w:i/>
          <w:iCs/>
          <w:color w:val="57585A"/>
          <w:spacing w:val="-8"/>
          <w:w w:val="97"/>
          <w:sz w:val="20"/>
          <w:szCs w:val="20"/>
        </w:rPr>
        <w:t>levels by</w:t>
      </w:r>
      <w:r>
        <w:rPr>
          <w:i/>
          <w:iCs/>
          <w:color w:val="57585A"/>
          <w:spacing w:val="-23"/>
          <w:sz w:val="20"/>
          <w:szCs w:val="20"/>
        </w:rPr>
        <w:t xml:space="preserve"> </w:t>
      </w:r>
      <w:r>
        <w:rPr>
          <w:i/>
          <w:iCs/>
          <w:color w:val="57585A"/>
          <w:spacing w:val="-8"/>
          <w:w w:val="97"/>
          <w:sz w:val="20"/>
          <w:szCs w:val="20"/>
        </w:rPr>
        <w:t>2025, driven by</w:t>
      </w:r>
      <w:r>
        <w:rPr>
          <w:i/>
          <w:iCs/>
          <w:color w:val="57585A"/>
          <w:spacing w:val="-19"/>
          <w:sz w:val="20"/>
          <w:szCs w:val="20"/>
        </w:rPr>
        <w:t xml:space="preserve"> </w:t>
      </w:r>
      <w:r>
        <w:rPr>
          <w:i/>
          <w:iCs/>
          <w:color w:val="57585A"/>
          <w:spacing w:val="-9"/>
          <w:w w:val="97"/>
          <w:sz w:val="20"/>
          <w:szCs w:val="20"/>
        </w:rPr>
        <w:t>economic</w:t>
      </w:r>
      <w:r>
        <w:rPr>
          <w:i/>
          <w:iCs/>
          <w:color w:val="57585A"/>
          <w:spacing w:val="-21"/>
          <w:sz w:val="20"/>
          <w:szCs w:val="20"/>
        </w:rPr>
        <w:t xml:space="preserve"> </w:t>
      </w:r>
      <w:r>
        <w:rPr>
          <w:i/>
          <w:iCs/>
          <w:color w:val="57585A"/>
          <w:spacing w:val="-9"/>
          <w:w w:val="97"/>
          <w:sz w:val="20"/>
          <w:szCs w:val="20"/>
        </w:rPr>
        <w:t>growth in the region, with increases anticipated</w:t>
      </w:r>
      <w:r>
        <w:rPr>
          <w:i/>
          <w:iCs/>
          <w:color w:val="57585A"/>
          <w:spacing w:val="-17"/>
          <w:sz w:val="20"/>
          <w:szCs w:val="20"/>
        </w:rPr>
        <w:t xml:space="preserve"> </w:t>
      </w:r>
      <w:r>
        <w:rPr>
          <w:i/>
          <w:iCs/>
          <w:color w:val="57585A"/>
          <w:spacing w:val="-9"/>
          <w:w w:val="97"/>
          <w:sz w:val="20"/>
          <w:szCs w:val="20"/>
        </w:rPr>
        <w:t>in Colombia and Ecuador.</w:t>
      </w:r>
      <w:r>
        <w:rPr>
          <w:i/>
          <w:iCs/>
          <w:color w:val="57585A"/>
          <w:spacing w:val="7"/>
          <w:sz w:val="20"/>
          <w:szCs w:val="20"/>
        </w:rPr>
        <w:t xml:space="preserve"> </w:t>
      </w:r>
      <w:r>
        <w:rPr>
          <w:i/>
          <w:iCs/>
          <w:color w:val="57585A"/>
          <w:spacing w:val="-9"/>
          <w:w w:val="97"/>
          <w:sz w:val="20"/>
          <w:szCs w:val="20"/>
        </w:rPr>
        <w:t>Overall,</w:t>
      </w:r>
      <w:r>
        <w:rPr>
          <w:i/>
          <w:iCs/>
          <w:color w:val="57585A"/>
          <w:spacing w:val="3"/>
          <w:sz w:val="20"/>
          <w:szCs w:val="20"/>
        </w:rPr>
        <w:t xml:space="preserve"> </w:t>
      </w:r>
      <w:r>
        <w:rPr>
          <w:i/>
          <w:iCs/>
          <w:color w:val="57585A"/>
          <w:spacing w:val="-9"/>
          <w:w w:val="97"/>
          <w:sz w:val="20"/>
          <w:szCs w:val="20"/>
        </w:rPr>
        <w:t>while the</w:t>
      </w:r>
    </w:p>
    <w:p w14:paraId="662BB8F2">
      <w:pPr>
        <w:pStyle w:val="4"/>
        <w:spacing w:before="36" w:line="294" w:lineRule="auto"/>
        <w:ind w:left="376" w:right="1183" w:hanging="3"/>
        <w:rPr>
          <w:sz w:val="20"/>
          <w:szCs w:val="20"/>
        </w:rPr>
      </w:pPr>
      <w:r>
        <w:rPr>
          <w:i/>
          <w:iCs/>
          <w:color w:val="57585A"/>
          <w:spacing w:val="-7"/>
          <w:w w:val="96"/>
          <w:sz w:val="20"/>
          <w:szCs w:val="20"/>
        </w:rPr>
        <w:t>region faces challenges, the outlook for</w:t>
      </w:r>
      <w:r>
        <w:rPr>
          <w:i/>
          <w:iCs/>
          <w:color w:val="57585A"/>
          <w:spacing w:val="-18"/>
          <w:sz w:val="20"/>
          <w:szCs w:val="20"/>
        </w:rPr>
        <w:t xml:space="preserve"> </w:t>
      </w:r>
      <w:r>
        <w:rPr>
          <w:i/>
          <w:iCs/>
          <w:color w:val="57585A"/>
          <w:spacing w:val="-7"/>
          <w:w w:val="96"/>
          <w:sz w:val="20"/>
          <w:szCs w:val="20"/>
        </w:rPr>
        <w:t>oil, gas, and fuel</w:t>
      </w:r>
      <w:r>
        <w:rPr>
          <w:i/>
          <w:iCs/>
          <w:color w:val="57585A"/>
          <w:spacing w:val="-19"/>
          <w:sz w:val="20"/>
          <w:szCs w:val="20"/>
        </w:rPr>
        <w:t xml:space="preserve"> </w:t>
      </w:r>
      <w:r>
        <w:rPr>
          <w:i/>
          <w:iCs/>
          <w:color w:val="57585A"/>
          <w:spacing w:val="-7"/>
          <w:w w:val="96"/>
          <w:sz w:val="20"/>
          <w:szCs w:val="20"/>
        </w:rPr>
        <w:t>sectors is</w:t>
      </w:r>
      <w:r>
        <w:rPr>
          <w:i/>
          <w:iCs/>
          <w:color w:val="57585A"/>
          <w:spacing w:val="-21"/>
          <w:sz w:val="20"/>
          <w:szCs w:val="20"/>
        </w:rPr>
        <w:t xml:space="preserve"> </w:t>
      </w:r>
      <w:r>
        <w:rPr>
          <w:i/>
          <w:iCs/>
          <w:color w:val="57585A"/>
          <w:spacing w:val="-7"/>
          <w:w w:val="96"/>
          <w:sz w:val="20"/>
          <w:szCs w:val="20"/>
        </w:rPr>
        <w:t>positive, supporte</w:t>
      </w:r>
      <w:r>
        <w:rPr>
          <w:i/>
          <w:iCs/>
          <w:color w:val="57585A"/>
          <w:spacing w:val="-8"/>
          <w:w w:val="96"/>
          <w:sz w:val="20"/>
          <w:szCs w:val="20"/>
        </w:rPr>
        <w:t>d</w:t>
      </w:r>
      <w:r>
        <w:rPr>
          <w:i/>
          <w:iCs/>
          <w:color w:val="57585A"/>
          <w:spacing w:val="-17"/>
          <w:sz w:val="20"/>
          <w:szCs w:val="20"/>
        </w:rPr>
        <w:t xml:space="preserve"> </w:t>
      </w:r>
      <w:r>
        <w:rPr>
          <w:i/>
          <w:iCs/>
          <w:color w:val="57585A"/>
          <w:spacing w:val="-8"/>
          <w:w w:val="96"/>
          <w:sz w:val="20"/>
          <w:szCs w:val="20"/>
        </w:rPr>
        <w:t>by</w:t>
      </w:r>
      <w:r>
        <w:rPr>
          <w:i/>
          <w:iCs/>
          <w:color w:val="57585A"/>
          <w:spacing w:val="-25"/>
          <w:sz w:val="20"/>
          <w:szCs w:val="20"/>
        </w:rPr>
        <w:t xml:space="preserve"> </w:t>
      </w:r>
      <w:r>
        <w:rPr>
          <w:i/>
          <w:iCs/>
          <w:color w:val="57585A"/>
          <w:spacing w:val="-8"/>
          <w:w w:val="96"/>
          <w:sz w:val="20"/>
          <w:szCs w:val="20"/>
        </w:rPr>
        <w:t>strategic investments and</w:t>
      </w:r>
      <w:r>
        <w:rPr>
          <w:i/>
          <w:iCs/>
          <w:color w:val="57585A"/>
          <w:spacing w:val="-26"/>
          <w:sz w:val="20"/>
          <w:szCs w:val="20"/>
        </w:rPr>
        <w:t xml:space="preserve"> </w:t>
      </w:r>
      <w:r>
        <w:rPr>
          <w:i/>
          <w:iCs/>
          <w:color w:val="57585A"/>
          <w:spacing w:val="-8"/>
          <w:w w:val="96"/>
          <w:sz w:val="20"/>
          <w:szCs w:val="20"/>
        </w:rPr>
        <w:t>policy</w:t>
      </w:r>
      <w:r>
        <w:rPr>
          <w:i/>
          <w:iCs/>
          <w:color w:val="57585A"/>
          <w:sz w:val="20"/>
          <w:szCs w:val="20"/>
        </w:rPr>
        <w:t xml:space="preserve"> </w:t>
      </w:r>
      <w:r>
        <w:rPr>
          <w:i/>
          <w:iCs/>
          <w:color w:val="57585A"/>
          <w:spacing w:val="-3"/>
          <w:w w:val="91"/>
          <w:sz w:val="20"/>
          <w:szCs w:val="20"/>
        </w:rPr>
        <w:t>frameworks.</w:t>
      </w:r>
    </w:p>
    <w:p w14:paraId="71996660">
      <w:pPr>
        <w:pStyle w:val="4"/>
        <w:spacing w:before="285" w:line="294" w:lineRule="auto"/>
        <w:ind w:left="370" w:right="1050" w:hanging="10"/>
        <w:rPr>
          <w:sz w:val="20"/>
          <w:szCs w:val="20"/>
        </w:rPr>
      </w:pPr>
      <w:r>
        <w:rPr>
          <w:color w:val="57585A"/>
          <w:spacing w:val="-12"/>
          <w:sz w:val="20"/>
          <w:szCs w:val="20"/>
        </w:rPr>
        <w:t>To highlight the key the</w:t>
      </w:r>
      <w:r>
        <w:rPr>
          <w:color w:val="57585A"/>
          <w:spacing w:val="-13"/>
          <w:sz w:val="20"/>
          <w:szCs w:val="20"/>
        </w:rPr>
        <w:t>mes across our Latin America Oil &amp; Gas forecasts, we have assessed markets based on the following</w:t>
      </w:r>
      <w:r>
        <w:rPr>
          <w:color w:val="57585A"/>
          <w:sz w:val="20"/>
          <w:szCs w:val="20"/>
        </w:rPr>
        <w:t xml:space="preserve"> </w:t>
      </w:r>
      <w:r>
        <w:rPr>
          <w:color w:val="57585A"/>
          <w:spacing w:val="-11"/>
          <w:sz w:val="20"/>
          <w:szCs w:val="20"/>
        </w:rPr>
        <w:t>indicators:</w:t>
      </w:r>
    </w:p>
    <w:p w14:paraId="3492ECB6">
      <w:pPr>
        <w:pStyle w:val="4"/>
        <w:spacing w:before="285" w:line="236" w:lineRule="auto"/>
        <w:ind w:left="357"/>
        <w:rPr>
          <w:sz w:val="20"/>
          <w:szCs w:val="20"/>
        </w:rPr>
      </w:pPr>
      <w:r>
        <w:rPr>
          <w:color w:val="33CCFF"/>
          <w:spacing w:val="-8"/>
          <w:sz w:val="20"/>
          <w:szCs w:val="20"/>
        </w:rPr>
        <w:t>•</w:t>
      </w:r>
      <w:r>
        <w:rPr>
          <w:color w:val="33CCFF"/>
          <w:spacing w:val="4"/>
          <w:sz w:val="20"/>
          <w:szCs w:val="20"/>
        </w:rPr>
        <w:t xml:space="preserve">   </w:t>
      </w:r>
      <w:r>
        <w:rPr>
          <w:color w:val="57585A"/>
          <w:spacing w:val="-8"/>
          <w:sz w:val="20"/>
          <w:szCs w:val="20"/>
        </w:rPr>
        <w:t>Oil production</w:t>
      </w:r>
    </w:p>
    <w:p w14:paraId="11E826EB">
      <w:pPr>
        <w:pStyle w:val="4"/>
        <w:spacing w:before="54" w:line="236" w:lineRule="auto"/>
        <w:ind w:left="357"/>
        <w:rPr>
          <w:sz w:val="20"/>
          <w:szCs w:val="20"/>
        </w:rPr>
      </w:pPr>
      <w:r>
        <w:rPr>
          <w:color w:val="33CCFF"/>
          <w:spacing w:val="-8"/>
          <w:sz w:val="20"/>
          <w:szCs w:val="20"/>
        </w:rPr>
        <w:t>•</w:t>
      </w:r>
      <w:r>
        <w:rPr>
          <w:color w:val="33CCFF"/>
          <w:spacing w:val="1"/>
          <w:sz w:val="20"/>
          <w:szCs w:val="20"/>
        </w:rPr>
        <w:t xml:space="preserve">   </w:t>
      </w:r>
      <w:r>
        <w:rPr>
          <w:color w:val="57585A"/>
          <w:spacing w:val="-8"/>
          <w:sz w:val="20"/>
          <w:szCs w:val="20"/>
        </w:rPr>
        <w:t>Oil consumption</w:t>
      </w:r>
    </w:p>
    <w:p w14:paraId="7B9B6F47">
      <w:pPr>
        <w:pStyle w:val="4"/>
        <w:spacing w:before="53" w:line="234" w:lineRule="auto"/>
        <w:ind w:left="357"/>
        <w:rPr>
          <w:sz w:val="20"/>
          <w:szCs w:val="20"/>
        </w:rPr>
      </w:pPr>
      <w:r>
        <w:rPr>
          <w:color w:val="33CCFF"/>
          <w:spacing w:val="-11"/>
          <w:sz w:val="20"/>
          <w:szCs w:val="20"/>
        </w:rPr>
        <w:t>•</w:t>
      </w:r>
      <w:r>
        <w:rPr>
          <w:color w:val="33CCFF"/>
          <w:spacing w:val="8"/>
          <w:sz w:val="20"/>
          <w:szCs w:val="20"/>
        </w:rPr>
        <w:t xml:space="preserve">   </w:t>
      </w:r>
      <w:r>
        <w:rPr>
          <w:color w:val="57585A"/>
          <w:spacing w:val="-11"/>
          <w:sz w:val="20"/>
          <w:szCs w:val="20"/>
        </w:rPr>
        <w:t>Refining capacity</w:t>
      </w:r>
    </w:p>
    <w:p w14:paraId="3852B759">
      <w:pPr>
        <w:pStyle w:val="4"/>
        <w:spacing w:before="56" w:line="236" w:lineRule="auto"/>
        <w:ind w:left="357"/>
        <w:rPr>
          <w:sz w:val="20"/>
          <w:szCs w:val="20"/>
        </w:rPr>
      </w:pPr>
      <w:r>
        <w:rPr>
          <w:color w:val="33CCFF"/>
          <w:spacing w:val="-11"/>
          <w:sz w:val="20"/>
          <w:szCs w:val="20"/>
        </w:rPr>
        <w:t>•</w:t>
      </w:r>
      <w:r>
        <w:rPr>
          <w:color w:val="33CCFF"/>
          <w:spacing w:val="5"/>
          <w:sz w:val="20"/>
          <w:szCs w:val="20"/>
        </w:rPr>
        <w:t xml:space="preserve">   </w:t>
      </w:r>
      <w:r>
        <w:rPr>
          <w:color w:val="57585A"/>
          <w:spacing w:val="-11"/>
          <w:sz w:val="20"/>
          <w:szCs w:val="20"/>
        </w:rPr>
        <w:t>Gas production</w:t>
      </w:r>
    </w:p>
    <w:p w14:paraId="67B8878E">
      <w:pPr>
        <w:pStyle w:val="4"/>
        <w:spacing w:before="54" w:line="236" w:lineRule="auto"/>
        <w:ind w:left="357"/>
        <w:rPr>
          <w:sz w:val="20"/>
          <w:szCs w:val="20"/>
        </w:rPr>
      </w:pPr>
      <w:r>
        <w:rPr>
          <w:color w:val="33CCFF"/>
          <w:spacing w:val="-11"/>
          <w:sz w:val="20"/>
          <w:szCs w:val="20"/>
        </w:rPr>
        <w:t>•</w:t>
      </w:r>
      <w:r>
        <w:rPr>
          <w:color w:val="33CCFF"/>
          <w:spacing w:val="2"/>
          <w:sz w:val="20"/>
          <w:szCs w:val="20"/>
        </w:rPr>
        <w:t xml:space="preserve">   </w:t>
      </w:r>
      <w:r>
        <w:rPr>
          <w:color w:val="57585A"/>
          <w:spacing w:val="-11"/>
          <w:sz w:val="20"/>
          <w:szCs w:val="20"/>
        </w:rPr>
        <w:t>Gas consumption</w:t>
      </w:r>
    </w:p>
    <w:p w14:paraId="43C778FD">
      <w:pPr>
        <w:pStyle w:val="4"/>
        <w:spacing w:line="282" w:lineRule="auto"/>
      </w:pPr>
    </w:p>
    <w:p w14:paraId="23744FE3">
      <w:pPr>
        <w:pStyle w:val="4"/>
        <w:spacing w:before="59" w:line="273" w:lineRule="auto"/>
        <w:ind w:left="369" w:right="699"/>
        <w:rPr>
          <w:sz w:val="20"/>
          <w:szCs w:val="20"/>
        </w:rPr>
      </w:pPr>
      <w:r>
        <w:rPr>
          <w:color w:val="57585A"/>
          <w:spacing w:val="-14"/>
          <w:sz w:val="20"/>
          <w:szCs w:val="20"/>
        </w:rPr>
        <w:t>Our Latin America coverage inc</w:t>
      </w:r>
      <w:r>
        <w:rPr>
          <w:color w:val="57585A"/>
          <w:spacing w:val="-15"/>
          <w:sz w:val="20"/>
          <w:szCs w:val="20"/>
        </w:rPr>
        <w:t>ludes Argentina, Bolivia, Brazil, Chile, Colombia, Ecuador, Guyana,</w:t>
      </w:r>
      <w:r>
        <w:rPr>
          <w:color w:val="57585A"/>
          <w:sz w:val="20"/>
          <w:szCs w:val="20"/>
        </w:rPr>
        <w:t xml:space="preserve"> </w:t>
      </w:r>
      <w:r>
        <w:rPr>
          <w:color w:val="57585A"/>
          <w:spacing w:val="-15"/>
          <w:sz w:val="20"/>
          <w:szCs w:val="20"/>
        </w:rPr>
        <w:t>Mexico,</w:t>
      </w:r>
      <w:r>
        <w:rPr>
          <w:color w:val="57585A"/>
          <w:spacing w:val="1"/>
          <w:sz w:val="20"/>
          <w:szCs w:val="20"/>
        </w:rPr>
        <w:t xml:space="preserve"> </w:t>
      </w:r>
      <w:r>
        <w:rPr>
          <w:color w:val="57585A"/>
          <w:spacing w:val="-15"/>
          <w:sz w:val="20"/>
          <w:szCs w:val="20"/>
        </w:rPr>
        <w:t>Peru, Trinidad &amp; Tobago</w:t>
      </w:r>
      <w:r>
        <w:rPr>
          <w:color w:val="57585A"/>
          <w:sz w:val="20"/>
          <w:szCs w:val="20"/>
        </w:rPr>
        <w:t xml:space="preserve"> </w:t>
      </w:r>
      <w:r>
        <w:rPr>
          <w:color w:val="57585A"/>
          <w:spacing w:val="-17"/>
          <w:sz w:val="20"/>
          <w:szCs w:val="20"/>
        </w:rPr>
        <w:t>(T&amp;T) and</w:t>
      </w:r>
      <w:r>
        <w:rPr>
          <w:color w:val="57585A"/>
          <w:spacing w:val="-5"/>
          <w:sz w:val="20"/>
          <w:szCs w:val="20"/>
        </w:rPr>
        <w:t xml:space="preserve"> </w:t>
      </w:r>
      <w:r>
        <w:rPr>
          <w:color w:val="57585A"/>
          <w:spacing w:val="-17"/>
          <w:sz w:val="20"/>
          <w:szCs w:val="20"/>
        </w:rPr>
        <w:t>Venezuela.</w:t>
      </w:r>
    </w:p>
    <w:p w14:paraId="3B5D9B91">
      <w:pPr>
        <w:pStyle w:val="4"/>
        <w:spacing w:line="262" w:lineRule="auto"/>
      </w:pPr>
    </w:p>
    <w:p w14:paraId="0F92DB8C">
      <w:pPr>
        <w:pStyle w:val="4"/>
        <w:spacing w:before="57" w:line="241" w:lineRule="auto"/>
        <w:ind w:left="368"/>
        <w:rPr>
          <w:sz w:val="20"/>
          <w:szCs w:val="20"/>
        </w:rPr>
      </w:pPr>
      <w:r>
        <w:rPr>
          <w:b/>
          <w:bCs/>
          <w:color w:val="57585A"/>
          <w:spacing w:val="-8"/>
          <w:sz w:val="20"/>
          <w:szCs w:val="20"/>
        </w:rPr>
        <w:t>Oil Production: LatinAm</w:t>
      </w:r>
      <w:r>
        <w:rPr>
          <w:b/>
          <w:bCs/>
          <w:color w:val="57585A"/>
          <w:spacing w:val="-9"/>
          <w:sz w:val="20"/>
          <w:szCs w:val="20"/>
        </w:rPr>
        <w:t>erica's Oil Production Growth</w:t>
      </w:r>
      <w:r>
        <w:rPr>
          <w:b/>
          <w:bCs/>
          <w:color w:val="57585A"/>
          <w:spacing w:val="-15"/>
          <w:sz w:val="20"/>
          <w:szCs w:val="20"/>
        </w:rPr>
        <w:t xml:space="preserve"> </w:t>
      </w:r>
      <w:r>
        <w:rPr>
          <w:b/>
          <w:bCs/>
          <w:color w:val="57585A"/>
          <w:spacing w:val="-9"/>
          <w:sz w:val="20"/>
          <w:szCs w:val="20"/>
        </w:rPr>
        <w:t>To Slow In 2025, But Long-Term Prospects Remain Positive</w:t>
      </w:r>
    </w:p>
    <w:p w14:paraId="24E0612F">
      <w:pPr>
        <w:pStyle w:val="4"/>
        <w:spacing w:line="281" w:lineRule="auto"/>
      </w:pPr>
    </w:p>
    <w:p w14:paraId="120461E0">
      <w:pPr>
        <w:pStyle w:val="4"/>
        <w:spacing w:before="58" w:line="231" w:lineRule="auto"/>
        <w:ind w:left="376"/>
        <w:rPr>
          <w:sz w:val="20"/>
          <w:szCs w:val="20"/>
        </w:rPr>
      </w:pPr>
      <w:r>
        <w:rPr>
          <w:color w:val="57585A"/>
          <w:spacing w:val="-10"/>
          <w:sz w:val="20"/>
          <w:szCs w:val="20"/>
        </w:rPr>
        <w:t>Latin</w:t>
      </w:r>
      <w:r>
        <w:rPr>
          <w:color w:val="57585A"/>
          <w:spacing w:val="-16"/>
          <w:sz w:val="20"/>
          <w:szCs w:val="20"/>
        </w:rPr>
        <w:t xml:space="preserve"> </w:t>
      </w:r>
      <w:r>
        <w:rPr>
          <w:color w:val="57585A"/>
          <w:spacing w:val="-10"/>
          <w:sz w:val="20"/>
          <w:szCs w:val="20"/>
        </w:rPr>
        <w:t>American oil production has declined</w:t>
      </w:r>
      <w:r>
        <w:rPr>
          <w:color w:val="57585A"/>
          <w:spacing w:val="-11"/>
          <w:sz w:val="20"/>
          <w:szCs w:val="20"/>
        </w:rPr>
        <w:t xml:space="preserve"> from its peak levels in the mid-2010s, mainly due to reduced output in Mexico and</w:t>
      </w:r>
    </w:p>
    <w:p w14:paraId="4E062D4F">
      <w:pPr>
        <w:pStyle w:val="4"/>
        <w:spacing w:before="59" w:line="273" w:lineRule="auto"/>
        <w:ind w:left="373" w:right="493" w:hanging="12"/>
        <w:rPr>
          <w:sz w:val="20"/>
          <w:szCs w:val="20"/>
        </w:rPr>
      </w:pPr>
      <w:r>
        <w:rPr>
          <w:color w:val="57585A"/>
          <w:spacing w:val="-11"/>
          <w:sz w:val="20"/>
          <w:szCs w:val="20"/>
        </w:rPr>
        <w:t>Venezuela. Mexico's cha</w:t>
      </w:r>
      <w:r>
        <w:rPr>
          <w:color w:val="57585A"/>
          <w:spacing w:val="-12"/>
          <w:sz w:val="20"/>
          <w:szCs w:val="20"/>
        </w:rPr>
        <w:t>llenges include aging oil fields like Cantarell, financial difficulties with PEMEX, and insufficient investment in</w:t>
      </w:r>
      <w:r>
        <w:rPr>
          <w:color w:val="57585A"/>
          <w:sz w:val="20"/>
          <w:szCs w:val="20"/>
        </w:rPr>
        <w:t xml:space="preserve"> </w:t>
      </w:r>
      <w:r>
        <w:rPr>
          <w:color w:val="57585A"/>
          <w:spacing w:val="-12"/>
          <w:sz w:val="20"/>
          <w:szCs w:val="20"/>
        </w:rPr>
        <w:t>new projects. Venezuela's production</w:t>
      </w:r>
      <w:r>
        <w:rPr>
          <w:color w:val="57585A"/>
          <w:spacing w:val="-13"/>
          <w:sz w:val="20"/>
          <w:szCs w:val="20"/>
        </w:rPr>
        <w:t xml:space="preserve"> </w:t>
      </w:r>
      <w:r>
        <w:rPr>
          <w:color w:val="57585A"/>
          <w:spacing w:val="-12"/>
          <w:sz w:val="20"/>
          <w:szCs w:val="20"/>
        </w:rPr>
        <w:t>was affected by issues</w:t>
      </w:r>
      <w:r>
        <w:rPr>
          <w:color w:val="57585A"/>
          <w:spacing w:val="-16"/>
          <w:sz w:val="20"/>
          <w:szCs w:val="20"/>
        </w:rPr>
        <w:t xml:space="preserve"> </w:t>
      </w:r>
      <w:r>
        <w:rPr>
          <w:color w:val="57585A"/>
          <w:spacing w:val="-12"/>
          <w:sz w:val="20"/>
          <w:szCs w:val="20"/>
        </w:rPr>
        <w:t>within PDVSA and US sanctions limiting foreign investment. Despite</w:t>
      </w:r>
    </w:p>
    <w:p w14:paraId="6B63DC64">
      <w:pPr>
        <w:pStyle w:val="4"/>
        <w:spacing w:before="34" w:line="285" w:lineRule="auto"/>
        <w:ind w:left="368" w:right="360" w:hanging="5"/>
        <w:rPr>
          <w:sz w:val="20"/>
          <w:szCs w:val="20"/>
        </w:rPr>
      </w:pPr>
      <w:r>
        <w:rPr>
          <w:color w:val="57585A"/>
          <w:spacing w:val="-11"/>
          <w:sz w:val="20"/>
          <w:szCs w:val="20"/>
        </w:rPr>
        <w:t>these challenges, the region experienced a modest recove</w:t>
      </w:r>
      <w:r>
        <w:rPr>
          <w:color w:val="57585A"/>
          <w:spacing w:val="-12"/>
          <w:sz w:val="20"/>
          <w:szCs w:val="20"/>
        </w:rPr>
        <w:t>ry in 2021,</w:t>
      </w:r>
      <w:r>
        <w:rPr>
          <w:color w:val="57585A"/>
          <w:spacing w:val="-16"/>
          <w:sz w:val="20"/>
          <w:szCs w:val="20"/>
        </w:rPr>
        <w:t xml:space="preserve"> </w:t>
      </w:r>
      <w:r>
        <w:rPr>
          <w:color w:val="57585A"/>
          <w:spacing w:val="-12"/>
          <w:sz w:val="20"/>
          <w:szCs w:val="20"/>
        </w:rPr>
        <w:t>with a 0.9%</w:t>
      </w:r>
      <w:r>
        <w:rPr>
          <w:color w:val="57585A"/>
          <w:spacing w:val="-16"/>
          <w:sz w:val="20"/>
          <w:szCs w:val="20"/>
        </w:rPr>
        <w:t xml:space="preserve"> </w:t>
      </w:r>
      <w:r>
        <w:rPr>
          <w:color w:val="57585A"/>
          <w:spacing w:val="-12"/>
          <w:sz w:val="20"/>
          <w:szCs w:val="20"/>
        </w:rPr>
        <w:t>y-o-y increase in total oil output. This recovery</w:t>
      </w:r>
      <w:r>
        <w:rPr>
          <w:color w:val="57585A"/>
          <w:spacing w:val="-15"/>
          <w:sz w:val="20"/>
          <w:szCs w:val="20"/>
        </w:rPr>
        <w:t xml:space="preserve"> </w:t>
      </w:r>
      <w:r>
        <w:rPr>
          <w:color w:val="57585A"/>
          <w:spacing w:val="-12"/>
          <w:sz w:val="20"/>
          <w:szCs w:val="20"/>
        </w:rPr>
        <w:t>was</w:t>
      </w:r>
      <w:r>
        <w:rPr>
          <w:color w:val="57585A"/>
          <w:sz w:val="20"/>
          <w:szCs w:val="20"/>
        </w:rPr>
        <w:t xml:space="preserve"> </w:t>
      </w:r>
      <w:r>
        <w:rPr>
          <w:color w:val="57585A"/>
          <w:spacing w:val="-12"/>
          <w:sz w:val="20"/>
          <w:szCs w:val="20"/>
        </w:rPr>
        <w:t>driven by rising production in Mexico, Venezuela, and Guyana, whi</w:t>
      </w:r>
      <w:r>
        <w:rPr>
          <w:color w:val="57585A"/>
          <w:spacing w:val="-13"/>
          <w:sz w:val="20"/>
          <w:szCs w:val="20"/>
        </w:rPr>
        <w:t>ch offset declines in Brazil, Colombia, and Ecuador</w:t>
      </w:r>
      <w:r>
        <w:rPr>
          <w:color w:val="57585A"/>
          <w:spacing w:val="-6"/>
          <w:sz w:val="20"/>
          <w:szCs w:val="20"/>
        </w:rPr>
        <w:t xml:space="preserve"> </w:t>
      </w:r>
      <w:r>
        <w:rPr>
          <w:color w:val="57585A"/>
          <w:spacing w:val="-13"/>
          <w:sz w:val="20"/>
          <w:szCs w:val="20"/>
        </w:rPr>
        <w:t>due to</w:t>
      </w:r>
      <w:r>
        <w:rPr>
          <w:color w:val="57585A"/>
          <w:spacing w:val="-2"/>
          <w:sz w:val="20"/>
          <w:szCs w:val="20"/>
        </w:rPr>
        <w:t xml:space="preserve"> </w:t>
      </w:r>
      <w:r>
        <w:rPr>
          <w:color w:val="57585A"/>
          <w:spacing w:val="-13"/>
          <w:sz w:val="20"/>
          <w:szCs w:val="20"/>
        </w:rPr>
        <w:t>project</w:t>
      </w:r>
      <w:r>
        <w:rPr>
          <w:color w:val="57585A"/>
          <w:sz w:val="20"/>
          <w:szCs w:val="20"/>
        </w:rPr>
        <w:t xml:space="preserve"> </w:t>
      </w:r>
      <w:r>
        <w:rPr>
          <w:color w:val="57585A"/>
          <w:spacing w:val="-11"/>
          <w:sz w:val="20"/>
          <w:szCs w:val="20"/>
        </w:rPr>
        <w:t>delays. In 2022, high global oil prices led to a 7.0% annual growth in production, c</w:t>
      </w:r>
      <w:r>
        <w:rPr>
          <w:color w:val="57585A"/>
          <w:spacing w:val="-12"/>
          <w:sz w:val="20"/>
          <w:szCs w:val="20"/>
        </w:rPr>
        <w:t>ontinuing</w:t>
      </w:r>
      <w:r>
        <w:rPr>
          <w:color w:val="57585A"/>
          <w:spacing w:val="-15"/>
          <w:sz w:val="20"/>
          <w:szCs w:val="20"/>
        </w:rPr>
        <w:t xml:space="preserve"> </w:t>
      </w:r>
      <w:r>
        <w:rPr>
          <w:color w:val="57585A"/>
          <w:spacing w:val="-12"/>
          <w:sz w:val="20"/>
          <w:szCs w:val="20"/>
        </w:rPr>
        <w:t>with an 8.0%</w:t>
      </w:r>
      <w:r>
        <w:rPr>
          <w:color w:val="57585A"/>
          <w:spacing w:val="-16"/>
          <w:sz w:val="20"/>
          <w:szCs w:val="20"/>
        </w:rPr>
        <w:t xml:space="preserve"> </w:t>
      </w:r>
      <w:r>
        <w:rPr>
          <w:color w:val="57585A"/>
          <w:spacing w:val="-12"/>
          <w:sz w:val="20"/>
          <w:szCs w:val="20"/>
        </w:rPr>
        <w:t>y-o-y increase in 2023.</w:t>
      </w:r>
      <w:r>
        <w:rPr>
          <w:color w:val="57585A"/>
          <w:spacing w:val="1"/>
          <w:sz w:val="20"/>
          <w:szCs w:val="20"/>
        </w:rPr>
        <w:t xml:space="preserve"> </w:t>
      </w:r>
      <w:r>
        <w:rPr>
          <w:color w:val="57585A"/>
          <w:spacing w:val="-12"/>
          <w:sz w:val="20"/>
          <w:szCs w:val="20"/>
        </w:rPr>
        <w:t>In</w:t>
      </w:r>
      <w:r>
        <w:rPr>
          <w:color w:val="57585A"/>
          <w:sz w:val="20"/>
          <w:szCs w:val="20"/>
        </w:rPr>
        <w:t xml:space="preserve">  </w:t>
      </w:r>
      <w:r>
        <w:rPr>
          <w:color w:val="57585A"/>
          <w:spacing w:val="-10"/>
          <w:sz w:val="20"/>
          <w:szCs w:val="20"/>
        </w:rPr>
        <w:t>2024, total crude oil produ</w:t>
      </w:r>
      <w:r>
        <w:rPr>
          <w:color w:val="57585A"/>
          <w:spacing w:val="-11"/>
          <w:sz w:val="20"/>
          <w:szCs w:val="20"/>
        </w:rPr>
        <w:t>ction in Latin</w:t>
      </w:r>
      <w:r>
        <w:rPr>
          <w:color w:val="57585A"/>
          <w:spacing w:val="-15"/>
          <w:sz w:val="20"/>
          <w:szCs w:val="20"/>
        </w:rPr>
        <w:t xml:space="preserve"> </w:t>
      </w:r>
      <w:r>
        <w:rPr>
          <w:color w:val="57585A"/>
          <w:spacing w:val="-11"/>
          <w:sz w:val="20"/>
          <w:szCs w:val="20"/>
        </w:rPr>
        <w:t>America grew by 3.3%</w:t>
      </w:r>
      <w:r>
        <w:rPr>
          <w:color w:val="57585A"/>
          <w:spacing w:val="-16"/>
          <w:sz w:val="20"/>
          <w:szCs w:val="20"/>
        </w:rPr>
        <w:t xml:space="preserve"> </w:t>
      </w:r>
      <w:r>
        <w:rPr>
          <w:color w:val="57585A"/>
          <w:spacing w:val="-11"/>
          <w:sz w:val="20"/>
          <w:szCs w:val="20"/>
        </w:rPr>
        <w:t>y-o-y. Looking ahead to 2025, the growth rate is projected to slow to</w:t>
      </w:r>
      <w:r>
        <w:rPr>
          <w:color w:val="57585A"/>
          <w:sz w:val="20"/>
          <w:szCs w:val="20"/>
        </w:rPr>
        <w:t xml:space="preserve"> </w:t>
      </w:r>
      <w:r>
        <w:rPr>
          <w:color w:val="57585A"/>
          <w:spacing w:val="-12"/>
          <w:sz w:val="20"/>
          <w:szCs w:val="20"/>
        </w:rPr>
        <w:t>2.6%, before accelerating to 3.7% in 2026 and stabilising at an average growth rate of 2.5% from 2027 to 2034. Overall, oil</w:t>
      </w:r>
    </w:p>
    <w:p w14:paraId="43AE25B5">
      <w:pPr>
        <w:pStyle w:val="4"/>
        <w:spacing w:before="37" w:line="231" w:lineRule="auto"/>
        <w:ind w:left="373"/>
        <w:rPr>
          <w:sz w:val="20"/>
          <w:szCs w:val="20"/>
        </w:rPr>
      </w:pPr>
      <w:r>
        <w:rPr>
          <w:color w:val="57585A"/>
          <w:spacing w:val="-10"/>
          <w:sz w:val="20"/>
          <w:szCs w:val="20"/>
        </w:rPr>
        <w:t>production in Latin</w:t>
      </w:r>
      <w:r>
        <w:rPr>
          <w:color w:val="57585A"/>
          <w:spacing w:val="-16"/>
          <w:sz w:val="20"/>
          <w:szCs w:val="20"/>
        </w:rPr>
        <w:t xml:space="preserve"> </w:t>
      </w:r>
      <w:r>
        <w:rPr>
          <w:color w:val="57585A"/>
          <w:spacing w:val="-10"/>
          <w:sz w:val="20"/>
          <w:szCs w:val="20"/>
        </w:rPr>
        <w:t>America is expected to rise from 9.4mn b/d in 2024 to 11.8mn b/d by 2034.</w:t>
      </w:r>
    </w:p>
    <w:p w14:paraId="70CDB610">
      <w:pPr>
        <w:spacing w:line="231" w:lineRule="auto"/>
        <w:rPr>
          <w:sz w:val="20"/>
          <w:szCs w:val="20"/>
        </w:rPr>
        <w:sectPr>
          <w:footerReference r:id="rId86" w:type="default"/>
          <w:pgSz w:w="11906" w:h="16838"/>
          <w:pgMar w:top="400" w:right="490" w:bottom="883" w:left="490" w:header="0" w:footer="0" w:gutter="0"/>
          <w:cols w:space="720" w:num="1"/>
        </w:sectPr>
      </w:pPr>
    </w:p>
    <w:p w14:paraId="665650C0">
      <w:pPr>
        <w:pStyle w:val="4"/>
        <w:spacing w:before="73" w:line="241" w:lineRule="auto"/>
        <w:ind w:left="7372"/>
        <w:rPr>
          <w:sz w:val="20"/>
          <w:szCs w:val="20"/>
        </w:rPr>
      </w:pPr>
      <w:r>
        <w:drawing>
          <wp:anchor distT="0" distB="0" distL="0" distR="0" simplePos="0" relativeHeight="25196748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68512" behindDoc="0" locked="0" layoutInCell="0" allowOverlap="1">
            <wp:simplePos x="0" y="0"/>
            <wp:positionH relativeFrom="page">
              <wp:posOffset>311150</wp:posOffset>
            </wp:positionH>
            <wp:positionV relativeFrom="page">
              <wp:posOffset>0</wp:posOffset>
            </wp:positionV>
            <wp:extent cx="19050" cy="814070"/>
            <wp:effectExtent l="0" t="0" r="0" b="0"/>
            <wp:wrapNone/>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F02A013">
      <w:pPr>
        <w:pStyle w:val="4"/>
        <w:spacing w:line="278" w:lineRule="auto"/>
      </w:pPr>
    </w:p>
    <w:p w14:paraId="44B5FE88">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EDAD6F0">
      <w:pPr>
        <w:pStyle w:val="4"/>
        <w:spacing w:line="437" w:lineRule="auto"/>
      </w:pPr>
    </w:p>
    <w:p w14:paraId="2357AEEB">
      <w:pPr>
        <w:pStyle w:val="4"/>
        <w:spacing w:before="69" w:line="234" w:lineRule="auto"/>
        <w:ind w:left="1535"/>
        <w:outlineLvl w:val="1"/>
        <w:rPr>
          <w:sz w:val="24"/>
          <w:szCs w:val="24"/>
        </w:rPr>
      </w:pPr>
      <w:r>
        <w:rPr>
          <w:color w:val="174174"/>
          <w:spacing w:val="-11"/>
          <w:sz w:val="24"/>
          <w:szCs w:val="24"/>
        </w:rPr>
        <w:t>Growth</w:t>
      </w:r>
      <w:r>
        <w:rPr>
          <w:color w:val="174174"/>
          <w:spacing w:val="-19"/>
          <w:sz w:val="24"/>
          <w:szCs w:val="24"/>
        </w:rPr>
        <w:t xml:space="preserve"> </w:t>
      </w:r>
      <w:r>
        <w:rPr>
          <w:color w:val="174174"/>
          <w:spacing w:val="-11"/>
          <w:sz w:val="24"/>
          <w:szCs w:val="24"/>
        </w:rPr>
        <w:t>Among Key Producers</w:t>
      </w:r>
      <w:r>
        <w:rPr>
          <w:color w:val="174174"/>
          <w:spacing w:val="-17"/>
          <w:sz w:val="24"/>
          <w:szCs w:val="24"/>
        </w:rPr>
        <w:t xml:space="preserve"> </w:t>
      </w:r>
      <w:r>
        <w:rPr>
          <w:color w:val="174174"/>
          <w:spacing w:val="-11"/>
          <w:sz w:val="24"/>
          <w:szCs w:val="24"/>
        </w:rPr>
        <w:t>To Outbalance Decline</w:t>
      </w:r>
      <w:r>
        <w:rPr>
          <w:color w:val="174174"/>
          <w:spacing w:val="-12"/>
          <w:sz w:val="24"/>
          <w:szCs w:val="24"/>
        </w:rPr>
        <w:t>s</w:t>
      </w:r>
      <w:r>
        <w:rPr>
          <w:color w:val="174174"/>
          <w:spacing w:val="-18"/>
          <w:sz w:val="24"/>
          <w:szCs w:val="24"/>
        </w:rPr>
        <w:t xml:space="preserve"> </w:t>
      </w:r>
      <w:r>
        <w:rPr>
          <w:color w:val="174174"/>
          <w:spacing w:val="-12"/>
          <w:sz w:val="24"/>
          <w:szCs w:val="24"/>
        </w:rPr>
        <w:t>Among Smaller Producers</w:t>
      </w:r>
    </w:p>
    <w:p w14:paraId="7E861BFA">
      <w:pPr>
        <w:pStyle w:val="4"/>
        <w:spacing w:before="32" w:line="231" w:lineRule="auto"/>
        <w:ind w:left="3512"/>
        <w:outlineLvl w:val="1"/>
        <w:rPr>
          <w:sz w:val="20"/>
          <w:szCs w:val="20"/>
        </w:rPr>
      </w:pPr>
      <w:r>
        <w:rPr>
          <w:color w:val="333333"/>
          <w:spacing w:val="-11"/>
          <w:sz w:val="20"/>
          <w:szCs w:val="20"/>
        </w:rPr>
        <w:t>LatAm -</w:t>
      </w:r>
      <w:r>
        <w:rPr>
          <w:color w:val="333333"/>
          <w:spacing w:val="-14"/>
          <w:sz w:val="20"/>
          <w:szCs w:val="20"/>
        </w:rPr>
        <w:t xml:space="preserve"> </w:t>
      </w:r>
      <w:r>
        <w:rPr>
          <w:color w:val="333333"/>
          <w:spacing w:val="-11"/>
          <w:sz w:val="20"/>
          <w:szCs w:val="20"/>
        </w:rPr>
        <w:t>Total Oil Production, 000' b/d (2023-2034)</w:t>
      </w:r>
    </w:p>
    <w:p w14:paraId="180DFA44">
      <w:pPr>
        <w:spacing w:before="96" w:line="4500" w:lineRule="exact"/>
        <w:ind w:firstLine="1862"/>
      </w:pPr>
      <w:r>
        <w:rPr>
          <w:position w:val="-89"/>
        </w:rPr>
        <w:drawing>
          <wp:inline distT="0" distB="0" distL="0" distR="0">
            <wp:extent cx="4572000" cy="2856865"/>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152"/>
                    <a:stretch>
                      <a:fillRect/>
                    </a:stretch>
                  </pic:blipFill>
                  <pic:spPr>
                    <a:xfrm>
                      <a:off x="0" y="0"/>
                      <a:ext cx="4572000" cy="2857499"/>
                    </a:xfrm>
                    <a:prstGeom prst="rect">
                      <a:avLst/>
                    </a:prstGeom>
                  </pic:spPr>
                </pic:pic>
              </a:graphicData>
            </a:graphic>
          </wp:inline>
        </w:drawing>
      </w:r>
    </w:p>
    <w:p w14:paraId="08BAD523">
      <w:pPr>
        <w:pStyle w:val="4"/>
        <w:spacing w:before="149" w:line="197" w:lineRule="exact"/>
        <w:ind w:left="1876"/>
        <w:rPr>
          <w:sz w:val="15"/>
          <w:szCs w:val="15"/>
        </w:rPr>
      </w:pPr>
      <w:r>
        <w:drawing>
          <wp:anchor distT="0" distB="0" distL="0" distR="0" simplePos="0" relativeHeight="251966464"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9"/>
          <w:position w:val="1"/>
          <w:sz w:val="15"/>
          <w:szCs w:val="15"/>
        </w:rPr>
        <w:t xml:space="preserve"> </w:t>
      </w:r>
      <w:r>
        <w:rPr>
          <w:i/>
          <w:iCs/>
          <w:color w:val="333333"/>
          <w:spacing w:val="-3"/>
          <w:w w:val="93"/>
          <w:position w:val="1"/>
          <w:sz w:val="15"/>
          <w:szCs w:val="15"/>
        </w:rPr>
        <w:t>= estimate/forecast. Source: BMI</w:t>
      </w:r>
    </w:p>
    <w:p w14:paraId="7C38CD0D">
      <w:pPr>
        <w:pStyle w:val="4"/>
        <w:spacing w:line="337" w:lineRule="auto"/>
      </w:pPr>
    </w:p>
    <w:p w14:paraId="683E8D4B">
      <w:pPr>
        <w:pStyle w:val="4"/>
        <w:spacing w:before="58" w:line="283" w:lineRule="auto"/>
        <w:ind w:left="363" w:right="490" w:firstLine="12"/>
        <w:rPr>
          <w:sz w:val="20"/>
          <w:szCs w:val="20"/>
        </w:rPr>
      </w:pPr>
      <w:r>
        <w:rPr>
          <w:color w:val="57585A"/>
          <w:spacing w:val="-12"/>
          <w:sz w:val="20"/>
          <w:szCs w:val="20"/>
        </w:rPr>
        <w:t>Key growth markets in the region include Brazil, Guyana, and Argentina. Brazil and Guyana a</w:t>
      </w:r>
      <w:r>
        <w:rPr>
          <w:color w:val="57585A"/>
          <w:spacing w:val="-13"/>
          <w:sz w:val="20"/>
          <w:szCs w:val="20"/>
        </w:rPr>
        <w:t>re poised to significantly increase their</w:t>
      </w:r>
      <w:r>
        <w:rPr>
          <w:color w:val="57585A"/>
          <w:sz w:val="20"/>
          <w:szCs w:val="20"/>
        </w:rPr>
        <w:t xml:space="preserve"> </w:t>
      </w:r>
      <w:r>
        <w:rPr>
          <w:color w:val="57585A"/>
          <w:spacing w:val="-10"/>
          <w:sz w:val="20"/>
          <w:szCs w:val="20"/>
        </w:rPr>
        <w:t>oil production by 2028,</w:t>
      </w:r>
      <w:r>
        <w:rPr>
          <w:color w:val="57585A"/>
          <w:spacing w:val="-16"/>
          <w:sz w:val="20"/>
          <w:szCs w:val="20"/>
        </w:rPr>
        <w:t xml:space="preserve"> </w:t>
      </w:r>
      <w:r>
        <w:rPr>
          <w:color w:val="57585A"/>
          <w:spacing w:val="-10"/>
          <w:sz w:val="20"/>
          <w:szCs w:val="20"/>
        </w:rPr>
        <w:t>with projected incr</w:t>
      </w:r>
      <w:r>
        <w:rPr>
          <w:color w:val="57585A"/>
          <w:spacing w:val="-11"/>
          <w:sz w:val="20"/>
          <w:szCs w:val="20"/>
        </w:rPr>
        <w:t>eases of 611,000b/d and 805,000b/d respectively, compared to 2023 levels. From 2029</w:t>
      </w:r>
      <w:r>
        <w:rPr>
          <w:color w:val="57585A"/>
          <w:sz w:val="20"/>
          <w:szCs w:val="20"/>
        </w:rPr>
        <w:t xml:space="preserve"> </w:t>
      </w:r>
      <w:r>
        <w:rPr>
          <w:color w:val="57585A"/>
          <w:spacing w:val="-11"/>
          <w:sz w:val="20"/>
          <w:szCs w:val="20"/>
        </w:rPr>
        <w:t>to 2034, Brazil and Guyana are expected to further boost their production by 1.2mn b/d and 1.1mn b/d respectively.</w:t>
      </w:r>
      <w:r>
        <w:rPr>
          <w:color w:val="57585A"/>
          <w:spacing w:val="1"/>
          <w:sz w:val="20"/>
          <w:szCs w:val="20"/>
        </w:rPr>
        <w:t xml:space="preserve"> </w:t>
      </w:r>
      <w:r>
        <w:rPr>
          <w:color w:val="57585A"/>
          <w:spacing w:val="-11"/>
          <w:sz w:val="20"/>
          <w:szCs w:val="20"/>
        </w:rPr>
        <w:t>Braz</w:t>
      </w:r>
      <w:r>
        <w:rPr>
          <w:color w:val="57585A"/>
          <w:spacing w:val="-12"/>
          <w:sz w:val="20"/>
          <w:szCs w:val="20"/>
        </w:rPr>
        <w:t>il's crude</w:t>
      </w:r>
      <w:r>
        <w:rPr>
          <w:color w:val="57585A"/>
          <w:sz w:val="20"/>
          <w:szCs w:val="20"/>
        </w:rPr>
        <w:t xml:space="preserve"> </w:t>
      </w:r>
      <w:r>
        <w:rPr>
          <w:color w:val="57585A"/>
          <w:spacing w:val="-11"/>
          <w:sz w:val="20"/>
          <w:szCs w:val="20"/>
        </w:rPr>
        <w:t>oil production forecast aligns</w:t>
      </w:r>
      <w:r>
        <w:rPr>
          <w:color w:val="57585A"/>
          <w:spacing w:val="-16"/>
          <w:sz w:val="20"/>
          <w:szCs w:val="20"/>
        </w:rPr>
        <w:t xml:space="preserve"> </w:t>
      </w:r>
      <w:r>
        <w:rPr>
          <w:color w:val="57585A"/>
          <w:spacing w:val="-11"/>
          <w:sz w:val="20"/>
          <w:szCs w:val="20"/>
        </w:rPr>
        <w:t>with Petrobras's announcements, projecting a 5.0%</w:t>
      </w:r>
      <w:r>
        <w:rPr>
          <w:color w:val="57585A"/>
          <w:spacing w:val="-16"/>
          <w:sz w:val="20"/>
          <w:szCs w:val="20"/>
        </w:rPr>
        <w:t xml:space="preserve"> </w:t>
      </w:r>
      <w:r>
        <w:rPr>
          <w:color w:val="57585A"/>
          <w:spacing w:val="-11"/>
          <w:sz w:val="20"/>
          <w:szCs w:val="20"/>
        </w:rPr>
        <w:t xml:space="preserve">y-o-y growth in 2025 and </w:t>
      </w:r>
      <w:r>
        <w:rPr>
          <w:color w:val="57585A"/>
          <w:spacing w:val="-12"/>
          <w:sz w:val="20"/>
          <w:szCs w:val="20"/>
        </w:rPr>
        <w:t>an average annual</w:t>
      </w:r>
    </w:p>
    <w:p w14:paraId="4C0E3993">
      <w:pPr>
        <w:pStyle w:val="4"/>
        <w:spacing w:before="37" w:line="231" w:lineRule="auto"/>
        <w:ind w:left="371"/>
        <w:rPr>
          <w:sz w:val="20"/>
          <w:szCs w:val="20"/>
        </w:rPr>
      </w:pPr>
      <w:r>
        <w:rPr>
          <w:color w:val="57585A"/>
          <w:spacing w:val="-10"/>
          <w:sz w:val="20"/>
          <w:szCs w:val="20"/>
        </w:rPr>
        <w:t>increase of</w:t>
      </w:r>
      <w:r>
        <w:rPr>
          <w:color w:val="57585A"/>
          <w:spacing w:val="-16"/>
          <w:sz w:val="20"/>
          <w:szCs w:val="20"/>
        </w:rPr>
        <w:t xml:space="preserve"> </w:t>
      </w:r>
      <w:r>
        <w:rPr>
          <w:color w:val="57585A"/>
          <w:spacing w:val="-10"/>
          <w:sz w:val="20"/>
          <w:szCs w:val="20"/>
        </w:rPr>
        <w:t xml:space="preserve">4.3% from 2026 to </w:t>
      </w:r>
      <w:r>
        <w:rPr>
          <w:color w:val="57585A"/>
          <w:spacing w:val="-11"/>
          <w:sz w:val="20"/>
          <w:szCs w:val="20"/>
        </w:rPr>
        <w:t>2029. Notably, the Mero 3 project has commenced production, significantly enhancing capacity,</w:t>
      </w:r>
    </w:p>
    <w:p w14:paraId="09205DD7">
      <w:pPr>
        <w:pStyle w:val="4"/>
        <w:spacing w:before="58" w:line="231" w:lineRule="auto"/>
        <w:ind w:left="359"/>
        <w:rPr>
          <w:sz w:val="20"/>
          <w:szCs w:val="20"/>
        </w:rPr>
      </w:pPr>
      <w:r>
        <w:rPr>
          <w:color w:val="57585A"/>
          <w:spacing w:val="-10"/>
          <w:sz w:val="20"/>
          <w:szCs w:val="20"/>
        </w:rPr>
        <w:t>while Mero 4 is scheduled to start operation</w:t>
      </w:r>
      <w:r>
        <w:rPr>
          <w:color w:val="57585A"/>
          <w:spacing w:val="-11"/>
          <w:sz w:val="20"/>
          <w:szCs w:val="20"/>
        </w:rPr>
        <w:t>s in 2025, adding another 180,000b/d. Equinor's Bacalhau project is anticipated to</w:t>
      </w:r>
    </w:p>
    <w:p w14:paraId="07BA58D2">
      <w:pPr>
        <w:pStyle w:val="4"/>
        <w:spacing w:before="60" w:line="279" w:lineRule="auto"/>
        <w:ind w:left="363" w:right="533" w:firstLine="5"/>
        <w:rPr>
          <w:sz w:val="20"/>
          <w:szCs w:val="20"/>
        </w:rPr>
      </w:pPr>
      <w:r>
        <w:rPr>
          <w:color w:val="57585A"/>
          <w:spacing w:val="-10"/>
          <w:sz w:val="20"/>
          <w:szCs w:val="20"/>
        </w:rPr>
        <w:t>deliver first oil in 2025,</w:t>
      </w:r>
      <w:r>
        <w:rPr>
          <w:color w:val="57585A"/>
          <w:spacing w:val="-16"/>
          <w:sz w:val="20"/>
          <w:szCs w:val="20"/>
        </w:rPr>
        <w:t xml:space="preserve"> </w:t>
      </w:r>
      <w:r>
        <w:rPr>
          <w:color w:val="57585A"/>
          <w:spacing w:val="-10"/>
          <w:sz w:val="20"/>
          <w:szCs w:val="20"/>
        </w:rPr>
        <w:t xml:space="preserve">with a peak production </w:t>
      </w:r>
      <w:r>
        <w:rPr>
          <w:color w:val="57585A"/>
          <w:spacing w:val="-11"/>
          <w:sz w:val="20"/>
          <w:szCs w:val="20"/>
        </w:rPr>
        <w:t>capacity of 220,000b/d. However, limited updates on project progress present risks</w:t>
      </w:r>
      <w:r>
        <w:rPr>
          <w:color w:val="57585A"/>
          <w:sz w:val="20"/>
          <w:szCs w:val="20"/>
        </w:rPr>
        <w:t xml:space="preserve"> </w:t>
      </w:r>
      <w:r>
        <w:rPr>
          <w:color w:val="57585A"/>
          <w:spacing w:val="-11"/>
          <w:sz w:val="20"/>
          <w:szCs w:val="20"/>
        </w:rPr>
        <w:t>to the forecast. Despite a strong upstream project pipeline, potential spending adjustments could pose downside risks to</w:t>
      </w:r>
      <w:r>
        <w:rPr>
          <w:color w:val="57585A"/>
          <w:spacing w:val="-12"/>
          <w:sz w:val="20"/>
          <w:szCs w:val="20"/>
        </w:rPr>
        <w:t xml:space="preserve"> Brazil's</w:t>
      </w:r>
      <w:r>
        <w:rPr>
          <w:color w:val="57585A"/>
          <w:sz w:val="20"/>
          <w:szCs w:val="20"/>
        </w:rPr>
        <w:t xml:space="preserve"> </w:t>
      </w:r>
      <w:r>
        <w:rPr>
          <w:color w:val="57585A"/>
          <w:spacing w:val="-10"/>
          <w:sz w:val="20"/>
          <w:szCs w:val="20"/>
        </w:rPr>
        <w:t>medium-term crude production outlook, especially given a cautious outlook on crude oil prices in 2025.</w:t>
      </w:r>
    </w:p>
    <w:p w14:paraId="7DAB374A">
      <w:pPr>
        <w:spacing w:line="279" w:lineRule="auto"/>
        <w:rPr>
          <w:sz w:val="20"/>
          <w:szCs w:val="20"/>
        </w:rPr>
        <w:sectPr>
          <w:footerReference r:id="rId87" w:type="default"/>
          <w:pgSz w:w="11906" w:h="16838"/>
          <w:pgMar w:top="400" w:right="490" w:bottom="883" w:left="490" w:header="0" w:footer="0" w:gutter="0"/>
          <w:cols w:space="720" w:num="1"/>
        </w:sectPr>
      </w:pPr>
    </w:p>
    <w:p w14:paraId="7C08445E">
      <w:pPr>
        <w:pStyle w:val="4"/>
        <w:spacing w:before="73" w:line="241" w:lineRule="auto"/>
        <w:ind w:left="7372"/>
        <w:rPr>
          <w:sz w:val="20"/>
          <w:szCs w:val="20"/>
        </w:rPr>
      </w:pPr>
      <w:r>
        <w:drawing>
          <wp:anchor distT="0" distB="0" distL="0" distR="0" simplePos="0" relativeHeight="25197056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71584" behindDoc="0" locked="0" layoutInCell="0" allowOverlap="1">
            <wp:simplePos x="0" y="0"/>
            <wp:positionH relativeFrom="page">
              <wp:posOffset>311150</wp:posOffset>
            </wp:positionH>
            <wp:positionV relativeFrom="page">
              <wp:posOffset>0</wp:posOffset>
            </wp:positionV>
            <wp:extent cx="19050" cy="814070"/>
            <wp:effectExtent l="0" t="0" r="0" b="0"/>
            <wp:wrapNone/>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7AFDAD1E">
      <w:pPr>
        <w:pStyle w:val="4"/>
        <w:spacing w:line="278" w:lineRule="auto"/>
      </w:pPr>
    </w:p>
    <w:p w14:paraId="4E43F71A">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37EDAF8">
      <w:pPr>
        <w:pStyle w:val="4"/>
        <w:spacing w:line="437" w:lineRule="auto"/>
      </w:pPr>
    </w:p>
    <w:p w14:paraId="50C47CC2">
      <w:pPr>
        <w:pStyle w:val="4"/>
        <w:spacing w:before="69" w:line="234" w:lineRule="auto"/>
        <w:ind w:left="1985"/>
        <w:outlineLvl w:val="1"/>
        <w:rPr>
          <w:sz w:val="24"/>
          <w:szCs w:val="24"/>
        </w:rPr>
      </w:pPr>
      <w:r>
        <w:rPr>
          <w:color w:val="174174"/>
          <w:spacing w:val="-13"/>
          <w:sz w:val="24"/>
          <w:szCs w:val="24"/>
        </w:rPr>
        <w:t>Brazil</w:t>
      </w:r>
      <w:r>
        <w:rPr>
          <w:color w:val="174174"/>
          <w:spacing w:val="-19"/>
          <w:sz w:val="24"/>
          <w:szCs w:val="24"/>
        </w:rPr>
        <w:t xml:space="preserve"> </w:t>
      </w:r>
      <w:r>
        <w:rPr>
          <w:color w:val="174174"/>
          <w:spacing w:val="-13"/>
          <w:sz w:val="24"/>
          <w:szCs w:val="24"/>
        </w:rPr>
        <w:t xml:space="preserve">And Guyana To </w:t>
      </w:r>
      <w:r>
        <w:rPr>
          <w:color w:val="174174"/>
          <w:spacing w:val="-14"/>
          <w:sz w:val="24"/>
          <w:szCs w:val="24"/>
        </w:rPr>
        <w:t>Represent Key Growth Markets Over Medium Term</w:t>
      </w:r>
    </w:p>
    <w:p w14:paraId="619FCD11">
      <w:pPr>
        <w:pStyle w:val="4"/>
        <w:spacing w:before="32" w:line="231" w:lineRule="auto"/>
        <w:ind w:left="2638"/>
        <w:outlineLvl w:val="1"/>
        <w:rPr>
          <w:sz w:val="20"/>
          <w:szCs w:val="20"/>
        </w:rPr>
      </w:pPr>
      <w:r>
        <w:rPr>
          <w:color w:val="333333"/>
          <w:spacing w:val="-12"/>
          <w:sz w:val="20"/>
          <w:szCs w:val="20"/>
        </w:rPr>
        <w:t>Brazil &amp; Guyana- Change In A</w:t>
      </w:r>
      <w:r>
        <w:rPr>
          <w:color w:val="333333"/>
          <w:spacing w:val="-13"/>
          <w:sz w:val="20"/>
          <w:szCs w:val="20"/>
        </w:rPr>
        <w:t>verage Oil Production, 000' b/d (2023-2034)</w:t>
      </w:r>
    </w:p>
    <w:p w14:paraId="71D97D5A">
      <w:pPr>
        <w:spacing w:before="96" w:line="4500" w:lineRule="exact"/>
        <w:ind w:firstLine="1862"/>
      </w:pPr>
      <w:r>
        <w:rPr>
          <w:position w:val="-89"/>
        </w:rPr>
        <w:drawing>
          <wp:inline distT="0" distB="0" distL="0" distR="0">
            <wp:extent cx="4572000" cy="2856865"/>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153"/>
                    <a:stretch>
                      <a:fillRect/>
                    </a:stretch>
                  </pic:blipFill>
                  <pic:spPr>
                    <a:xfrm>
                      <a:off x="0" y="0"/>
                      <a:ext cx="4572000" cy="2857499"/>
                    </a:xfrm>
                    <a:prstGeom prst="rect">
                      <a:avLst/>
                    </a:prstGeom>
                  </pic:spPr>
                </pic:pic>
              </a:graphicData>
            </a:graphic>
          </wp:inline>
        </w:drawing>
      </w:r>
    </w:p>
    <w:p w14:paraId="730AC74B">
      <w:pPr>
        <w:pStyle w:val="4"/>
        <w:spacing w:before="149" w:line="177" w:lineRule="exact"/>
        <w:ind w:left="1871"/>
        <w:rPr>
          <w:sz w:val="15"/>
          <w:szCs w:val="15"/>
        </w:rPr>
      </w:pPr>
      <w:r>
        <w:drawing>
          <wp:anchor distT="0" distB="0" distL="0" distR="0" simplePos="0" relativeHeight="25196953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840" name="IM 840"/>
            <wp:cNvGraphicFramePr/>
            <a:graphic xmlns:a="http://schemas.openxmlformats.org/drawingml/2006/main">
              <a:graphicData uri="http://schemas.openxmlformats.org/drawingml/2006/picture">
                <pic:pic xmlns:pic="http://schemas.openxmlformats.org/drawingml/2006/picture">
                  <pic:nvPicPr>
                    <pic:cNvPr id="840" name="IM 84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7"/>
          <w:w w:val="91"/>
          <w:position w:val="1"/>
          <w:sz w:val="15"/>
          <w:szCs w:val="15"/>
        </w:rPr>
        <w:t>Source: Local</w:t>
      </w:r>
      <w:r>
        <w:rPr>
          <w:i/>
          <w:iCs/>
          <w:color w:val="333333"/>
          <w:spacing w:val="3"/>
          <w:position w:val="1"/>
          <w:sz w:val="15"/>
          <w:szCs w:val="15"/>
        </w:rPr>
        <w:t xml:space="preserve"> </w:t>
      </w:r>
      <w:r>
        <w:rPr>
          <w:i/>
          <w:iCs/>
          <w:color w:val="333333"/>
          <w:spacing w:val="-7"/>
          <w:w w:val="91"/>
          <w:position w:val="1"/>
          <w:sz w:val="15"/>
          <w:szCs w:val="15"/>
        </w:rPr>
        <w:t>sources,</w:t>
      </w:r>
      <w:r>
        <w:rPr>
          <w:i/>
          <w:iCs/>
          <w:color w:val="333333"/>
          <w:spacing w:val="-20"/>
          <w:position w:val="1"/>
          <w:sz w:val="15"/>
          <w:szCs w:val="15"/>
        </w:rPr>
        <w:t xml:space="preserve"> </w:t>
      </w:r>
      <w:r>
        <w:rPr>
          <w:i/>
          <w:iCs/>
          <w:color w:val="333333"/>
          <w:spacing w:val="-7"/>
          <w:w w:val="91"/>
          <w:position w:val="1"/>
          <w:sz w:val="15"/>
          <w:szCs w:val="15"/>
        </w:rPr>
        <w:t>JODI, EIA, BMI</w:t>
      </w:r>
    </w:p>
    <w:p w14:paraId="0921E59E">
      <w:pPr>
        <w:pStyle w:val="4"/>
        <w:spacing w:line="359" w:lineRule="auto"/>
      </w:pPr>
    </w:p>
    <w:p w14:paraId="2A6DEDA4">
      <w:pPr>
        <w:pStyle w:val="4"/>
        <w:spacing w:before="58" w:line="279" w:lineRule="auto"/>
        <w:ind w:left="369" w:right="438"/>
        <w:rPr>
          <w:sz w:val="20"/>
          <w:szCs w:val="20"/>
        </w:rPr>
      </w:pPr>
      <w:r>
        <w:rPr>
          <w:color w:val="57585A"/>
          <w:spacing w:val="-11"/>
          <w:sz w:val="20"/>
          <w:szCs w:val="20"/>
        </w:rPr>
        <w:t>Guyana's crude oil production fo</w:t>
      </w:r>
      <w:r>
        <w:rPr>
          <w:color w:val="57585A"/>
          <w:spacing w:val="-12"/>
          <w:sz w:val="20"/>
          <w:szCs w:val="20"/>
        </w:rPr>
        <w:t>recast has also been revised,</w:t>
      </w:r>
      <w:r>
        <w:rPr>
          <w:color w:val="57585A"/>
          <w:spacing w:val="-15"/>
          <w:sz w:val="20"/>
          <w:szCs w:val="20"/>
        </w:rPr>
        <w:t xml:space="preserve"> </w:t>
      </w:r>
      <w:r>
        <w:rPr>
          <w:color w:val="57585A"/>
          <w:spacing w:val="-12"/>
          <w:sz w:val="20"/>
          <w:szCs w:val="20"/>
        </w:rPr>
        <w:t>with anticipated growth of 23.0%</w:t>
      </w:r>
      <w:r>
        <w:rPr>
          <w:color w:val="57585A"/>
          <w:spacing w:val="-16"/>
          <w:sz w:val="20"/>
          <w:szCs w:val="20"/>
        </w:rPr>
        <w:t xml:space="preserve"> </w:t>
      </w:r>
      <w:r>
        <w:rPr>
          <w:color w:val="57585A"/>
          <w:spacing w:val="-12"/>
          <w:sz w:val="20"/>
          <w:szCs w:val="20"/>
        </w:rPr>
        <w:t>y-o-y in 2025, reaching an average</w:t>
      </w:r>
      <w:r>
        <w:rPr>
          <w:color w:val="57585A"/>
          <w:sz w:val="20"/>
          <w:szCs w:val="20"/>
        </w:rPr>
        <w:t xml:space="preserve"> </w:t>
      </w:r>
      <w:r>
        <w:rPr>
          <w:color w:val="57585A"/>
          <w:spacing w:val="-10"/>
          <w:sz w:val="20"/>
          <w:szCs w:val="20"/>
        </w:rPr>
        <w:t>output of</w:t>
      </w:r>
      <w:r>
        <w:rPr>
          <w:color w:val="57585A"/>
          <w:spacing w:val="-17"/>
          <w:sz w:val="20"/>
          <w:szCs w:val="20"/>
        </w:rPr>
        <w:t xml:space="preserve"> </w:t>
      </w:r>
      <w:r>
        <w:rPr>
          <w:color w:val="57585A"/>
          <w:spacing w:val="-10"/>
          <w:sz w:val="20"/>
          <w:szCs w:val="20"/>
        </w:rPr>
        <w:t>747,500b/d.</w:t>
      </w:r>
      <w:r>
        <w:rPr>
          <w:color w:val="57585A"/>
          <w:spacing w:val="-15"/>
          <w:sz w:val="20"/>
          <w:szCs w:val="20"/>
        </w:rPr>
        <w:t xml:space="preserve"> </w:t>
      </w:r>
      <w:r>
        <w:rPr>
          <w:color w:val="57585A"/>
          <w:spacing w:val="-10"/>
          <w:sz w:val="20"/>
          <w:szCs w:val="20"/>
        </w:rPr>
        <w:t>This revision follows strong performance in the latter half</w:t>
      </w:r>
      <w:r>
        <w:rPr>
          <w:color w:val="57585A"/>
          <w:spacing w:val="-15"/>
          <w:sz w:val="20"/>
          <w:szCs w:val="20"/>
        </w:rPr>
        <w:t xml:space="preserve"> </w:t>
      </w:r>
      <w:r>
        <w:rPr>
          <w:color w:val="57585A"/>
          <w:spacing w:val="-10"/>
          <w:sz w:val="20"/>
          <w:szCs w:val="20"/>
        </w:rPr>
        <w:t>of 2024, leading to an upward estimate o</w:t>
      </w:r>
      <w:r>
        <w:rPr>
          <w:color w:val="57585A"/>
          <w:spacing w:val="-11"/>
          <w:sz w:val="20"/>
          <w:szCs w:val="20"/>
        </w:rPr>
        <w:t>f 607,500</w:t>
      </w:r>
      <w:r>
        <w:rPr>
          <w:color w:val="57585A"/>
          <w:sz w:val="20"/>
          <w:szCs w:val="20"/>
        </w:rPr>
        <w:t xml:space="preserve"> </w:t>
      </w:r>
      <w:r>
        <w:rPr>
          <w:color w:val="57585A"/>
          <w:spacing w:val="-11"/>
          <w:sz w:val="20"/>
          <w:szCs w:val="20"/>
        </w:rPr>
        <w:t>b/d for that</w:t>
      </w:r>
      <w:r>
        <w:rPr>
          <w:color w:val="57585A"/>
          <w:spacing w:val="-16"/>
          <w:sz w:val="20"/>
          <w:szCs w:val="20"/>
        </w:rPr>
        <w:t xml:space="preserve"> </w:t>
      </w:r>
      <w:r>
        <w:rPr>
          <w:color w:val="57585A"/>
          <w:spacing w:val="-11"/>
          <w:sz w:val="20"/>
          <w:szCs w:val="20"/>
        </w:rPr>
        <w:t>year's average production. The</w:t>
      </w:r>
      <w:r>
        <w:rPr>
          <w:color w:val="57585A"/>
          <w:spacing w:val="-15"/>
          <w:sz w:val="20"/>
          <w:szCs w:val="20"/>
        </w:rPr>
        <w:t xml:space="preserve"> </w:t>
      </w:r>
      <w:r>
        <w:rPr>
          <w:color w:val="57585A"/>
          <w:spacing w:val="-11"/>
          <w:sz w:val="20"/>
          <w:szCs w:val="20"/>
        </w:rPr>
        <w:t xml:space="preserve">Yellowtail project is set to become Guyana's largest offshore </w:t>
      </w:r>
      <w:r>
        <w:rPr>
          <w:color w:val="57585A"/>
          <w:spacing w:val="-12"/>
          <w:sz w:val="20"/>
          <w:szCs w:val="20"/>
        </w:rPr>
        <w:t>development,</w:t>
      </w:r>
      <w:r>
        <w:rPr>
          <w:color w:val="57585A"/>
          <w:spacing w:val="-16"/>
          <w:sz w:val="20"/>
          <w:szCs w:val="20"/>
        </w:rPr>
        <w:t xml:space="preserve"> </w:t>
      </w:r>
      <w:r>
        <w:rPr>
          <w:color w:val="57585A"/>
          <w:spacing w:val="-12"/>
          <w:sz w:val="20"/>
          <w:szCs w:val="20"/>
        </w:rPr>
        <w:t>with a</w:t>
      </w:r>
    </w:p>
    <w:p w14:paraId="38984EE8">
      <w:pPr>
        <w:pStyle w:val="4"/>
        <w:spacing w:before="38" w:line="279" w:lineRule="auto"/>
        <w:ind w:left="373" w:right="704" w:hanging="4"/>
        <w:rPr>
          <w:sz w:val="20"/>
          <w:szCs w:val="20"/>
        </w:rPr>
      </w:pPr>
      <w:r>
        <w:rPr>
          <w:color w:val="57585A"/>
          <w:spacing w:val="-10"/>
          <w:sz w:val="20"/>
          <w:szCs w:val="20"/>
        </w:rPr>
        <w:t>capacity of 250,000b/d, and is expected to comm</w:t>
      </w:r>
      <w:r>
        <w:rPr>
          <w:color w:val="57585A"/>
          <w:spacing w:val="-11"/>
          <w:sz w:val="20"/>
          <w:szCs w:val="20"/>
        </w:rPr>
        <w:t>ence operations in 2025. Further growth is supported by the upcoming Uaru</w:t>
      </w:r>
      <w:r>
        <w:rPr>
          <w:color w:val="57585A"/>
          <w:sz w:val="20"/>
          <w:szCs w:val="20"/>
        </w:rPr>
        <w:t xml:space="preserve"> </w:t>
      </w:r>
      <w:r>
        <w:rPr>
          <w:color w:val="57585A"/>
          <w:spacing w:val="-12"/>
          <w:sz w:val="20"/>
          <w:szCs w:val="20"/>
        </w:rPr>
        <w:t>project in 2026 and Whiptail in 2027. However, inflationary pressures pose risks, as seen with Uaru's cost estimate increas</w:t>
      </w:r>
      <w:r>
        <w:rPr>
          <w:color w:val="57585A"/>
          <w:spacing w:val="-13"/>
          <w:sz w:val="20"/>
          <w:szCs w:val="20"/>
        </w:rPr>
        <w:t>e from</w:t>
      </w:r>
      <w:r>
        <w:rPr>
          <w:color w:val="57585A"/>
          <w:sz w:val="20"/>
          <w:szCs w:val="20"/>
        </w:rPr>
        <w:t xml:space="preserve"> </w:t>
      </w:r>
      <w:r>
        <w:rPr>
          <w:color w:val="57585A"/>
          <w:spacing w:val="-12"/>
          <w:sz w:val="20"/>
          <w:szCs w:val="20"/>
        </w:rPr>
        <w:t>USD10bn to USD12.7bn. ExxonMobil's planned investment decisions for Hammerhead in 2025 and Longtail in 2027 prese</w:t>
      </w:r>
      <w:r>
        <w:rPr>
          <w:color w:val="57585A"/>
          <w:spacing w:val="-13"/>
          <w:sz w:val="20"/>
          <w:szCs w:val="20"/>
        </w:rPr>
        <w:t>nt</w:t>
      </w:r>
    </w:p>
    <w:p w14:paraId="7D63FA64">
      <w:pPr>
        <w:pStyle w:val="4"/>
        <w:spacing w:before="38" w:line="279" w:lineRule="auto"/>
        <w:ind w:left="366" w:right="620" w:firstLine="6"/>
        <w:rPr>
          <w:sz w:val="20"/>
          <w:szCs w:val="20"/>
        </w:rPr>
      </w:pPr>
      <w:r>
        <w:rPr>
          <w:color w:val="57585A"/>
          <w:spacing w:val="-10"/>
          <w:sz w:val="20"/>
          <w:szCs w:val="20"/>
        </w:rPr>
        <w:t>potential upside risks to t</w:t>
      </w:r>
      <w:r>
        <w:rPr>
          <w:color w:val="57585A"/>
          <w:spacing w:val="-11"/>
          <w:sz w:val="20"/>
          <w:szCs w:val="20"/>
        </w:rPr>
        <w:t>he long-term forecast. While geopolitical tensions</w:t>
      </w:r>
      <w:r>
        <w:rPr>
          <w:color w:val="57585A"/>
          <w:spacing w:val="-15"/>
          <w:sz w:val="20"/>
          <w:szCs w:val="20"/>
        </w:rPr>
        <w:t xml:space="preserve"> </w:t>
      </w:r>
      <w:r>
        <w:rPr>
          <w:color w:val="57585A"/>
          <w:spacing w:val="-11"/>
          <w:sz w:val="20"/>
          <w:szCs w:val="20"/>
        </w:rPr>
        <w:t>with</w:t>
      </w:r>
      <w:r>
        <w:rPr>
          <w:color w:val="57585A"/>
          <w:spacing w:val="-15"/>
          <w:sz w:val="20"/>
          <w:szCs w:val="20"/>
        </w:rPr>
        <w:t xml:space="preserve"> </w:t>
      </w:r>
      <w:r>
        <w:rPr>
          <w:color w:val="57585A"/>
          <w:spacing w:val="-11"/>
          <w:sz w:val="20"/>
          <w:szCs w:val="20"/>
        </w:rPr>
        <w:t>Venezuela remain a concern, they are unlikely to</w:t>
      </w:r>
      <w:r>
        <w:rPr>
          <w:color w:val="57585A"/>
          <w:sz w:val="20"/>
          <w:szCs w:val="20"/>
        </w:rPr>
        <w:t xml:space="preserve"> </w:t>
      </w:r>
      <w:r>
        <w:rPr>
          <w:color w:val="57585A"/>
          <w:spacing w:val="-10"/>
          <w:sz w:val="20"/>
          <w:szCs w:val="20"/>
        </w:rPr>
        <w:t>significantly impact near-term production forecasts. Overall, the outlook for Latin</w:t>
      </w:r>
      <w:r>
        <w:rPr>
          <w:color w:val="57585A"/>
          <w:spacing w:val="-15"/>
          <w:sz w:val="20"/>
          <w:szCs w:val="20"/>
        </w:rPr>
        <w:t xml:space="preserve"> </w:t>
      </w:r>
      <w:r>
        <w:rPr>
          <w:color w:val="57585A"/>
          <w:spacing w:val="-10"/>
          <w:sz w:val="20"/>
          <w:szCs w:val="20"/>
        </w:rPr>
        <w:t>American oil production is positive,</w:t>
      </w:r>
      <w:r>
        <w:rPr>
          <w:color w:val="57585A"/>
          <w:spacing w:val="-16"/>
          <w:sz w:val="20"/>
          <w:szCs w:val="20"/>
        </w:rPr>
        <w:t xml:space="preserve"> </w:t>
      </w:r>
      <w:r>
        <w:rPr>
          <w:color w:val="57585A"/>
          <w:spacing w:val="-10"/>
          <w:sz w:val="20"/>
          <w:szCs w:val="20"/>
        </w:rPr>
        <w:t>with</w:t>
      </w:r>
      <w:r>
        <w:rPr>
          <w:color w:val="57585A"/>
          <w:spacing w:val="-11"/>
          <w:sz w:val="20"/>
          <w:szCs w:val="20"/>
        </w:rPr>
        <w:t xml:space="preserve"> growth</w:t>
      </w:r>
      <w:r>
        <w:rPr>
          <w:color w:val="57585A"/>
          <w:sz w:val="20"/>
          <w:szCs w:val="20"/>
        </w:rPr>
        <w:t xml:space="preserve"> </w:t>
      </w:r>
      <w:r>
        <w:rPr>
          <w:color w:val="57585A"/>
          <w:spacing w:val="-11"/>
          <w:sz w:val="20"/>
          <w:szCs w:val="20"/>
        </w:rPr>
        <w:t>expected to continue across the</w:t>
      </w:r>
      <w:r>
        <w:rPr>
          <w:color w:val="57585A"/>
          <w:spacing w:val="-12"/>
          <w:sz w:val="20"/>
          <w:szCs w:val="20"/>
        </w:rPr>
        <w:t xml:space="preserve"> </w:t>
      </w:r>
      <w:r>
        <w:rPr>
          <w:color w:val="57585A"/>
          <w:spacing w:val="-11"/>
          <w:sz w:val="20"/>
          <w:szCs w:val="20"/>
        </w:rPr>
        <w:t>forecast period despite so</w:t>
      </w:r>
      <w:r>
        <w:rPr>
          <w:color w:val="57585A"/>
          <w:spacing w:val="-12"/>
          <w:sz w:val="20"/>
          <w:szCs w:val="20"/>
        </w:rPr>
        <w:t>me challenges and risks.</w:t>
      </w:r>
    </w:p>
    <w:p w14:paraId="21D1C8B5">
      <w:pPr>
        <w:pStyle w:val="4"/>
        <w:spacing w:line="262" w:lineRule="auto"/>
      </w:pPr>
    </w:p>
    <w:p w14:paraId="5B108FEE">
      <w:pPr>
        <w:pStyle w:val="4"/>
        <w:spacing w:before="58" w:line="241" w:lineRule="auto"/>
        <w:ind w:left="375"/>
        <w:rPr>
          <w:sz w:val="20"/>
          <w:szCs w:val="20"/>
        </w:rPr>
      </w:pPr>
      <w:r>
        <w:rPr>
          <w:b/>
          <w:bCs/>
          <w:color w:val="57585A"/>
          <w:spacing w:val="-9"/>
          <w:sz w:val="20"/>
          <w:szCs w:val="20"/>
        </w:rPr>
        <w:t>Refining Capacity: Brazil</w:t>
      </w:r>
      <w:r>
        <w:rPr>
          <w:b/>
          <w:bCs/>
          <w:color w:val="57585A"/>
          <w:spacing w:val="-15"/>
          <w:sz w:val="20"/>
          <w:szCs w:val="20"/>
        </w:rPr>
        <w:t xml:space="preserve"> </w:t>
      </w:r>
      <w:r>
        <w:rPr>
          <w:b/>
          <w:bCs/>
          <w:color w:val="57585A"/>
          <w:spacing w:val="-9"/>
          <w:sz w:val="20"/>
          <w:szCs w:val="20"/>
        </w:rPr>
        <w:t>And Mexico</w:t>
      </w:r>
      <w:r>
        <w:rPr>
          <w:b/>
          <w:bCs/>
          <w:color w:val="57585A"/>
          <w:spacing w:val="-15"/>
          <w:sz w:val="20"/>
          <w:szCs w:val="20"/>
        </w:rPr>
        <w:t xml:space="preserve"> </w:t>
      </w:r>
      <w:r>
        <w:rPr>
          <w:b/>
          <w:bCs/>
          <w:color w:val="57585A"/>
          <w:spacing w:val="-9"/>
          <w:sz w:val="20"/>
          <w:szCs w:val="20"/>
        </w:rPr>
        <w:t>To Drive</w:t>
      </w:r>
      <w:r>
        <w:rPr>
          <w:b/>
          <w:bCs/>
          <w:color w:val="57585A"/>
          <w:spacing w:val="-10"/>
          <w:sz w:val="20"/>
          <w:szCs w:val="20"/>
        </w:rPr>
        <w:t xml:space="preserve"> Latin</w:t>
      </w:r>
      <w:r>
        <w:rPr>
          <w:b/>
          <w:bCs/>
          <w:color w:val="57585A"/>
          <w:spacing w:val="-16"/>
          <w:sz w:val="20"/>
          <w:szCs w:val="20"/>
        </w:rPr>
        <w:t xml:space="preserve"> </w:t>
      </w:r>
      <w:r>
        <w:rPr>
          <w:b/>
          <w:bCs/>
          <w:color w:val="57585A"/>
          <w:spacing w:val="-10"/>
          <w:sz w:val="20"/>
          <w:szCs w:val="20"/>
        </w:rPr>
        <w:t>American Refining Capacity Growth</w:t>
      </w:r>
    </w:p>
    <w:p w14:paraId="244C8111">
      <w:pPr>
        <w:pStyle w:val="4"/>
        <w:spacing w:line="281" w:lineRule="auto"/>
      </w:pPr>
    </w:p>
    <w:p w14:paraId="390C4D88">
      <w:pPr>
        <w:pStyle w:val="4"/>
        <w:spacing w:before="58" w:line="273" w:lineRule="auto"/>
        <w:ind w:left="372" w:right="457" w:hanging="12"/>
        <w:rPr>
          <w:sz w:val="20"/>
          <w:szCs w:val="20"/>
        </w:rPr>
      </w:pPr>
      <w:r>
        <w:rPr>
          <w:color w:val="57585A"/>
          <w:spacing w:val="-10"/>
          <w:sz w:val="20"/>
          <w:szCs w:val="20"/>
        </w:rPr>
        <w:t>The outlook for the Lat</w:t>
      </w:r>
      <w:r>
        <w:rPr>
          <w:color w:val="57585A"/>
          <w:spacing w:val="-11"/>
          <w:sz w:val="20"/>
          <w:szCs w:val="20"/>
        </w:rPr>
        <w:t>in</w:t>
      </w:r>
      <w:r>
        <w:rPr>
          <w:color w:val="57585A"/>
          <w:spacing w:val="-15"/>
          <w:sz w:val="20"/>
          <w:szCs w:val="20"/>
        </w:rPr>
        <w:t xml:space="preserve"> </w:t>
      </w:r>
      <w:r>
        <w:rPr>
          <w:color w:val="57585A"/>
          <w:spacing w:val="-11"/>
          <w:sz w:val="20"/>
          <w:szCs w:val="20"/>
        </w:rPr>
        <w:t>American downstream sector over the next decade is characterized by promising growth, primarily driven</w:t>
      </w:r>
      <w:r>
        <w:rPr>
          <w:color w:val="57585A"/>
          <w:sz w:val="20"/>
          <w:szCs w:val="20"/>
        </w:rPr>
        <w:t xml:space="preserve"> </w:t>
      </w:r>
      <w:r>
        <w:rPr>
          <w:color w:val="57585A"/>
          <w:spacing w:val="-11"/>
          <w:sz w:val="20"/>
          <w:szCs w:val="20"/>
        </w:rPr>
        <w:t xml:space="preserve">by strategic developments in Brazil and Mexico. Brazil’s refining capacity is projected to expand from </w:t>
      </w:r>
      <w:r>
        <w:rPr>
          <w:color w:val="57585A"/>
          <w:spacing w:val="-12"/>
          <w:sz w:val="20"/>
          <w:szCs w:val="20"/>
        </w:rPr>
        <w:t>2.4mn b/d in 2023 to 2.6mn</w:t>
      </w:r>
    </w:p>
    <w:p w14:paraId="2E4BD71C">
      <w:pPr>
        <w:pStyle w:val="4"/>
        <w:spacing w:before="35" w:line="283" w:lineRule="auto"/>
        <w:ind w:left="366" w:right="396" w:firstLine="6"/>
        <w:rPr>
          <w:sz w:val="20"/>
          <w:szCs w:val="20"/>
        </w:rPr>
      </w:pPr>
      <w:r>
        <w:rPr>
          <w:color w:val="57585A"/>
          <w:spacing w:val="-11"/>
          <w:sz w:val="20"/>
          <w:szCs w:val="20"/>
        </w:rPr>
        <w:t>b/d by 2028. This increase is supported by substantial investments in refining infrast</w:t>
      </w:r>
      <w:r>
        <w:rPr>
          <w:color w:val="57585A"/>
          <w:spacing w:val="-12"/>
          <w:sz w:val="20"/>
          <w:szCs w:val="20"/>
        </w:rPr>
        <w:t>ructure, including the expansion of</w:t>
      </w:r>
      <w:r>
        <w:rPr>
          <w:color w:val="57585A"/>
          <w:spacing w:val="-22"/>
          <w:sz w:val="20"/>
          <w:szCs w:val="20"/>
        </w:rPr>
        <w:t xml:space="preserve"> </w:t>
      </w:r>
      <w:r>
        <w:rPr>
          <w:color w:val="57585A"/>
          <w:spacing w:val="-12"/>
          <w:sz w:val="20"/>
          <w:szCs w:val="20"/>
        </w:rPr>
        <w:t>the RNEST</w:t>
      </w:r>
      <w:r>
        <w:rPr>
          <w:color w:val="57585A"/>
          <w:sz w:val="20"/>
          <w:szCs w:val="20"/>
        </w:rPr>
        <w:t xml:space="preserve">  </w:t>
      </w:r>
      <w:r>
        <w:rPr>
          <w:color w:val="57585A"/>
          <w:spacing w:val="-12"/>
          <w:sz w:val="20"/>
          <w:szCs w:val="20"/>
        </w:rPr>
        <w:t>refinery and contributions from private sector players like Dax Oil Refino and Noxis</w:t>
      </w:r>
      <w:r>
        <w:rPr>
          <w:color w:val="57585A"/>
          <w:spacing w:val="1"/>
          <w:sz w:val="20"/>
          <w:szCs w:val="20"/>
        </w:rPr>
        <w:t xml:space="preserve"> </w:t>
      </w:r>
      <w:r>
        <w:rPr>
          <w:color w:val="57585A"/>
          <w:spacing w:val="-12"/>
          <w:sz w:val="20"/>
          <w:szCs w:val="20"/>
        </w:rPr>
        <w:t>Energy.</w:t>
      </w:r>
      <w:r>
        <w:rPr>
          <w:color w:val="57585A"/>
          <w:spacing w:val="1"/>
          <w:sz w:val="20"/>
          <w:szCs w:val="20"/>
        </w:rPr>
        <w:t xml:space="preserve"> </w:t>
      </w:r>
      <w:r>
        <w:rPr>
          <w:color w:val="57585A"/>
          <w:spacing w:val="-12"/>
          <w:sz w:val="20"/>
          <w:szCs w:val="20"/>
        </w:rPr>
        <w:t>Brazil's fuel prod</w:t>
      </w:r>
      <w:r>
        <w:rPr>
          <w:color w:val="57585A"/>
          <w:spacing w:val="-13"/>
          <w:sz w:val="20"/>
          <w:szCs w:val="20"/>
        </w:rPr>
        <w:t>uction</w:t>
      </w:r>
      <w:r>
        <w:rPr>
          <w:color w:val="57585A"/>
          <w:spacing w:val="-4"/>
          <w:sz w:val="20"/>
          <w:szCs w:val="20"/>
        </w:rPr>
        <w:t xml:space="preserve"> </w:t>
      </w:r>
      <w:r>
        <w:rPr>
          <w:color w:val="57585A"/>
          <w:spacing w:val="-13"/>
          <w:sz w:val="20"/>
          <w:szCs w:val="20"/>
        </w:rPr>
        <w:t>is</w:t>
      </w:r>
      <w:r>
        <w:rPr>
          <w:color w:val="57585A"/>
          <w:spacing w:val="-6"/>
          <w:sz w:val="20"/>
          <w:szCs w:val="20"/>
        </w:rPr>
        <w:t xml:space="preserve"> </w:t>
      </w:r>
      <w:r>
        <w:rPr>
          <w:color w:val="57585A"/>
          <w:spacing w:val="-13"/>
          <w:sz w:val="20"/>
          <w:szCs w:val="20"/>
        </w:rPr>
        <w:t>expected to</w:t>
      </w:r>
      <w:r>
        <w:rPr>
          <w:color w:val="57585A"/>
          <w:spacing w:val="-2"/>
          <w:sz w:val="20"/>
          <w:szCs w:val="20"/>
        </w:rPr>
        <w:t xml:space="preserve"> </w:t>
      </w:r>
      <w:r>
        <w:rPr>
          <w:color w:val="57585A"/>
          <w:spacing w:val="-13"/>
          <w:sz w:val="20"/>
          <w:szCs w:val="20"/>
        </w:rPr>
        <w:t>rise</w:t>
      </w:r>
      <w:r>
        <w:rPr>
          <w:color w:val="57585A"/>
          <w:sz w:val="20"/>
          <w:szCs w:val="20"/>
        </w:rPr>
        <w:t xml:space="preserve"> </w:t>
      </w:r>
      <w:r>
        <w:rPr>
          <w:color w:val="57585A"/>
          <w:spacing w:val="-11"/>
          <w:sz w:val="20"/>
          <w:szCs w:val="20"/>
        </w:rPr>
        <w:t>steadily, reaching approximately 2.4mn b/d by 2034,</w:t>
      </w:r>
      <w:r>
        <w:rPr>
          <w:color w:val="57585A"/>
          <w:spacing w:val="-16"/>
          <w:sz w:val="20"/>
          <w:szCs w:val="20"/>
        </w:rPr>
        <w:t xml:space="preserve"> </w:t>
      </w:r>
      <w:r>
        <w:rPr>
          <w:color w:val="57585A"/>
          <w:spacing w:val="-11"/>
          <w:sz w:val="20"/>
          <w:szCs w:val="20"/>
        </w:rPr>
        <w:t>with a focus on higher-value products such as low-sulfur diese</w:t>
      </w:r>
      <w:r>
        <w:rPr>
          <w:color w:val="57585A"/>
          <w:spacing w:val="-12"/>
          <w:sz w:val="20"/>
          <w:szCs w:val="20"/>
        </w:rPr>
        <w:t>l to meet global</w:t>
      </w:r>
      <w:r>
        <w:rPr>
          <w:color w:val="57585A"/>
          <w:sz w:val="20"/>
          <w:szCs w:val="20"/>
        </w:rPr>
        <w:t xml:space="preserve"> </w:t>
      </w:r>
      <w:r>
        <w:rPr>
          <w:color w:val="57585A"/>
          <w:spacing w:val="-11"/>
          <w:sz w:val="20"/>
          <w:szCs w:val="20"/>
        </w:rPr>
        <w:t>regulatory standards.</w:t>
      </w:r>
    </w:p>
    <w:p w14:paraId="58DB4281">
      <w:pPr>
        <w:spacing w:line="283" w:lineRule="auto"/>
        <w:rPr>
          <w:sz w:val="20"/>
          <w:szCs w:val="20"/>
        </w:rPr>
        <w:sectPr>
          <w:footerReference r:id="rId88" w:type="default"/>
          <w:pgSz w:w="11906" w:h="16838"/>
          <w:pgMar w:top="400" w:right="490" w:bottom="883" w:left="490" w:header="0" w:footer="0" w:gutter="0"/>
          <w:cols w:space="720" w:num="1"/>
        </w:sectPr>
      </w:pPr>
    </w:p>
    <w:p w14:paraId="417DF74A">
      <w:pPr>
        <w:pStyle w:val="4"/>
        <w:spacing w:before="73" w:line="241" w:lineRule="auto"/>
        <w:ind w:left="7372"/>
        <w:rPr>
          <w:sz w:val="20"/>
          <w:szCs w:val="20"/>
        </w:rPr>
      </w:pPr>
      <w:r>
        <w:drawing>
          <wp:anchor distT="0" distB="0" distL="0" distR="0" simplePos="0" relativeHeight="25197363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46" name="IM 846"/>
            <wp:cNvGraphicFramePr/>
            <a:graphic xmlns:a="http://schemas.openxmlformats.org/drawingml/2006/main">
              <a:graphicData uri="http://schemas.openxmlformats.org/drawingml/2006/picture">
                <pic:pic xmlns:pic="http://schemas.openxmlformats.org/drawingml/2006/picture">
                  <pic:nvPicPr>
                    <pic:cNvPr id="846" name="IM 84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74656" behindDoc="0" locked="0" layoutInCell="0" allowOverlap="1">
            <wp:simplePos x="0" y="0"/>
            <wp:positionH relativeFrom="page">
              <wp:posOffset>311150</wp:posOffset>
            </wp:positionH>
            <wp:positionV relativeFrom="page">
              <wp:posOffset>0</wp:posOffset>
            </wp:positionV>
            <wp:extent cx="19050" cy="814070"/>
            <wp:effectExtent l="0" t="0" r="0" b="0"/>
            <wp:wrapNone/>
            <wp:docPr id="848" name="IM 848"/>
            <wp:cNvGraphicFramePr/>
            <a:graphic xmlns:a="http://schemas.openxmlformats.org/drawingml/2006/main">
              <a:graphicData uri="http://schemas.openxmlformats.org/drawingml/2006/picture">
                <pic:pic xmlns:pic="http://schemas.openxmlformats.org/drawingml/2006/picture">
                  <pic:nvPicPr>
                    <pic:cNvPr id="848" name="IM 84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104FC21">
      <w:pPr>
        <w:pStyle w:val="4"/>
        <w:spacing w:line="278" w:lineRule="auto"/>
      </w:pPr>
    </w:p>
    <w:p w14:paraId="7661F841">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C8286CB">
      <w:pPr>
        <w:pStyle w:val="4"/>
        <w:spacing w:line="437" w:lineRule="auto"/>
      </w:pPr>
    </w:p>
    <w:p w14:paraId="64E52C50">
      <w:pPr>
        <w:pStyle w:val="4"/>
        <w:spacing w:before="69" w:line="234" w:lineRule="auto"/>
        <w:ind w:left="2427"/>
        <w:outlineLvl w:val="1"/>
        <w:rPr>
          <w:sz w:val="24"/>
          <w:szCs w:val="24"/>
        </w:rPr>
      </w:pPr>
      <w:r>
        <w:rPr>
          <w:color w:val="174174"/>
          <w:spacing w:val="-12"/>
          <w:sz w:val="24"/>
          <w:szCs w:val="24"/>
        </w:rPr>
        <w:t>Mexico &amp; Brazil</w:t>
      </w:r>
      <w:r>
        <w:rPr>
          <w:color w:val="174174"/>
          <w:spacing w:val="-9"/>
          <w:sz w:val="24"/>
          <w:szCs w:val="24"/>
        </w:rPr>
        <w:t xml:space="preserve"> </w:t>
      </w:r>
      <w:r>
        <w:rPr>
          <w:color w:val="174174"/>
          <w:spacing w:val="-12"/>
          <w:sz w:val="24"/>
          <w:szCs w:val="24"/>
        </w:rPr>
        <w:t>Account For Bulk Of Refining Capacity In LatAm</w:t>
      </w:r>
    </w:p>
    <w:p w14:paraId="4FBD4BC3">
      <w:pPr>
        <w:pStyle w:val="4"/>
        <w:spacing w:before="32" w:line="231" w:lineRule="auto"/>
        <w:ind w:left="2383"/>
        <w:outlineLvl w:val="1"/>
        <w:rPr>
          <w:sz w:val="20"/>
          <w:szCs w:val="20"/>
        </w:rPr>
      </w:pPr>
      <w:r>
        <w:rPr>
          <w:color w:val="333333"/>
          <w:spacing w:val="-11"/>
          <w:sz w:val="20"/>
          <w:szCs w:val="20"/>
        </w:rPr>
        <w:t xml:space="preserve">LatAm - Refining Capacity &amp; </w:t>
      </w:r>
      <w:r>
        <w:rPr>
          <w:color w:val="333333"/>
          <w:spacing w:val="-12"/>
          <w:sz w:val="20"/>
          <w:szCs w:val="20"/>
        </w:rPr>
        <w:t>Refined Products Production, 000' b/d (2023-2034)</w:t>
      </w:r>
    </w:p>
    <w:p w14:paraId="388F150B">
      <w:pPr>
        <w:spacing w:before="96" w:line="4500" w:lineRule="exact"/>
        <w:ind w:firstLine="1862"/>
      </w:pPr>
      <w:r>
        <w:rPr>
          <w:position w:val="-89"/>
        </w:rPr>
        <w:drawing>
          <wp:inline distT="0" distB="0" distL="0" distR="0">
            <wp:extent cx="4572000" cy="2856865"/>
            <wp:effectExtent l="0" t="0" r="0" b="0"/>
            <wp:docPr id="850" name="IM 850"/>
            <wp:cNvGraphicFramePr/>
            <a:graphic xmlns:a="http://schemas.openxmlformats.org/drawingml/2006/main">
              <a:graphicData uri="http://schemas.openxmlformats.org/drawingml/2006/picture">
                <pic:pic xmlns:pic="http://schemas.openxmlformats.org/drawingml/2006/picture">
                  <pic:nvPicPr>
                    <pic:cNvPr id="850" name="IM 850"/>
                    <pic:cNvPicPr/>
                  </pic:nvPicPr>
                  <pic:blipFill>
                    <a:blip r:embed="rId154"/>
                    <a:stretch>
                      <a:fillRect/>
                    </a:stretch>
                  </pic:blipFill>
                  <pic:spPr>
                    <a:xfrm>
                      <a:off x="0" y="0"/>
                      <a:ext cx="4572000" cy="2857499"/>
                    </a:xfrm>
                    <a:prstGeom prst="rect">
                      <a:avLst/>
                    </a:prstGeom>
                  </pic:spPr>
                </pic:pic>
              </a:graphicData>
            </a:graphic>
          </wp:inline>
        </w:drawing>
      </w:r>
    </w:p>
    <w:p w14:paraId="1D5377E4">
      <w:pPr>
        <w:pStyle w:val="4"/>
        <w:spacing w:before="149" w:line="197" w:lineRule="exact"/>
        <w:ind w:left="1876"/>
        <w:rPr>
          <w:sz w:val="15"/>
          <w:szCs w:val="15"/>
        </w:rPr>
      </w:pPr>
      <w:r>
        <w:drawing>
          <wp:anchor distT="0" distB="0" distL="0" distR="0" simplePos="0" relativeHeight="251972608"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9"/>
          <w:position w:val="1"/>
          <w:sz w:val="15"/>
          <w:szCs w:val="15"/>
        </w:rPr>
        <w:t xml:space="preserve"> </w:t>
      </w:r>
      <w:r>
        <w:rPr>
          <w:i/>
          <w:iCs/>
          <w:color w:val="333333"/>
          <w:spacing w:val="-3"/>
          <w:w w:val="93"/>
          <w:position w:val="1"/>
          <w:sz w:val="15"/>
          <w:szCs w:val="15"/>
        </w:rPr>
        <w:t>= estimate/forecast. Source: BMI</w:t>
      </w:r>
    </w:p>
    <w:p w14:paraId="24C8B529">
      <w:pPr>
        <w:pStyle w:val="4"/>
        <w:spacing w:line="338" w:lineRule="auto"/>
      </w:pPr>
    </w:p>
    <w:p w14:paraId="52A9F35C">
      <w:pPr>
        <w:pStyle w:val="4"/>
        <w:spacing w:before="58" w:line="231" w:lineRule="auto"/>
        <w:ind w:left="376"/>
        <w:rPr>
          <w:sz w:val="20"/>
          <w:szCs w:val="20"/>
        </w:rPr>
      </w:pPr>
      <w:r>
        <w:rPr>
          <w:color w:val="57585A"/>
          <w:spacing w:val="-11"/>
          <w:sz w:val="20"/>
          <w:szCs w:val="20"/>
        </w:rPr>
        <w:t>In Mexico, the ramp-up of the Olmeca refinery and ongoing upgrades to existing facilities are set to bolster refining capacity,</w:t>
      </w:r>
    </w:p>
    <w:p w14:paraId="777B3480">
      <w:pPr>
        <w:pStyle w:val="4"/>
        <w:spacing w:before="59" w:line="231" w:lineRule="auto"/>
        <w:ind w:left="373"/>
        <w:rPr>
          <w:sz w:val="20"/>
          <w:szCs w:val="20"/>
        </w:rPr>
      </w:pPr>
      <w:r>
        <w:rPr>
          <w:color w:val="57585A"/>
          <w:spacing w:val="-9"/>
          <w:sz w:val="20"/>
          <w:szCs w:val="20"/>
        </w:rPr>
        <w:t>maintaining it at 2</w:t>
      </w:r>
      <w:r>
        <w:rPr>
          <w:color w:val="57585A"/>
          <w:spacing w:val="-10"/>
          <w:sz w:val="20"/>
          <w:szCs w:val="20"/>
        </w:rPr>
        <w:t>.0mn b/d from 2024 onwards. Fuel production is anticipated to grow significantly, from 890,300b/d in 2023 to</w:t>
      </w:r>
    </w:p>
    <w:p w14:paraId="040319B6">
      <w:pPr>
        <w:pStyle w:val="4"/>
        <w:spacing w:before="57" w:line="283" w:lineRule="auto"/>
        <w:ind w:left="360" w:right="366" w:firstLine="16"/>
        <w:rPr>
          <w:sz w:val="20"/>
          <w:szCs w:val="20"/>
        </w:rPr>
      </w:pPr>
      <w:r>
        <w:rPr>
          <w:color w:val="57585A"/>
          <w:spacing w:val="-10"/>
          <w:sz w:val="20"/>
          <w:szCs w:val="20"/>
        </w:rPr>
        <w:t>1.4mn b/d by 2034, driven by investments aimed at increasing the output of high</w:t>
      </w:r>
      <w:r>
        <w:rPr>
          <w:color w:val="57585A"/>
          <w:spacing w:val="-11"/>
          <w:sz w:val="20"/>
          <w:szCs w:val="20"/>
        </w:rPr>
        <w:t>er-quality fuels and reducing reliance on imports.</w:t>
      </w:r>
      <w:r>
        <w:rPr>
          <w:color w:val="57585A"/>
          <w:sz w:val="20"/>
          <w:szCs w:val="20"/>
        </w:rPr>
        <w:t xml:space="preserve"> </w:t>
      </w:r>
      <w:r>
        <w:rPr>
          <w:color w:val="57585A"/>
          <w:spacing w:val="-10"/>
          <w:sz w:val="20"/>
          <w:szCs w:val="20"/>
        </w:rPr>
        <w:t xml:space="preserve">The Olmeca refinery, inaugurated in 2022, is expected to be fully operational by 2025, contributing to </w:t>
      </w:r>
      <w:r>
        <w:rPr>
          <w:color w:val="57585A"/>
          <w:spacing w:val="-11"/>
          <w:sz w:val="20"/>
          <w:szCs w:val="20"/>
        </w:rPr>
        <w:t>the production of high-quality</w:t>
      </w:r>
      <w:r>
        <w:rPr>
          <w:color w:val="57585A"/>
          <w:sz w:val="20"/>
          <w:szCs w:val="20"/>
        </w:rPr>
        <w:t xml:space="preserve"> </w:t>
      </w:r>
      <w:r>
        <w:rPr>
          <w:color w:val="57585A"/>
          <w:spacing w:val="-11"/>
          <w:sz w:val="20"/>
          <w:szCs w:val="20"/>
        </w:rPr>
        <w:t xml:space="preserve">fuels like gasoline </w:t>
      </w:r>
      <w:r>
        <w:rPr>
          <w:color w:val="57585A"/>
          <w:spacing w:val="-12"/>
          <w:sz w:val="20"/>
          <w:szCs w:val="20"/>
        </w:rPr>
        <w:t>and ultra-low-sulfur diesel. However, challenges such as maintenance issues and aging infrastructure pose risks to</w:t>
      </w:r>
      <w:r>
        <w:rPr>
          <w:color w:val="57585A"/>
          <w:sz w:val="20"/>
          <w:szCs w:val="20"/>
        </w:rPr>
        <w:t xml:space="preserve"> </w:t>
      </w:r>
      <w:r>
        <w:rPr>
          <w:color w:val="57585A"/>
          <w:spacing w:val="-10"/>
          <w:sz w:val="20"/>
          <w:szCs w:val="20"/>
        </w:rPr>
        <w:t>sustained growth,</w:t>
      </w:r>
      <w:r>
        <w:rPr>
          <w:color w:val="57585A"/>
          <w:spacing w:val="-15"/>
          <w:sz w:val="20"/>
          <w:szCs w:val="20"/>
        </w:rPr>
        <w:t xml:space="preserve"> </w:t>
      </w:r>
      <w:r>
        <w:rPr>
          <w:color w:val="57585A"/>
          <w:spacing w:val="-10"/>
          <w:sz w:val="20"/>
          <w:szCs w:val="20"/>
        </w:rPr>
        <w:t>with Pemex facing particular difficulties in achieving its product</w:t>
      </w:r>
      <w:r>
        <w:rPr>
          <w:color w:val="57585A"/>
          <w:spacing w:val="-11"/>
          <w:sz w:val="20"/>
          <w:szCs w:val="20"/>
        </w:rPr>
        <w:t>ion targets.</w:t>
      </w:r>
    </w:p>
    <w:p w14:paraId="0400AE0C">
      <w:pPr>
        <w:pStyle w:val="4"/>
        <w:spacing w:line="265" w:lineRule="auto"/>
      </w:pPr>
    </w:p>
    <w:p w14:paraId="4759A69B">
      <w:pPr>
        <w:pStyle w:val="4"/>
        <w:spacing w:before="58" w:line="273" w:lineRule="auto"/>
        <w:ind w:left="375" w:right="379" w:hanging="6"/>
        <w:rPr>
          <w:sz w:val="20"/>
          <w:szCs w:val="20"/>
        </w:rPr>
      </w:pPr>
      <w:r>
        <w:rPr>
          <w:color w:val="57585A"/>
          <w:spacing w:val="-10"/>
          <w:sz w:val="20"/>
          <w:szCs w:val="20"/>
        </w:rPr>
        <w:t>Other markets</w:t>
      </w:r>
      <w:r>
        <w:rPr>
          <w:color w:val="57585A"/>
          <w:spacing w:val="-15"/>
          <w:sz w:val="20"/>
          <w:szCs w:val="20"/>
        </w:rPr>
        <w:t xml:space="preserve"> </w:t>
      </w:r>
      <w:r>
        <w:rPr>
          <w:color w:val="57585A"/>
          <w:spacing w:val="-10"/>
          <w:sz w:val="20"/>
          <w:szCs w:val="20"/>
        </w:rPr>
        <w:t>within Latin</w:t>
      </w:r>
      <w:r>
        <w:rPr>
          <w:color w:val="57585A"/>
          <w:spacing w:val="-16"/>
          <w:sz w:val="20"/>
          <w:szCs w:val="20"/>
        </w:rPr>
        <w:t xml:space="preserve"> </w:t>
      </w:r>
      <w:r>
        <w:rPr>
          <w:color w:val="57585A"/>
          <w:spacing w:val="-10"/>
          <w:sz w:val="20"/>
          <w:szCs w:val="20"/>
        </w:rPr>
        <w:t>America are expected to maintain stable refining capacity at 447,000b/d throughou</w:t>
      </w:r>
      <w:r>
        <w:rPr>
          <w:color w:val="57585A"/>
          <w:spacing w:val="-11"/>
          <w:sz w:val="20"/>
          <w:szCs w:val="20"/>
        </w:rPr>
        <w:t>t the forecast period.</w:t>
      </w:r>
      <w:r>
        <w:rPr>
          <w:color w:val="57585A"/>
          <w:sz w:val="20"/>
          <w:szCs w:val="20"/>
        </w:rPr>
        <w:t xml:space="preserve"> </w:t>
      </w:r>
      <w:r>
        <w:rPr>
          <w:color w:val="57585A"/>
          <w:spacing w:val="-10"/>
          <w:sz w:val="20"/>
          <w:szCs w:val="20"/>
        </w:rPr>
        <w:t>However, fuel production in these regions is projected to rise gradually fro</w:t>
      </w:r>
      <w:r>
        <w:rPr>
          <w:color w:val="57585A"/>
          <w:spacing w:val="-11"/>
          <w:sz w:val="20"/>
          <w:szCs w:val="20"/>
        </w:rPr>
        <w:t>m 265,600b/d in 2023 to over 311,100b/d by 2034,</w:t>
      </w:r>
    </w:p>
    <w:p w14:paraId="62E78F26">
      <w:pPr>
        <w:pStyle w:val="4"/>
        <w:spacing w:before="37" w:line="231" w:lineRule="auto"/>
        <w:ind w:left="371"/>
        <w:rPr>
          <w:sz w:val="20"/>
          <w:szCs w:val="20"/>
        </w:rPr>
      </w:pPr>
      <w:r>
        <w:rPr>
          <w:color w:val="57585A"/>
          <w:spacing w:val="-10"/>
          <w:sz w:val="20"/>
          <w:szCs w:val="20"/>
        </w:rPr>
        <w:t xml:space="preserve">indicating modest growth due to incremental improvements and optimisations </w:t>
      </w:r>
      <w:r>
        <w:rPr>
          <w:color w:val="57585A"/>
          <w:spacing w:val="-11"/>
          <w:sz w:val="20"/>
          <w:szCs w:val="20"/>
        </w:rPr>
        <w:t>in existing refinery operations. Overall, Latin</w:t>
      </w:r>
    </w:p>
    <w:p w14:paraId="5810C586">
      <w:pPr>
        <w:pStyle w:val="4"/>
        <w:spacing w:before="59" w:line="273" w:lineRule="auto"/>
        <w:ind w:left="362" w:right="466" w:hanging="3"/>
        <w:rPr>
          <w:sz w:val="20"/>
          <w:szCs w:val="20"/>
        </w:rPr>
      </w:pPr>
      <w:r>
        <w:rPr>
          <w:color w:val="57585A"/>
          <w:spacing w:val="-11"/>
          <w:sz w:val="20"/>
          <w:szCs w:val="20"/>
        </w:rPr>
        <w:t>America's fuel capacity an</w:t>
      </w:r>
      <w:r>
        <w:rPr>
          <w:color w:val="57585A"/>
          <w:spacing w:val="-12"/>
          <w:sz w:val="20"/>
          <w:szCs w:val="20"/>
        </w:rPr>
        <w:t>d production landscape are poised for considerable expansion,</w:t>
      </w:r>
      <w:r>
        <w:rPr>
          <w:color w:val="57585A"/>
          <w:spacing w:val="-16"/>
          <w:sz w:val="20"/>
          <w:szCs w:val="20"/>
        </w:rPr>
        <w:t xml:space="preserve"> </w:t>
      </w:r>
      <w:r>
        <w:rPr>
          <w:color w:val="57585A"/>
          <w:spacing w:val="-12"/>
          <w:sz w:val="20"/>
          <w:szCs w:val="20"/>
        </w:rPr>
        <w:t>with Brazil and Mexico leading the charge</w:t>
      </w:r>
      <w:r>
        <w:rPr>
          <w:color w:val="57585A"/>
          <w:sz w:val="20"/>
          <w:szCs w:val="20"/>
        </w:rPr>
        <w:t xml:space="preserve"> </w:t>
      </w:r>
      <w:r>
        <w:rPr>
          <w:color w:val="57585A"/>
          <w:spacing w:val="-10"/>
          <w:sz w:val="20"/>
          <w:szCs w:val="20"/>
        </w:rPr>
        <w:t>through strategic investments and operational enhancements.</w:t>
      </w:r>
      <w:r>
        <w:rPr>
          <w:color w:val="57585A"/>
          <w:spacing w:val="-15"/>
          <w:sz w:val="20"/>
          <w:szCs w:val="20"/>
        </w:rPr>
        <w:t xml:space="preserve"> </w:t>
      </w:r>
      <w:r>
        <w:rPr>
          <w:color w:val="57585A"/>
          <w:spacing w:val="-10"/>
          <w:sz w:val="20"/>
          <w:szCs w:val="20"/>
        </w:rPr>
        <w:t>This growth</w:t>
      </w:r>
      <w:r>
        <w:rPr>
          <w:color w:val="57585A"/>
          <w:spacing w:val="-15"/>
          <w:sz w:val="20"/>
          <w:szCs w:val="20"/>
        </w:rPr>
        <w:t xml:space="preserve"> </w:t>
      </w:r>
      <w:r>
        <w:rPr>
          <w:color w:val="57585A"/>
          <w:spacing w:val="-10"/>
          <w:sz w:val="20"/>
          <w:szCs w:val="20"/>
        </w:rPr>
        <w:t>will likely enh</w:t>
      </w:r>
      <w:r>
        <w:rPr>
          <w:color w:val="57585A"/>
          <w:spacing w:val="-11"/>
          <w:sz w:val="20"/>
          <w:szCs w:val="20"/>
        </w:rPr>
        <w:t>ance the region's self-sufficiency in fuel</w:t>
      </w:r>
    </w:p>
    <w:p w14:paraId="114D1DC4">
      <w:pPr>
        <w:pStyle w:val="4"/>
        <w:spacing w:before="36" w:line="273" w:lineRule="auto"/>
        <w:ind w:left="367" w:right="382" w:firstLine="5"/>
        <w:rPr>
          <w:sz w:val="20"/>
          <w:szCs w:val="20"/>
        </w:rPr>
      </w:pPr>
      <w:r>
        <w:rPr>
          <w:color w:val="57585A"/>
          <w:spacing w:val="-11"/>
          <w:sz w:val="20"/>
          <w:szCs w:val="20"/>
        </w:rPr>
        <w:t>production and support economic development across Latin</w:t>
      </w:r>
      <w:r>
        <w:rPr>
          <w:color w:val="57585A"/>
          <w:spacing w:val="-5"/>
          <w:sz w:val="20"/>
          <w:szCs w:val="20"/>
        </w:rPr>
        <w:t xml:space="preserve"> </w:t>
      </w:r>
      <w:r>
        <w:rPr>
          <w:color w:val="57585A"/>
          <w:spacing w:val="-11"/>
          <w:sz w:val="20"/>
          <w:szCs w:val="20"/>
        </w:rPr>
        <w:t>American markets.</w:t>
      </w:r>
      <w:r>
        <w:rPr>
          <w:color w:val="57585A"/>
          <w:spacing w:val="-14"/>
          <w:sz w:val="20"/>
          <w:szCs w:val="20"/>
        </w:rPr>
        <w:t xml:space="preserve"> </w:t>
      </w:r>
      <w:r>
        <w:rPr>
          <w:color w:val="57585A"/>
          <w:spacing w:val="-11"/>
          <w:sz w:val="20"/>
          <w:szCs w:val="20"/>
        </w:rPr>
        <w:t>The combined efforts of public and private sectors,</w:t>
      </w:r>
      <w:r>
        <w:rPr>
          <w:color w:val="57585A"/>
          <w:sz w:val="20"/>
          <w:szCs w:val="20"/>
        </w:rPr>
        <w:t xml:space="preserve"> </w:t>
      </w:r>
      <w:r>
        <w:rPr>
          <w:color w:val="57585A"/>
          <w:spacing w:val="-10"/>
          <w:sz w:val="20"/>
          <w:szCs w:val="20"/>
        </w:rPr>
        <w:t>alongside strategic investments and operational enhancements, underline a</w:t>
      </w:r>
      <w:r>
        <w:rPr>
          <w:color w:val="57585A"/>
          <w:spacing w:val="-11"/>
          <w:sz w:val="20"/>
          <w:szCs w:val="20"/>
        </w:rPr>
        <w:t xml:space="preserve"> positive outlook for the downstream sector in Latin</w:t>
      </w:r>
    </w:p>
    <w:p w14:paraId="241DEC74">
      <w:pPr>
        <w:pStyle w:val="4"/>
        <w:spacing w:before="37" w:line="231" w:lineRule="auto"/>
        <w:ind w:left="359"/>
        <w:rPr>
          <w:sz w:val="20"/>
          <w:szCs w:val="20"/>
        </w:rPr>
      </w:pPr>
      <w:r>
        <w:rPr>
          <w:color w:val="57585A"/>
          <w:spacing w:val="-12"/>
          <w:sz w:val="20"/>
          <w:szCs w:val="20"/>
        </w:rPr>
        <w:t>America, despite challenges in sp</w:t>
      </w:r>
      <w:r>
        <w:rPr>
          <w:color w:val="57585A"/>
          <w:spacing w:val="-13"/>
          <w:sz w:val="20"/>
          <w:szCs w:val="20"/>
        </w:rPr>
        <w:t>ecific areas.</w:t>
      </w:r>
    </w:p>
    <w:p w14:paraId="78B5F881">
      <w:pPr>
        <w:pStyle w:val="4"/>
        <w:spacing w:line="284" w:lineRule="auto"/>
      </w:pPr>
    </w:p>
    <w:p w14:paraId="11D1C8AC">
      <w:pPr>
        <w:pStyle w:val="4"/>
        <w:spacing w:before="58" w:line="241" w:lineRule="auto"/>
        <w:ind w:left="368"/>
        <w:rPr>
          <w:sz w:val="20"/>
          <w:szCs w:val="20"/>
        </w:rPr>
      </w:pPr>
      <w:r>
        <w:rPr>
          <w:b/>
          <w:bCs/>
          <w:color w:val="57585A"/>
          <w:spacing w:val="-9"/>
          <w:sz w:val="20"/>
          <w:szCs w:val="20"/>
        </w:rPr>
        <w:t xml:space="preserve">Gas Production: LatinAmerica's Gas Output Poised For Strong Recovery In 2025 </w:t>
      </w:r>
      <w:r>
        <w:rPr>
          <w:b/>
          <w:bCs/>
          <w:color w:val="57585A"/>
          <w:spacing w:val="-10"/>
          <w:sz w:val="20"/>
          <w:szCs w:val="20"/>
        </w:rPr>
        <w:t>Led By</w:t>
      </w:r>
      <w:r>
        <w:rPr>
          <w:b/>
          <w:bCs/>
          <w:color w:val="57585A"/>
          <w:spacing w:val="-16"/>
          <w:sz w:val="20"/>
          <w:szCs w:val="20"/>
        </w:rPr>
        <w:t xml:space="preserve"> </w:t>
      </w:r>
      <w:r>
        <w:rPr>
          <w:b/>
          <w:bCs/>
          <w:color w:val="57585A"/>
          <w:spacing w:val="-10"/>
          <w:sz w:val="20"/>
          <w:szCs w:val="20"/>
        </w:rPr>
        <w:t>Argentina</w:t>
      </w:r>
      <w:r>
        <w:rPr>
          <w:b/>
          <w:bCs/>
          <w:color w:val="57585A"/>
          <w:spacing w:val="-15"/>
          <w:sz w:val="20"/>
          <w:szCs w:val="20"/>
        </w:rPr>
        <w:t xml:space="preserve"> </w:t>
      </w:r>
      <w:r>
        <w:rPr>
          <w:b/>
          <w:bCs/>
          <w:color w:val="57585A"/>
          <w:spacing w:val="-10"/>
          <w:sz w:val="20"/>
          <w:szCs w:val="20"/>
        </w:rPr>
        <w:t>And Brazil</w:t>
      </w:r>
    </w:p>
    <w:p w14:paraId="7192ABC6">
      <w:pPr>
        <w:pStyle w:val="4"/>
        <w:spacing w:line="282" w:lineRule="auto"/>
      </w:pPr>
    </w:p>
    <w:p w14:paraId="22B9992C">
      <w:pPr>
        <w:pStyle w:val="4"/>
        <w:spacing w:before="58" w:line="279" w:lineRule="auto"/>
        <w:ind w:left="359" w:right="393" w:firstLine="16"/>
        <w:rPr>
          <w:sz w:val="20"/>
          <w:szCs w:val="20"/>
        </w:rPr>
      </w:pPr>
      <w:r>
        <w:rPr>
          <w:color w:val="57585A"/>
          <w:spacing w:val="-11"/>
          <w:sz w:val="20"/>
          <w:szCs w:val="20"/>
        </w:rPr>
        <w:t>Latin</w:t>
      </w:r>
      <w:r>
        <w:rPr>
          <w:color w:val="57585A"/>
          <w:spacing w:val="1"/>
          <w:sz w:val="20"/>
          <w:szCs w:val="20"/>
        </w:rPr>
        <w:t xml:space="preserve"> </w:t>
      </w:r>
      <w:r>
        <w:rPr>
          <w:color w:val="57585A"/>
          <w:spacing w:val="-11"/>
          <w:sz w:val="20"/>
          <w:szCs w:val="20"/>
        </w:rPr>
        <w:t>America's natural gas production landscape is poised for significant transformation in the coming</w:t>
      </w:r>
      <w:r>
        <w:rPr>
          <w:color w:val="57585A"/>
          <w:spacing w:val="-16"/>
          <w:sz w:val="20"/>
          <w:szCs w:val="20"/>
        </w:rPr>
        <w:t xml:space="preserve"> </w:t>
      </w:r>
      <w:r>
        <w:rPr>
          <w:color w:val="57585A"/>
          <w:spacing w:val="-11"/>
          <w:sz w:val="20"/>
          <w:szCs w:val="20"/>
        </w:rPr>
        <w:t>years,</w:t>
      </w:r>
      <w:r>
        <w:rPr>
          <w:color w:val="57585A"/>
          <w:spacing w:val="-15"/>
          <w:sz w:val="20"/>
          <w:szCs w:val="20"/>
        </w:rPr>
        <w:t xml:space="preserve"> </w:t>
      </w:r>
      <w:r>
        <w:rPr>
          <w:color w:val="57585A"/>
          <w:spacing w:val="-11"/>
          <w:sz w:val="20"/>
          <w:szCs w:val="20"/>
        </w:rPr>
        <w:t>with a marked upturn</w:t>
      </w:r>
      <w:r>
        <w:rPr>
          <w:color w:val="57585A"/>
          <w:sz w:val="20"/>
          <w:szCs w:val="20"/>
        </w:rPr>
        <w:t xml:space="preserve"> </w:t>
      </w:r>
      <w:r>
        <w:rPr>
          <w:color w:val="57585A"/>
          <w:spacing w:val="-10"/>
          <w:sz w:val="20"/>
          <w:szCs w:val="20"/>
        </w:rPr>
        <w:t>expected in 2025.</w:t>
      </w:r>
      <w:r>
        <w:rPr>
          <w:color w:val="57585A"/>
          <w:spacing w:val="-16"/>
          <w:sz w:val="20"/>
          <w:szCs w:val="20"/>
        </w:rPr>
        <w:t xml:space="preserve"> </w:t>
      </w:r>
      <w:r>
        <w:rPr>
          <w:color w:val="57585A"/>
          <w:spacing w:val="-10"/>
          <w:sz w:val="20"/>
          <w:szCs w:val="20"/>
        </w:rPr>
        <w:t xml:space="preserve">After </w:t>
      </w:r>
      <w:r>
        <w:rPr>
          <w:color w:val="57585A"/>
          <w:spacing w:val="-11"/>
          <w:sz w:val="20"/>
          <w:szCs w:val="20"/>
        </w:rPr>
        <w:t>experiencing a decline of 1.3% in 2024, the region's gas production is forecast to rebound</w:t>
      </w:r>
      <w:r>
        <w:rPr>
          <w:color w:val="57585A"/>
          <w:spacing w:val="-15"/>
          <w:sz w:val="20"/>
          <w:szCs w:val="20"/>
        </w:rPr>
        <w:t xml:space="preserve"> </w:t>
      </w:r>
      <w:r>
        <w:rPr>
          <w:color w:val="57585A"/>
          <w:spacing w:val="-11"/>
          <w:sz w:val="20"/>
          <w:szCs w:val="20"/>
        </w:rPr>
        <w:t>with a robust</w:t>
      </w:r>
      <w:r>
        <w:rPr>
          <w:color w:val="57585A"/>
          <w:spacing w:val="-16"/>
          <w:sz w:val="20"/>
          <w:szCs w:val="20"/>
        </w:rPr>
        <w:t xml:space="preserve"> </w:t>
      </w:r>
      <w:r>
        <w:rPr>
          <w:color w:val="57585A"/>
          <w:spacing w:val="-11"/>
          <w:sz w:val="20"/>
          <w:szCs w:val="20"/>
        </w:rPr>
        <w:t>y-o-</w:t>
      </w:r>
      <w:r>
        <w:rPr>
          <w:color w:val="57585A"/>
          <w:sz w:val="20"/>
          <w:szCs w:val="20"/>
        </w:rPr>
        <w:t xml:space="preserve"> </w:t>
      </w:r>
      <w:r>
        <w:rPr>
          <w:color w:val="57585A"/>
          <w:spacing w:val="-11"/>
          <w:sz w:val="20"/>
          <w:szCs w:val="20"/>
        </w:rPr>
        <w:t>y growth rate of</w:t>
      </w:r>
      <w:r>
        <w:rPr>
          <w:color w:val="57585A"/>
          <w:spacing w:val="-9"/>
          <w:sz w:val="20"/>
          <w:szCs w:val="20"/>
        </w:rPr>
        <w:t xml:space="preserve"> </w:t>
      </w:r>
      <w:r>
        <w:rPr>
          <w:color w:val="57585A"/>
          <w:spacing w:val="-11"/>
          <w:sz w:val="20"/>
          <w:szCs w:val="20"/>
        </w:rPr>
        <w:t>4.1% in 2025, increasing total dry natural gas output to 179.9bcm. This resurgence</w:t>
      </w:r>
      <w:r>
        <w:rPr>
          <w:color w:val="57585A"/>
          <w:spacing w:val="-16"/>
          <w:sz w:val="20"/>
          <w:szCs w:val="20"/>
        </w:rPr>
        <w:t xml:space="preserve"> </w:t>
      </w:r>
      <w:r>
        <w:rPr>
          <w:color w:val="57585A"/>
          <w:spacing w:val="-11"/>
          <w:sz w:val="20"/>
          <w:szCs w:val="20"/>
        </w:rPr>
        <w:t>will be largely driven by</w:t>
      </w:r>
    </w:p>
    <w:p w14:paraId="355C9FF2">
      <w:pPr>
        <w:pStyle w:val="4"/>
        <w:spacing w:before="37" w:line="231" w:lineRule="auto"/>
        <w:ind w:left="359"/>
        <w:rPr>
          <w:sz w:val="20"/>
          <w:szCs w:val="20"/>
        </w:rPr>
      </w:pPr>
      <w:r>
        <w:rPr>
          <w:color w:val="57585A"/>
          <w:spacing w:val="-11"/>
          <w:sz w:val="20"/>
          <w:szCs w:val="20"/>
        </w:rPr>
        <w:t>Argentina and Brazil, both of</w:t>
      </w:r>
      <w:r>
        <w:rPr>
          <w:color w:val="57585A"/>
          <w:spacing w:val="-25"/>
          <w:sz w:val="20"/>
          <w:szCs w:val="20"/>
        </w:rPr>
        <w:t xml:space="preserve"> </w:t>
      </w:r>
      <w:r>
        <w:rPr>
          <w:color w:val="57585A"/>
          <w:spacing w:val="-11"/>
          <w:sz w:val="20"/>
          <w:szCs w:val="20"/>
        </w:rPr>
        <w:t>which are set to play pivotal roles in bolstering regional</w:t>
      </w:r>
      <w:r>
        <w:rPr>
          <w:color w:val="57585A"/>
          <w:spacing w:val="-12"/>
          <w:sz w:val="20"/>
          <w:szCs w:val="20"/>
        </w:rPr>
        <w:t xml:space="preserve"> gas supplies.</w:t>
      </w:r>
    </w:p>
    <w:p w14:paraId="220EE3B0">
      <w:pPr>
        <w:spacing w:line="231" w:lineRule="auto"/>
        <w:rPr>
          <w:sz w:val="20"/>
          <w:szCs w:val="20"/>
        </w:rPr>
        <w:sectPr>
          <w:footerReference r:id="rId89" w:type="default"/>
          <w:pgSz w:w="11906" w:h="16838"/>
          <w:pgMar w:top="400" w:right="490" w:bottom="883" w:left="490" w:header="0" w:footer="0" w:gutter="0"/>
          <w:cols w:space="720" w:num="1"/>
        </w:sectPr>
      </w:pPr>
    </w:p>
    <w:p w14:paraId="378C6EA3">
      <w:pPr>
        <w:pStyle w:val="4"/>
        <w:spacing w:before="73" w:line="241" w:lineRule="auto"/>
        <w:ind w:left="7372"/>
        <w:rPr>
          <w:sz w:val="20"/>
          <w:szCs w:val="20"/>
        </w:rPr>
      </w:pPr>
      <w:r>
        <w:drawing>
          <wp:anchor distT="0" distB="0" distL="0" distR="0" simplePos="0" relativeHeight="25197670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77728" behindDoc="0" locked="0" layoutInCell="0" allowOverlap="1">
            <wp:simplePos x="0" y="0"/>
            <wp:positionH relativeFrom="page">
              <wp:posOffset>311150</wp:posOffset>
            </wp:positionH>
            <wp:positionV relativeFrom="page">
              <wp:posOffset>0</wp:posOffset>
            </wp:positionV>
            <wp:extent cx="19050" cy="814070"/>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B1A209A">
      <w:pPr>
        <w:pStyle w:val="4"/>
        <w:spacing w:line="278" w:lineRule="auto"/>
      </w:pPr>
    </w:p>
    <w:p w14:paraId="1C69AE1C">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3449156">
      <w:pPr>
        <w:pStyle w:val="4"/>
        <w:spacing w:line="437" w:lineRule="auto"/>
      </w:pPr>
    </w:p>
    <w:p w14:paraId="166962E3">
      <w:pPr>
        <w:pStyle w:val="4"/>
        <w:spacing w:before="69" w:line="234" w:lineRule="auto"/>
        <w:ind w:left="2267"/>
        <w:outlineLvl w:val="1"/>
        <w:rPr>
          <w:sz w:val="24"/>
          <w:szCs w:val="24"/>
        </w:rPr>
      </w:pPr>
      <w:r>
        <w:rPr>
          <w:color w:val="174174"/>
          <w:spacing w:val="-11"/>
          <w:sz w:val="24"/>
          <w:szCs w:val="24"/>
        </w:rPr>
        <w:t>Argentina Functions</w:t>
      </w:r>
      <w:r>
        <w:rPr>
          <w:color w:val="174174"/>
          <w:spacing w:val="-10"/>
          <w:sz w:val="24"/>
          <w:szCs w:val="24"/>
        </w:rPr>
        <w:t xml:space="preserve"> </w:t>
      </w:r>
      <w:r>
        <w:rPr>
          <w:color w:val="174174"/>
          <w:spacing w:val="-11"/>
          <w:sz w:val="24"/>
          <w:szCs w:val="24"/>
        </w:rPr>
        <w:t>As The Largest Gas Production Hub In LatAm</w:t>
      </w:r>
    </w:p>
    <w:p w14:paraId="4F54440E">
      <w:pPr>
        <w:pStyle w:val="4"/>
        <w:spacing w:before="32" w:line="231" w:lineRule="auto"/>
        <w:ind w:left="3371"/>
        <w:outlineLvl w:val="1"/>
        <w:rPr>
          <w:sz w:val="20"/>
          <w:szCs w:val="20"/>
        </w:rPr>
      </w:pPr>
      <w:r>
        <w:rPr>
          <w:color w:val="333333"/>
          <w:spacing w:val="-12"/>
          <w:sz w:val="20"/>
          <w:szCs w:val="20"/>
        </w:rPr>
        <w:t>LatAm - Dry Natural Gas Product</w:t>
      </w:r>
      <w:r>
        <w:rPr>
          <w:color w:val="333333"/>
          <w:spacing w:val="-13"/>
          <w:sz w:val="20"/>
          <w:szCs w:val="20"/>
        </w:rPr>
        <w:t>ion, bcm (2023-2034)</w:t>
      </w:r>
    </w:p>
    <w:p w14:paraId="58849A8D">
      <w:pPr>
        <w:spacing w:before="96" w:line="4500" w:lineRule="exact"/>
        <w:ind w:firstLine="1862"/>
      </w:pPr>
      <w:r>
        <w:rPr>
          <w:position w:val="-89"/>
        </w:rPr>
        <w:drawing>
          <wp:inline distT="0" distB="0" distL="0" distR="0">
            <wp:extent cx="4572000" cy="2856865"/>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155"/>
                    <a:stretch>
                      <a:fillRect/>
                    </a:stretch>
                  </pic:blipFill>
                  <pic:spPr>
                    <a:xfrm>
                      <a:off x="0" y="0"/>
                      <a:ext cx="4572000" cy="2857499"/>
                    </a:xfrm>
                    <a:prstGeom prst="rect">
                      <a:avLst/>
                    </a:prstGeom>
                  </pic:spPr>
                </pic:pic>
              </a:graphicData>
            </a:graphic>
          </wp:inline>
        </w:drawing>
      </w:r>
    </w:p>
    <w:p w14:paraId="2D020CC3">
      <w:pPr>
        <w:pStyle w:val="4"/>
        <w:spacing w:before="149" w:line="197" w:lineRule="exact"/>
        <w:ind w:left="1876"/>
        <w:rPr>
          <w:sz w:val="15"/>
          <w:szCs w:val="15"/>
        </w:rPr>
      </w:pPr>
      <w:r>
        <w:drawing>
          <wp:anchor distT="0" distB="0" distL="0" distR="0" simplePos="0" relativeHeight="251975680"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9"/>
          <w:position w:val="1"/>
          <w:sz w:val="15"/>
          <w:szCs w:val="15"/>
        </w:rPr>
        <w:t xml:space="preserve"> </w:t>
      </w:r>
      <w:r>
        <w:rPr>
          <w:i/>
          <w:iCs/>
          <w:color w:val="333333"/>
          <w:spacing w:val="-3"/>
          <w:w w:val="93"/>
          <w:position w:val="1"/>
          <w:sz w:val="15"/>
          <w:szCs w:val="15"/>
        </w:rPr>
        <w:t>= estimate/forecast. Source: BMI</w:t>
      </w:r>
    </w:p>
    <w:p w14:paraId="4D855F1A">
      <w:pPr>
        <w:pStyle w:val="4"/>
        <w:spacing w:line="338" w:lineRule="auto"/>
      </w:pPr>
    </w:p>
    <w:p w14:paraId="38B530C4">
      <w:pPr>
        <w:pStyle w:val="4"/>
        <w:spacing w:before="58" w:line="231" w:lineRule="auto"/>
        <w:ind w:left="359"/>
        <w:rPr>
          <w:sz w:val="20"/>
          <w:szCs w:val="20"/>
        </w:rPr>
      </w:pPr>
      <w:r>
        <w:rPr>
          <w:color w:val="57585A"/>
          <w:spacing w:val="-10"/>
          <w:sz w:val="20"/>
          <w:szCs w:val="20"/>
        </w:rPr>
        <w:t>Argentina stands out</w:t>
      </w:r>
      <w:r>
        <w:rPr>
          <w:color w:val="57585A"/>
          <w:spacing w:val="-8"/>
          <w:sz w:val="20"/>
          <w:szCs w:val="20"/>
        </w:rPr>
        <w:t xml:space="preserve"> </w:t>
      </w:r>
      <w:r>
        <w:rPr>
          <w:color w:val="57585A"/>
          <w:spacing w:val="-10"/>
          <w:sz w:val="20"/>
          <w:szCs w:val="20"/>
        </w:rPr>
        <w:t>with its optimistic gas production outlook, fueled by substantial infrastructure advancements and the</w:t>
      </w:r>
    </w:p>
    <w:p w14:paraId="0B1ED690">
      <w:pPr>
        <w:pStyle w:val="4"/>
        <w:spacing w:before="59" w:line="273" w:lineRule="auto"/>
        <w:ind w:left="360" w:right="564" w:firstLine="8"/>
        <w:rPr>
          <w:sz w:val="20"/>
          <w:szCs w:val="20"/>
        </w:rPr>
      </w:pPr>
      <w:r>
        <w:rPr>
          <w:color w:val="57585A"/>
          <w:spacing w:val="-11"/>
          <w:sz w:val="20"/>
          <w:szCs w:val="20"/>
        </w:rPr>
        <w:t>expansion of unconventional output. In 2025, the country's gas production is expected to surge by 7.6%</w:t>
      </w:r>
      <w:r>
        <w:rPr>
          <w:color w:val="57585A"/>
          <w:spacing w:val="-16"/>
          <w:sz w:val="20"/>
          <w:szCs w:val="20"/>
        </w:rPr>
        <w:t xml:space="preserve"> </w:t>
      </w:r>
      <w:r>
        <w:rPr>
          <w:color w:val="57585A"/>
          <w:spacing w:val="-11"/>
          <w:sz w:val="20"/>
          <w:szCs w:val="20"/>
        </w:rPr>
        <w:t>y-o</w:t>
      </w:r>
      <w:r>
        <w:rPr>
          <w:color w:val="57585A"/>
          <w:spacing w:val="-12"/>
          <w:sz w:val="20"/>
          <w:szCs w:val="20"/>
        </w:rPr>
        <w:t>-y, reaching 48.9bcm.</w:t>
      </w:r>
      <w:r>
        <w:rPr>
          <w:color w:val="57585A"/>
          <w:sz w:val="20"/>
          <w:szCs w:val="20"/>
        </w:rPr>
        <w:t xml:space="preserve"> </w:t>
      </w:r>
      <w:r>
        <w:rPr>
          <w:color w:val="57585A"/>
          <w:spacing w:val="-11"/>
          <w:sz w:val="20"/>
          <w:szCs w:val="20"/>
        </w:rPr>
        <w:t>This growth is supported by key projects like the Northern Pipeline Reversal,</w:t>
      </w:r>
      <w:r>
        <w:rPr>
          <w:color w:val="57585A"/>
          <w:spacing w:val="-16"/>
          <w:sz w:val="20"/>
          <w:szCs w:val="20"/>
        </w:rPr>
        <w:t xml:space="preserve"> </w:t>
      </w:r>
      <w:r>
        <w:rPr>
          <w:color w:val="57585A"/>
          <w:spacing w:val="-11"/>
          <w:sz w:val="20"/>
          <w:szCs w:val="20"/>
        </w:rPr>
        <w:t>which</w:t>
      </w:r>
      <w:r>
        <w:rPr>
          <w:color w:val="57585A"/>
          <w:spacing w:val="-15"/>
          <w:sz w:val="20"/>
          <w:szCs w:val="20"/>
        </w:rPr>
        <w:t xml:space="preserve"> </w:t>
      </w:r>
      <w:r>
        <w:rPr>
          <w:color w:val="57585A"/>
          <w:spacing w:val="-11"/>
          <w:sz w:val="20"/>
          <w:szCs w:val="20"/>
        </w:rPr>
        <w:t>will enabl</w:t>
      </w:r>
      <w:r>
        <w:rPr>
          <w:color w:val="57585A"/>
          <w:spacing w:val="-12"/>
          <w:sz w:val="20"/>
          <w:szCs w:val="20"/>
        </w:rPr>
        <w:t>e</w:t>
      </w:r>
      <w:r>
        <w:rPr>
          <w:color w:val="57585A"/>
          <w:spacing w:val="-16"/>
          <w:sz w:val="20"/>
          <w:szCs w:val="20"/>
        </w:rPr>
        <w:t xml:space="preserve"> </w:t>
      </w:r>
      <w:r>
        <w:rPr>
          <w:color w:val="57585A"/>
          <w:spacing w:val="-12"/>
          <w:sz w:val="20"/>
          <w:szCs w:val="20"/>
        </w:rPr>
        <w:t>Argentina to reduce</w:t>
      </w:r>
      <w:r>
        <w:rPr>
          <w:color w:val="57585A"/>
          <w:spacing w:val="-2"/>
          <w:sz w:val="20"/>
          <w:szCs w:val="20"/>
        </w:rPr>
        <w:t xml:space="preserve"> </w:t>
      </w:r>
      <w:r>
        <w:rPr>
          <w:color w:val="57585A"/>
          <w:spacing w:val="-12"/>
          <w:sz w:val="20"/>
          <w:szCs w:val="20"/>
        </w:rPr>
        <w:t>reliance on</w:t>
      </w:r>
    </w:p>
    <w:p w14:paraId="22009116">
      <w:pPr>
        <w:pStyle w:val="4"/>
        <w:spacing w:before="37" w:line="273" w:lineRule="auto"/>
        <w:ind w:left="363" w:right="716" w:firstLine="8"/>
        <w:rPr>
          <w:sz w:val="20"/>
          <w:szCs w:val="20"/>
        </w:rPr>
      </w:pPr>
      <w:r>
        <w:rPr>
          <w:color w:val="57585A"/>
          <w:spacing w:val="-10"/>
          <w:sz w:val="20"/>
          <w:szCs w:val="20"/>
        </w:rPr>
        <w:t>imports by supplying its northern provinces</w:t>
      </w:r>
      <w:r>
        <w:rPr>
          <w:color w:val="57585A"/>
          <w:spacing w:val="-16"/>
          <w:sz w:val="20"/>
          <w:szCs w:val="20"/>
        </w:rPr>
        <w:t xml:space="preserve"> </w:t>
      </w:r>
      <w:r>
        <w:rPr>
          <w:color w:val="57585A"/>
          <w:spacing w:val="-10"/>
          <w:sz w:val="20"/>
          <w:szCs w:val="20"/>
        </w:rPr>
        <w:t>with domestic gas. The co</w:t>
      </w:r>
      <w:r>
        <w:rPr>
          <w:color w:val="57585A"/>
          <w:spacing w:val="-11"/>
          <w:sz w:val="20"/>
          <w:szCs w:val="20"/>
        </w:rPr>
        <w:t>mpletion of</w:t>
      </w:r>
      <w:r>
        <w:rPr>
          <w:color w:val="57585A"/>
          <w:spacing w:val="-21"/>
          <w:sz w:val="20"/>
          <w:szCs w:val="20"/>
        </w:rPr>
        <w:t xml:space="preserve"> </w:t>
      </w:r>
      <w:r>
        <w:rPr>
          <w:color w:val="57585A"/>
          <w:spacing w:val="-11"/>
          <w:sz w:val="20"/>
          <w:szCs w:val="20"/>
        </w:rPr>
        <w:t>the offshore Fénix project,</w:t>
      </w:r>
      <w:r>
        <w:rPr>
          <w:color w:val="57585A"/>
          <w:spacing w:val="-15"/>
          <w:sz w:val="20"/>
          <w:szCs w:val="20"/>
        </w:rPr>
        <w:t xml:space="preserve"> </w:t>
      </w:r>
      <w:r>
        <w:rPr>
          <w:color w:val="57585A"/>
          <w:spacing w:val="-11"/>
          <w:sz w:val="20"/>
          <w:szCs w:val="20"/>
        </w:rPr>
        <w:t>with its low carbon</w:t>
      </w:r>
      <w:r>
        <w:rPr>
          <w:color w:val="57585A"/>
          <w:sz w:val="20"/>
          <w:szCs w:val="20"/>
        </w:rPr>
        <w:t xml:space="preserve"> </w:t>
      </w:r>
      <w:r>
        <w:rPr>
          <w:color w:val="57585A"/>
          <w:spacing w:val="-9"/>
          <w:sz w:val="20"/>
          <w:szCs w:val="20"/>
        </w:rPr>
        <w:t>footprint and significant production c</w:t>
      </w:r>
      <w:r>
        <w:rPr>
          <w:color w:val="57585A"/>
          <w:spacing w:val="-10"/>
          <w:sz w:val="20"/>
          <w:szCs w:val="20"/>
        </w:rPr>
        <w:t>apacity, further enhances</w:t>
      </w:r>
      <w:r>
        <w:rPr>
          <w:color w:val="57585A"/>
          <w:spacing w:val="-16"/>
          <w:sz w:val="20"/>
          <w:szCs w:val="20"/>
        </w:rPr>
        <w:t xml:space="preserve"> </w:t>
      </w:r>
      <w:r>
        <w:rPr>
          <w:color w:val="57585A"/>
          <w:spacing w:val="-10"/>
          <w:sz w:val="20"/>
          <w:szCs w:val="20"/>
        </w:rPr>
        <w:t>Argentina's bullish production forecast.</w:t>
      </w:r>
    </w:p>
    <w:p w14:paraId="16839DE3">
      <w:pPr>
        <w:pStyle w:val="4"/>
        <w:spacing w:line="265" w:lineRule="auto"/>
      </w:pPr>
    </w:p>
    <w:p w14:paraId="55B577AD">
      <w:pPr>
        <w:pStyle w:val="4"/>
        <w:spacing w:before="58" w:line="273" w:lineRule="auto"/>
        <w:ind w:left="359" w:right="513" w:firstLine="16"/>
        <w:rPr>
          <w:sz w:val="20"/>
          <w:szCs w:val="20"/>
        </w:rPr>
      </w:pPr>
      <w:r>
        <w:rPr>
          <w:color w:val="57585A"/>
          <w:spacing w:val="-11"/>
          <w:sz w:val="20"/>
          <w:szCs w:val="20"/>
        </w:rPr>
        <w:t>Despite challenges, such as potential delays in the Néstor Kirc</w:t>
      </w:r>
      <w:r>
        <w:rPr>
          <w:color w:val="57585A"/>
          <w:spacing w:val="-12"/>
          <w:sz w:val="20"/>
          <w:szCs w:val="20"/>
        </w:rPr>
        <w:t>hner Stage 2 pipeline expansion due to limited government support,</w:t>
      </w:r>
      <w:r>
        <w:rPr>
          <w:color w:val="57585A"/>
          <w:sz w:val="20"/>
          <w:szCs w:val="20"/>
        </w:rPr>
        <w:t xml:space="preserve"> </w:t>
      </w:r>
      <w:r>
        <w:rPr>
          <w:color w:val="57585A"/>
          <w:spacing w:val="-10"/>
          <w:sz w:val="20"/>
          <w:szCs w:val="20"/>
        </w:rPr>
        <w:t>Argentina's long-term outlook remains promising. Un</w:t>
      </w:r>
      <w:r>
        <w:rPr>
          <w:color w:val="57585A"/>
          <w:spacing w:val="-11"/>
          <w:sz w:val="20"/>
          <w:szCs w:val="20"/>
        </w:rPr>
        <w:t>conventional gas production, particularly from the Vaca Muerta shale</w:t>
      </w:r>
    </w:p>
    <w:p w14:paraId="13AE85DB">
      <w:pPr>
        <w:pStyle w:val="4"/>
        <w:spacing w:before="37" w:line="273" w:lineRule="auto"/>
        <w:ind w:left="373" w:right="524" w:hanging="10"/>
        <w:rPr>
          <w:sz w:val="20"/>
          <w:szCs w:val="20"/>
        </w:rPr>
      </w:pPr>
      <w:r>
        <w:rPr>
          <w:color w:val="57585A"/>
          <w:spacing w:val="-11"/>
          <w:sz w:val="20"/>
          <w:szCs w:val="20"/>
        </w:rPr>
        <w:t>formation, is expected to drive growth,</w:t>
      </w:r>
      <w:r>
        <w:rPr>
          <w:color w:val="57585A"/>
          <w:spacing w:val="-15"/>
          <w:sz w:val="20"/>
          <w:szCs w:val="20"/>
        </w:rPr>
        <w:t xml:space="preserve"> </w:t>
      </w:r>
      <w:r>
        <w:rPr>
          <w:color w:val="57585A"/>
          <w:spacing w:val="-11"/>
          <w:sz w:val="20"/>
          <w:szCs w:val="20"/>
        </w:rPr>
        <w:t>with forecasts indicating a 3.9% annual average growth rate through 2034. The prospect</w:t>
      </w:r>
      <w:r>
        <w:rPr>
          <w:color w:val="57585A"/>
          <w:spacing w:val="-12"/>
          <w:sz w:val="20"/>
          <w:szCs w:val="20"/>
        </w:rPr>
        <w:t xml:space="preserve"> of</w:t>
      </w:r>
      <w:r>
        <w:rPr>
          <w:color w:val="57585A"/>
          <w:sz w:val="20"/>
          <w:szCs w:val="20"/>
        </w:rPr>
        <w:t xml:space="preserve"> </w:t>
      </w:r>
      <w:r>
        <w:rPr>
          <w:color w:val="57585A"/>
          <w:spacing w:val="-11"/>
          <w:sz w:val="20"/>
          <w:szCs w:val="20"/>
        </w:rPr>
        <w:t>large-scale LNG export projects could further solidify</w:t>
      </w:r>
      <w:r>
        <w:rPr>
          <w:color w:val="57585A"/>
          <w:spacing w:val="-16"/>
          <w:sz w:val="20"/>
          <w:szCs w:val="20"/>
        </w:rPr>
        <w:t xml:space="preserve"> </w:t>
      </w:r>
      <w:r>
        <w:rPr>
          <w:color w:val="57585A"/>
          <w:spacing w:val="-11"/>
          <w:sz w:val="20"/>
          <w:szCs w:val="20"/>
        </w:rPr>
        <w:t>Argentina's position as a major gas expor</w:t>
      </w:r>
      <w:r>
        <w:rPr>
          <w:color w:val="57585A"/>
          <w:spacing w:val="-12"/>
          <w:sz w:val="20"/>
          <w:szCs w:val="20"/>
        </w:rPr>
        <w:t>ter in the region.</w:t>
      </w:r>
    </w:p>
    <w:p w14:paraId="46CA2FF7">
      <w:pPr>
        <w:pStyle w:val="4"/>
        <w:spacing w:line="265" w:lineRule="auto"/>
      </w:pPr>
    </w:p>
    <w:p w14:paraId="013A99B1">
      <w:pPr>
        <w:pStyle w:val="4"/>
        <w:spacing w:before="58" w:line="231" w:lineRule="auto"/>
        <w:ind w:left="376"/>
        <w:rPr>
          <w:sz w:val="20"/>
          <w:szCs w:val="20"/>
        </w:rPr>
      </w:pPr>
      <w:r>
        <w:rPr>
          <w:color w:val="57585A"/>
          <w:spacing w:val="-11"/>
          <w:sz w:val="20"/>
          <w:szCs w:val="20"/>
        </w:rPr>
        <w:t>Brazil's natural gas production prospects are equally robust, buoyed by the commencement of</w:t>
      </w:r>
      <w:r>
        <w:rPr>
          <w:color w:val="57585A"/>
          <w:spacing w:val="-21"/>
          <w:sz w:val="20"/>
          <w:szCs w:val="20"/>
        </w:rPr>
        <w:t xml:space="preserve"> </w:t>
      </w:r>
      <w:r>
        <w:rPr>
          <w:color w:val="57585A"/>
          <w:spacing w:val="-11"/>
          <w:sz w:val="20"/>
          <w:szCs w:val="20"/>
        </w:rPr>
        <w:t>the Rota 3 pipelin</w:t>
      </w:r>
      <w:r>
        <w:rPr>
          <w:color w:val="57585A"/>
          <w:spacing w:val="-12"/>
          <w:sz w:val="20"/>
          <w:szCs w:val="20"/>
        </w:rPr>
        <w:t>e,</w:t>
      </w:r>
      <w:r>
        <w:rPr>
          <w:color w:val="57585A"/>
          <w:spacing w:val="-16"/>
          <w:sz w:val="20"/>
          <w:szCs w:val="20"/>
        </w:rPr>
        <w:t xml:space="preserve"> </w:t>
      </w:r>
      <w:r>
        <w:rPr>
          <w:color w:val="57585A"/>
          <w:spacing w:val="-12"/>
          <w:sz w:val="20"/>
          <w:szCs w:val="20"/>
        </w:rPr>
        <w:t>which began</w:t>
      </w:r>
    </w:p>
    <w:p w14:paraId="11342160">
      <w:pPr>
        <w:pStyle w:val="4"/>
        <w:spacing w:before="59" w:line="280" w:lineRule="auto"/>
        <w:ind w:left="369" w:right="481"/>
        <w:rPr>
          <w:sz w:val="20"/>
          <w:szCs w:val="20"/>
        </w:rPr>
      </w:pPr>
      <w:r>
        <w:rPr>
          <w:color w:val="57585A"/>
          <w:spacing w:val="-11"/>
          <w:sz w:val="20"/>
          <w:szCs w:val="20"/>
        </w:rPr>
        <w:t>operations in late 2024. This develo</w:t>
      </w:r>
      <w:r>
        <w:rPr>
          <w:color w:val="57585A"/>
          <w:spacing w:val="-12"/>
          <w:sz w:val="20"/>
          <w:szCs w:val="20"/>
        </w:rPr>
        <w:t>pment is set to increase marketable gas output by 11.9%</w:t>
      </w:r>
      <w:r>
        <w:rPr>
          <w:color w:val="57585A"/>
          <w:spacing w:val="-16"/>
          <w:sz w:val="20"/>
          <w:szCs w:val="20"/>
        </w:rPr>
        <w:t xml:space="preserve"> </w:t>
      </w:r>
      <w:r>
        <w:rPr>
          <w:color w:val="57585A"/>
          <w:spacing w:val="-12"/>
          <w:sz w:val="20"/>
          <w:szCs w:val="20"/>
        </w:rPr>
        <w:t>y-o-y in 2025, reaching</w:t>
      </w:r>
      <w:r>
        <w:rPr>
          <w:color w:val="57585A"/>
          <w:spacing w:val="2"/>
          <w:sz w:val="20"/>
          <w:szCs w:val="20"/>
        </w:rPr>
        <w:t xml:space="preserve"> </w:t>
      </w:r>
      <w:r>
        <w:rPr>
          <w:color w:val="57585A"/>
          <w:spacing w:val="-12"/>
          <w:sz w:val="20"/>
          <w:szCs w:val="20"/>
        </w:rPr>
        <w:t>18.9bcm. The</w:t>
      </w:r>
      <w:r>
        <w:rPr>
          <w:color w:val="57585A"/>
          <w:sz w:val="20"/>
          <w:szCs w:val="20"/>
        </w:rPr>
        <w:t xml:space="preserve"> </w:t>
      </w:r>
      <w:r>
        <w:rPr>
          <w:color w:val="57585A"/>
          <w:spacing w:val="-11"/>
          <w:sz w:val="20"/>
          <w:szCs w:val="20"/>
        </w:rPr>
        <w:t>Rota 3 pipeline is pivotal in unlocking new supplies from the Tupi field in the Santos Basin and facilitating the transport of</w:t>
      </w:r>
      <w:r>
        <w:rPr>
          <w:color w:val="57585A"/>
          <w:spacing w:val="-15"/>
          <w:sz w:val="20"/>
          <w:szCs w:val="20"/>
        </w:rPr>
        <w:t xml:space="preserve"> </w:t>
      </w:r>
      <w:r>
        <w:rPr>
          <w:color w:val="57585A"/>
          <w:spacing w:val="-11"/>
          <w:sz w:val="20"/>
          <w:szCs w:val="20"/>
        </w:rPr>
        <w:t>gas from</w:t>
      </w:r>
      <w:r>
        <w:rPr>
          <w:color w:val="57585A"/>
          <w:sz w:val="20"/>
          <w:szCs w:val="20"/>
        </w:rPr>
        <w:t xml:space="preserve"> </w:t>
      </w:r>
      <w:r>
        <w:rPr>
          <w:color w:val="57585A"/>
          <w:spacing w:val="-15"/>
          <w:sz w:val="20"/>
          <w:szCs w:val="20"/>
        </w:rPr>
        <w:t>Campos Basin fields.</w:t>
      </w:r>
    </w:p>
    <w:p w14:paraId="3C5A54AB">
      <w:pPr>
        <w:pStyle w:val="4"/>
        <w:spacing w:line="263" w:lineRule="auto"/>
      </w:pPr>
    </w:p>
    <w:p w14:paraId="35A28A38">
      <w:pPr>
        <w:pStyle w:val="4"/>
        <w:spacing w:before="58" w:line="273" w:lineRule="auto"/>
        <w:ind w:left="373" w:right="450" w:firstLine="2"/>
        <w:rPr>
          <w:sz w:val="20"/>
          <w:szCs w:val="20"/>
        </w:rPr>
      </w:pPr>
      <w:r>
        <w:rPr>
          <w:color w:val="57585A"/>
          <w:spacing w:val="-10"/>
          <w:sz w:val="20"/>
          <w:szCs w:val="20"/>
        </w:rPr>
        <w:t>Despite a temporary production decline in 2024 due to high reinjection rates and disruptions,</w:t>
      </w:r>
      <w:r>
        <w:rPr>
          <w:color w:val="57585A"/>
          <w:spacing w:val="-11"/>
          <w:sz w:val="20"/>
          <w:szCs w:val="20"/>
        </w:rPr>
        <w:t xml:space="preserve"> Brazil's long-term growth projections</w:t>
      </w:r>
      <w:r>
        <w:rPr>
          <w:color w:val="57585A"/>
          <w:sz w:val="20"/>
          <w:szCs w:val="20"/>
        </w:rPr>
        <w:t xml:space="preserve"> </w:t>
      </w:r>
      <w:r>
        <w:rPr>
          <w:color w:val="57585A"/>
          <w:spacing w:val="-11"/>
          <w:sz w:val="20"/>
          <w:szCs w:val="20"/>
        </w:rPr>
        <w:t>remain strong. Initiatives such as the BM-C-33 offshore project, expected to add significant capacity by 2028,</w:t>
      </w:r>
      <w:r>
        <w:rPr>
          <w:color w:val="57585A"/>
          <w:spacing w:val="-16"/>
          <w:sz w:val="20"/>
          <w:szCs w:val="20"/>
        </w:rPr>
        <w:t xml:space="preserve"> </w:t>
      </w:r>
      <w:r>
        <w:rPr>
          <w:color w:val="57585A"/>
          <w:spacing w:val="-11"/>
          <w:sz w:val="20"/>
          <w:szCs w:val="20"/>
        </w:rPr>
        <w:t>will support</w:t>
      </w:r>
      <w:r>
        <w:rPr>
          <w:color w:val="57585A"/>
          <w:spacing w:val="-12"/>
          <w:sz w:val="20"/>
          <w:szCs w:val="20"/>
        </w:rPr>
        <w:t xml:space="preserve"> this</w:t>
      </w:r>
    </w:p>
    <w:p w14:paraId="30FB2B19">
      <w:pPr>
        <w:pStyle w:val="4"/>
        <w:spacing w:before="37" w:line="273" w:lineRule="auto"/>
        <w:ind w:left="371" w:right="1126" w:hanging="8"/>
        <w:rPr>
          <w:sz w:val="20"/>
          <w:szCs w:val="20"/>
        </w:rPr>
      </w:pPr>
      <w:r>
        <w:rPr>
          <w:color w:val="57585A"/>
          <w:spacing w:val="-11"/>
          <w:sz w:val="20"/>
          <w:szCs w:val="20"/>
        </w:rPr>
        <w:t>trajectory. However, challenges persist, particularly regarding the high CO2 content in gas from</w:t>
      </w:r>
      <w:r>
        <w:rPr>
          <w:color w:val="57585A"/>
          <w:spacing w:val="-12"/>
          <w:sz w:val="20"/>
          <w:szCs w:val="20"/>
        </w:rPr>
        <w:t xml:space="preserve"> pre-salt fields and potential</w:t>
      </w:r>
      <w:r>
        <w:rPr>
          <w:color w:val="57585A"/>
          <w:sz w:val="20"/>
          <w:szCs w:val="20"/>
        </w:rPr>
        <w:t xml:space="preserve"> </w:t>
      </w:r>
      <w:r>
        <w:rPr>
          <w:color w:val="57585A"/>
          <w:spacing w:val="-9"/>
          <w:sz w:val="20"/>
          <w:szCs w:val="20"/>
        </w:rPr>
        <w:t>impediments to private sect</w:t>
      </w:r>
      <w:r>
        <w:rPr>
          <w:color w:val="57585A"/>
          <w:spacing w:val="-10"/>
          <w:sz w:val="20"/>
          <w:szCs w:val="20"/>
        </w:rPr>
        <w:t>or investment under current government policies.</w:t>
      </w:r>
    </w:p>
    <w:p w14:paraId="11F170F2">
      <w:pPr>
        <w:pStyle w:val="4"/>
        <w:spacing w:line="265" w:lineRule="auto"/>
      </w:pPr>
    </w:p>
    <w:p w14:paraId="6DA80A43">
      <w:pPr>
        <w:pStyle w:val="4"/>
        <w:spacing w:before="58" w:line="273" w:lineRule="auto"/>
        <w:ind w:left="369" w:right="677" w:firstLine="7"/>
        <w:rPr>
          <w:sz w:val="20"/>
          <w:szCs w:val="20"/>
        </w:rPr>
      </w:pPr>
      <w:r>
        <w:rPr>
          <w:color w:val="57585A"/>
          <w:spacing w:val="-11"/>
          <w:sz w:val="20"/>
          <w:szCs w:val="20"/>
        </w:rPr>
        <w:t>In Trinidad &amp;</w:t>
      </w:r>
      <w:r>
        <w:rPr>
          <w:color w:val="57585A"/>
          <w:spacing w:val="-15"/>
          <w:sz w:val="20"/>
          <w:szCs w:val="20"/>
        </w:rPr>
        <w:t xml:space="preserve"> </w:t>
      </w:r>
      <w:r>
        <w:rPr>
          <w:color w:val="57585A"/>
          <w:spacing w:val="-11"/>
          <w:sz w:val="20"/>
          <w:szCs w:val="20"/>
        </w:rPr>
        <w:t>Tobago, the outlook</w:t>
      </w:r>
      <w:r>
        <w:rPr>
          <w:color w:val="57585A"/>
          <w:spacing w:val="-12"/>
          <w:sz w:val="20"/>
          <w:szCs w:val="20"/>
        </w:rPr>
        <w:t xml:space="preserve"> </w:t>
      </w:r>
      <w:r>
        <w:rPr>
          <w:color w:val="57585A"/>
          <w:spacing w:val="-11"/>
          <w:sz w:val="20"/>
          <w:szCs w:val="20"/>
        </w:rPr>
        <w:t>for gas production is bullish,</w:t>
      </w:r>
      <w:r>
        <w:rPr>
          <w:color w:val="57585A"/>
          <w:spacing w:val="-16"/>
          <w:sz w:val="20"/>
          <w:szCs w:val="20"/>
        </w:rPr>
        <w:t xml:space="preserve"> </w:t>
      </w:r>
      <w:r>
        <w:rPr>
          <w:color w:val="57585A"/>
          <w:spacing w:val="-11"/>
          <w:sz w:val="20"/>
          <w:szCs w:val="20"/>
        </w:rPr>
        <w:t>with medium-term peaks anticipat</w:t>
      </w:r>
      <w:r>
        <w:rPr>
          <w:color w:val="57585A"/>
          <w:spacing w:val="-12"/>
          <w:sz w:val="20"/>
          <w:szCs w:val="20"/>
        </w:rPr>
        <w:t>ed in 2026 and 2027. Driven by</w:t>
      </w:r>
      <w:r>
        <w:rPr>
          <w:color w:val="57585A"/>
          <w:sz w:val="20"/>
          <w:szCs w:val="20"/>
        </w:rPr>
        <w:t xml:space="preserve"> </w:t>
      </w:r>
      <w:r>
        <w:rPr>
          <w:color w:val="57585A"/>
          <w:spacing w:val="-11"/>
          <w:sz w:val="20"/>
          <w:szCs w:val="20"/>
        </w:rPr>
        <w:t>deepwater block developments by bpTT and Shell, the country's gas out</w:t>
      </w:r>
      <w:r>
        <w:rPr>
          <w:color w:val="57585A"/>
          <w:spacing w:val="-12"/>
          <w:sz w:val="20"/>
          <w:szCs w:val="20"/>
        </w:rPr>
        <w:t>put is projected to grow by 2.0% in 2025, reaching</w:t>
      </w:r>
    </w:p>
    <w:p w14:paraId="53A49ECB">
      <w:pPr>
        <w:pStyle w:val="4"/>
        <w:spacing w:before="37" w:line="231" w:lineRule="auto"/>
        <w:ind w:left="371"/>
        <w:rPr>
          <w:sz w:val="20"/>
          <w:szCs w:val="20"/>
        </w:rPr>
      </w:pPr>
      <w:r>
        <w:rPr>
          <w:color w:val="57585A"/>
          <w:spacing w:val="-12"/>
          <w:sz w:val="20"/>
          <w:szCs w:val="20"/>
        </w:rPr>
        <w:t>25.5bcm. The Coconut gas project, set to commence in 2027, alo</w:t>
      </w:r>
      <w:r>
        <w:rPr>
          <w:color w:val="57585A"/>
          <w:spacing w:val="-13"/>
          <w:sz w:val="20"/>
          <w:szCs w:val="20"/>
        </w:rPr>
        <w:t>ngside bpTT's Cypre and Shell's Manatee developments,</w:t>
      </w:r>
      <w:r>
        <w:rPr>
          <w:color w:val="57585A"/>
          <w:spacing w:val="-16"/>
          <w:sz w:val="20"/>
          <w:szCs w:val="20"/>
        </w:rPr>
        <w:t xml:space="preserve"> </w:t>
      </w:r>
      <w:r>
        <w:rPr>
          <w:color w:val="57585A"/>
          <w:spacing w:val="-13"/>
          <w:sz w:val="20"/>
          <w:szCs w:val="20"/>
        </w:rPr>
        <w:t>will</w:t>
      </w:r>
    </w:p>
    <w:p w14:paraId="5F991200">
      <w:pPr>
        <w:pStyle w:val="4"/>
        <w:spacing w:before="58" w:line="273" w:lineRule="auto"/>
        <w:ind w:left="369" w:right="642" w:hanging="6"/>
        <w:rPr>
          <w:sz w:val="20"/>
          <w:szCs w:val="20"/>
        </w:rPr>
      </w:pPr>
      <w:r>
        <w:rPr>
          <w:color w:val="57585A"/>
          <w:spacing w:val="-10"/>
          <w:sz w:val="20"/>
          <w:szCs w:val="20"/>
        </w:rPr>
        <w:t>further bolster production. Strategic partnerships and recent asset acquisitions present additional opportunities,</w:t>
      </w:r>
      <w:r>
        <w:rPr>
          <w:color w:val="57585A"/>
          <w:spacing w:val="1"/>
          <w:sz w:val="20"/>
          <w:szCs w:val="20"/>
        </w:rPr>
        <w:t xml:space="preserve"> </w:t>
      </w:r>
      <w:r>
        <w:rPr>
          <w:color w:val="57585A"/>
          <w:spacing w:val="-10"/>
          <w:sz w:val="20"/>
          <w:szCs w:val="20"/>
        </w:rPr>
        <w:t>with production</w:t>
      </w:r>
      <w:r>
        <w:rPr>
          <w:color w:val="57585A"/>
          <w:sz w:val="20"/>
          <w:szCs w:val="20"/>
        </w:rPr>
        <w:t xml:space="preserve"> </w:t>
      </w:r>
      <w:r>
        <w:rPr>
          <w:color w:val="57585A"/>
          <w:spacing w:val="-11"/>
          <w:sz w:val="20"/>
          <w:szCs w:val="20"/>
        </w:rPr>
        <w:t xml:space="preserve">expected to rise to nearly 32.0bcm </w:t>
      </w:r>
      <w:r>
        <w:rPr>
          <w:color w:val="57585A"/>
          <w:spacing w:val="-12"/>
          <w:sz w:val="20"/>
          <w:szCs w:val="20"/>
        </w:rPr>
        <w:t>by 2026.</w:t>
      </w:r>
    </w:p>
    <w:p w14:paraId="43BEFB27">
      <w:pPr>
        <w:pStyle w:val="4"/>
        <w:spacing w:line="265" w:lineRule="auto"/>
      </w:pPr>
    </w:p>
    <w:p w14:paraId="2A90ED27">
      <w:pPr>
        <w:pStyle w:val="4"/>
        <w:spacing w:before="59" w:line="231" w:lineRule="auto"/>
        <w:ind w:left="369"/>
        <w:rPr>
          <w:sz w:val="20"/>
          <w:szCs w:val="20"/>
        </w:rPr>
      </w:pPr>
      <w:r>
        <w:rPr>
          <w:color w:val="57585A"/>
          <w:spacing w:val="-10"/>
          <w:sz w:val="20"/>
          <w:szCs w:val="20"/>
        </w:rPr>
        <w:t xml:space="preserve">Contrasting the positive outlooks elsewhere in </w:t>
      </w:r>
      <w:r>
        <w:rPr>
          <w:color w:val="57585A"/>
          <w:spacing w:val="-11"/>
          <w:sz w:val="20"/>
          <w:szCs w:val="20"/>
        </w:rPr>
        <w:t>the region, Colombia faces a declining natural gas production trajectory due to</w:t>
      </w:r>
    </w:p>
    <w:p w14:paraId="465DCEBA">
      <w:pPr>
        <w:pStyle w:val="4"/>
        <w:spacing w:before="58" w:line="231" w:lineRule="auto"/>
        <w:ind w:left="369"/>
        <w:rPr>
          <w:sz w:val="20"/>
          <w:szCs w:val="20"/>
        </w:rPr>
      </w:pPr>
      <w:r>
        <w:rPr>
          <w:color w:val="57585A"/>
          <w:spacing w:val="-12"/>
          <w:sz w:val="20"/>
          <w:szCs w:val="20"/>
        </w:rPr>
        <w:t xml:space="preserve">depleting reserves and a ban on new oil and </w:t>
      </w:r>
      <w:r>
        <w:rPr>
          <w:color w:val="57585A"/>
          <w:spacing w:val="-13"/>
          <w:sz w:val="20"/>
          <w:szCs w:val="20"/>
        </w:rPr>
        <w:t>gas exploration under President Gustavo</w:t>
      </w:r>
      <w:r>
        <w:rPr>
          <w:color w:val="57585A"/>
          <w:spacing w:val="1"/>
          <w:sz w:val="20"/>
          <w:szCs w:val="20"/>
        </w:rPr>
        <w:t xml:space="preserve"> </w:t>
      </w:r>
      <w:r>
        <w:rPr>
          <w:color w:val="57585A"/>
          <w:spacing w:val="-13"/>
          <w:sz w:val="20"/>
          <w:szCs w:val="20"/>
        </w:rPr>
        <w:t>Petro's administration.</w:t>
      </w:r>
      <w:r>
        <w:rPr>
          <w:color w:val="57585A"/>
          <w:sz w:val="20"/>
          <w:szCs w:val="20"/>
        </w:rPr>
        <w:t xml:space="preserve"> </w:t>
      </w:r>
      <w:r>
        <w:rPr>
          <w:color w:val="57585A"/>
          <w:spacing w:val="-13"/>
          <w:sz w:val="20"/>
          <w:szCs w:val="20"/>
        </w:rPr>
        <w:t>However,</w:t>
      </w:r>
      <w:r>
        <w:rPr>
          <w:color w:val="57585A"/>
          <w:spacing w:val="1"/>
          <w:sz w:val="20"/>
          <w:szCs w:val="20"/>
        </w:rPr>
        <w:t xml:space="preserve"> </w:t>
      </w:r>
      <w:r>
        <w:rPr>
          <w:color w:val="57585A"/>
          <w:spacing w:val="-13"/>
          <w:sz w:val="20"/>
          <w:szCs w:val="20"/>
        </w:rPr>
        <w:t>Petrobras'</w:t>
      </w:r>
    </w:p>
    <w:p w14:paraId="75849E5C">
      <w:pPr>
        <w:spacing w:line="231" w:lineRule="auto"/>
        <w:rPr>
          <w:sz w:val="20"/>
          <w:szCs w:val="20"/>
        </w:rPr>
        <w:sectPr>
          <w:footerReference r:id="rId90" w:type="default"/>
          <w:pgSz w:w="11906" w:h="16838"/>
          <w:pgMar w:top="400" w:right="490" w:bottom="883" w:left="490" w:header="0" w:footer="0" w:gutter="0"/>
          <w:cols w:space="720" w:num="1"/>
        </w:sectPr>
      </w:pPr>
    </w:p>
    <w:p w14:paraId="41AC6FE0">
      <w:pPr>
        <w:pStyle w:val="4"/>
        <w:spacing w:before="73" w:line="241" w:lineRule="auto"/>
        <w:ind w:left="7372"/>
        <w:rPr>
          <w:sz w:val="20"/>
          <w:szCs w:val="20"/>
        </w:rPr>
      </w:pPr>
      <w:r>
        <w:drawing>
          <wp:anchor distT="0" distB="0" distL="0" distR="0" simplePos="0" relativeHeight="25197977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80800" behindDoc="0" locked="0" layoutInCell="0" allowOverlap="1">
            <wp:simplePos x="0" y="0"/>
            <wp:positionH relativeFrom="page">
              <wp:posOffset>311150</wp:posOffset>
            </wp:positionH>
            <wp:positionV relativeFrom="page">
              <wp:posOffset>0</wp:posOffset>
            </wp:positionV>
            <wp:extent cx="19050" cy="814070"/>
            <wp:effectExtent l="0" t="0" r="0" b="0"/>
            <wp:wrapNone/>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A14AFA3">
      <w:pPr>
        <w:pStyle w:val="4"/>
        <w:spacing w:line="278" w:lineRule="auto"/>
      </w:pPr>
    </w:p>
    <w:p w14:paraId="3EAFB5C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49977B3">
      <w:pPr>
        <w:pStyle w:val="4"/>
        <w:spacing w:line="470" w:lineRule="auto"/>
      </w:pPr>
    </w:p>
    <w:p w14:paraId="2AD5E8A6">
      <w:pPr>
        <w:pStyle w:val="4"/>
        <w:spacing w:before="58" w:line="273" w:lineRule="auto"/>
        <w:ind w:left="375" w:right="536" w:hanging="9"/>
        <w:rPr>
          <w:sz w:val="20"/>
          <w:szCs w:val="20"/>
        </w:rPr>
      </w:pPr>
      <w:r>
        <w:rPr>
          <w:color w:val="57585A"/>
          <w:spacing w:val="-10"/>
          <w:sz w:val="20"/>
          <w:szCs w:val="20"/>
        </w:rPr>
        <w:t>significant gas discovery at the Sirius-2</w:t>
      </w:r>
      <w:r>
        <w:rPr>
          <w:color w:val="57585A"/>
          <w:spacing w:val="-16"/>
          <w:sz w:val="20"/>
          <w:szCs w:val="20"/>
        </w:rPr>
        <w:t xml:space="preserve"> </w:t>
      </w:r>
      <w:r>
        <w:rPr>
          <w:color w:val="57585A"/>
          <w:spacing w:val="-10"/>
          <w:sz w:val="20"/>
          <w:szCs w:val="20"/>
        </w:rPr>
        <w:t>well presents a p</w:t>
      </w:r>
      <w:r>
        <w:rPr>
          <w:color w:val="57585A"/>
          <w:spacing w:val="-11"/>
          <w:sz w:val="20"/>
          <w:szCs w:val="20"/>
        </w:rPr>
        <w:t>otential upside,</w:t>
      </w:r>
      <w:r>
        <w:rPr>
          <w:color w:val="57585A"/>
          <w:spacing w:val="-15"/>
          <w:sz w:val="20"/>
          <w:szCs w:val="20"/>
        </w:rPr>
        <w:t xml:space="preserve"> </w:t>
      </w:r>
      <w:r>
        <w:rPr>
          <w:color w:val="57585A"/>
          <w:spacing w:val="-11"/>
          <w:sz w:val="20"/>
          <w:szCs w:val="20"/>
        </w:rPr>
        <w:t>with the possibility of</w:t>
      </w:r>
      <w:r>
        <w:rPr>
          <w:color w:val="57585A"/>
          <w:spacing w:val="-17"/>
          <w:sz w:val="20"/>
          <w:szCs w:val="20"/>
        </w:rPr>
        <w:t xml:space="preserve"> </w:t>
      </w:r>
      <w:r>
        <w:rPr>
          <w:color w:val="57585A"/>
          <w:spacing w:val="-11"/>
          <w:sz w:val="20"/>
          <w:szCs w:val="20"/>
        </w:rPr>
        <w:t>achieving self-sufficiency until 2029.</w:t>
      </w:r>
      <w:r>
        <w:rPr>
          <w:color w:val="57585A"/>
          <w:sz w:val="20"/>
          <w:szCs w:val="20"/>
        </w:rPr>
        <w:t xml:space="preserve"> </w:t>
      </w:r>
      <w:r>
        <w:rPr>
          <w:color w:val="57585A"/>
          <w:spacing w:val="-11"/>
          <w:sz w:val="20"/>
          <w:szCs w:val="20"/>
        </w:rPr>
        <w:t>Ecopetrol's strategic pivot towards gas-oriented projects offers hope, although structural challenges such a</w:t>
      </w:r>
      <w:r>
        <w:rPr>
          <w:color w:val="57585A"/>
          <w:spacing w:val="-12"/>
          <w:sz w:val="20"/>
          <w:szCs w:val="20"/>
        </w:rPr>
        <w:t>s tax reforms and</w:t>
      </w:r>
    </w:p>
    <w:p w14:paraId="1A97ABC1">
      <w:pPr>
        <w:pStyle w:val="4"/>
        <w:spacing w:before="36" w:line="231" w:lineRule="auto"/>
        <w:ind w:left="373"/>
        <w:rPr>
          <w:sz w:val="20"/>
          <w:szCs w:val="20"/>
        </w:rPr>
      </w:pPr>
      <w:r>
        <w:rPr>
          <w:color w:val="57585A"/>
          <w:spacing w:val="-10"/>
          <w:sz w:val="20"/>
          <w:szCs w:val="20"/>
        </w:rPr>
        <w:t>regulatory risks could dampen investor sentiment and limit sector gro</w:t>
      </w:r>
      <w:r>
        <w:rPr>
          <w:color w:val="57585A"/>
          <w:spacing w:val="-11"/>
          <w:sz w:val="20"/>
          <w:szCs w:val="20"/>
        </w:rPr>
        <w:t>wth.</w:t>
      </w:r>
    </w:p>
    <w:p w14:paraId="628393B6">
      <w:pPr>
        <w:pStyle w:val="4"/>
        <w:spacing w:line="284" w:lineRule="auto"/>
      </w:pPr>
    </w:p>
    <w:p w14:paraId="0F2B5A0F">
      <w:pPr>
        <w:pStyle w:val="4"/>
        <w:spacing w:before="57" w:line="293" w:lineRule="auto"/>
        <w:ind w:left="374" w:right="954" w:hanging="6"/>
        <w:rPr>
          <w:sz w:val="20"/>
          <w:szCs w:val="20"/>
        </w:rPr>
      </w:pPr>
      <w:r>
        <w:rPr>
          <w:b/>
          <w:bCs/>
          <w:color w:val="57585A"/>
          <w:spacing w:val="-10"/>
          <w:sz w:val="20"/>
          <w:szCs w:val="20"/>
        </w:rPr>
        <w:t>Gas Consumption: Latin</w:t>
      </w:r>
      <w:r>
        <w:rPr>
          <w:b/>
          <w:bCs/>
          <w:color w:val="57585A"/>
          <w:spacing w:val="-6"/>
          <w:sz w:val="20"/>
          <w:szCs w:val="20"/>
        </w:rPr>
        <w:t xml:space="preserve"> </w:t>
      </w:r>
      <w:r>
        <w:rPr>
          <w:b/>
          <w:bCs/>
          <w:color w:val="57585A"/>
          <w:spacing w:val="-10"/>
          <w:sz w:val="20"/>
          <w:szCs w:val="20"/>
        </w:rPr>
        <w:t>American Gas Consumption</w:t>
      </w:r>
      <w:r>
        <w:rPr>
          <w:b/>
          <w:bCs/>
          <w:color w:val="57585A"/>
          <w:spacing w:val="-14"/>
          <w:sz w:val="20"/>
          <w:szCs w:val="20"/>
        </w:rPr>
        <w:t xml:space="preserve"> </w:t>
      </w:r>
      <w:r>
        <w:rPr>
          <w:b/>
          <w:bCs/>
          <w:color w:val="57585A"/>
          <w:spacing w:val="-10"/>
          <w:sz w:val="20"/>
          <w:szCs w:val="20"/>
        </w:rPr>
        <w:t>To Grow Steadily</w:t>
      </w:r>
      <w:r>
        <w:rPr>
          <w:b/>
          <w:bCs/>
          <w:color w:val="57585A"/>
          <w:spacing w:val="-15"/>
          <w:sz w:val="20"/>
          <w:szCs w:val="20"/>
        </w:rPr>
        <w:t xml:space="preserve"> </w:t>
      </w:r>
      <w:r>
        <w:rPr>
          <w:b/>
          <w:bCs/>
          <w:color w:val="57585A"/>
          <w:spacing w:val="-10"/>
          <w:sz w:val="20"/>
          <w:szCs w:val="20"/>
        </w:rPr>
        <w:t>Through 2034,</w:t>
      </w:r>
      <w:r>
        <w:rPr>
          <w:b/>
          <w:bCs/>
          <w:color w:val="57585A"/>
          <w:spacing w:val="-16"/>
          <w:sz w:val="20"/>
          <w:szCs w:val="20"/>
        </w:rPr>
        <w:t xml:space="preserve"> </w:t>
      </w:r>
      <w:r>
        <w:rPr>
          <w:b/>
          <w:bCs/>
          <w:color w:val="57585A"/>
          <w:spacing w:val="-10"/>
          <w:sz w:val="20"/>
          <w:szCs w:val="20"/>
        </w:rPr>
        <w:t>With Mexico Leading</w:t>
      </w:r>
      <w:r>
        <w:rPr>
          <w:b/>
          <w:bCs/>
          <w:color w:val="57585A"/>
          <w:spacing w:val="-14"/>
          <w:sz w:val="20"/>
          <w:szCs w:val="20"/>
        </w:rPr>
        <w:t xml:space="preserve"> </w:t>
      </w:r>
      <w:r>
        <w:rPr>
          <w:b/>
          <w:bCs/>
          <w:color w:val="57585A"/>
          <w:spacing w:val="-10"/>
          <w:sz w:val="20"/>
          <w:szCs w:val="20"/>
        </w:rPr>
        <w:t>The</w:t>
      </w:r>
      <w:r>
        <w:rPr>
          <w:b/>
          <w:bCs/>
          <w:color w:val="57585A"/>
          <w:sz w:val="20"/>
          <w:szCs w:val="20"/>
        </w:rPr>
        <w:t xml:space="preserve"> </w:t>
      </w:r>
      <w:r>
        <w:rPr>
          <w:b/>
          <w:bCs/>
          <w:color w:val="57585A"/>
          <w:spacing w:val="-9"/>
          <w:sz w:val="20"/>
          <w:szCs w:val="20"/>
        </w:rPr>
        <w:t>Increase</w:t>
      </w:r>
    </w:p>
    <w:p w14:paraId="1E4240C7">
      <w:pPr>
        <w:pStyle w:val="4"/>
        <w:spacing w:before="290" w:line="273" w:lineRule="auto"/>
        <w:ind w:left="363" w:right="605" w:firstLine="12"/>
        <w:rPr>
          <w:sz w:val="20"/>
          <w:szCs w:val="20"/>
        </w:rPr>
      </w:pPr>
      <w:r>
        <w:rPr>
          <w:color w:val="57585A"/>
          <w:spacing w:val="-11"/>
          <w:sz w:val="20"/>
          <w:szCs w:val="20"/>
        </w:rPr>
        <w:t>Latin</w:t>
      </w:r>
      <w:r>
        <w:rPr>
          <w:color w:val="57585A"/>
          <w:spacing w:val="-16"/>
          <w:sz w:val="20"/>
          <w:szCs w:val="20"/>
        </w:rPr>
        <w:t xml:space="preserve"> </w:t>
      </w:r>
      <w:r>
        <w:rPr>
          <w:color w:val="57585A"/>
          <w:spacing w:val="-11"/>
          <w:sz w:val="20"/>
          <w:szCs w:val="20"/>
        </w:rPr>
        <w:t>America's natural gas demand has e</w:t>
      </w:r>
      <w:r>
        <w:rPr>
          <w:color w:val="57585A"/>
          <w:spacing w:val="-12"/>
          <w:sz w:val="20"/>
          <w:szCs w:val="20"/>
        </w:rPr>
        <w:t>xperienced notable fluctuations in recent</w:t>
      </w:r>
      <w:r>
        <w:rPr>
          <w:color w:val="57585A"/>
          <w:spacing w:val="-15"/>
          <w:sz w:val="20"/>
          <w:szCs w:val="20"/>
        </w:rPr>
        <w:t xml:space="preserve"> </w:t>
      </w:r>
      <w:r>
        <w:rPr>
          <w:color w:val="57585A"/>
          <w:spacing w:val="-12"/>
          <w:sz w:val="20"/>
          <w:szCs w:val="20"/>
        </w:rPr>
        <w:t>years, marked by a robust recovery</w:t>
      </w:r>
      <w:r>
        <w:rPr>
          <w:color w:val="57585A"/>
          <w:spacing w:val="-4"/>
          <w:sz w:val="20"/>
          <w:szCs w:val="20"/>
        </w:rPr>
        <w:t xml:space="preserve"> </w:t>
      </w:r>
      <w:r>
        <w:rPr>
          <w:color w:val="57585A"/>
          <w:spacing w:val="-12"/>
          <w:sz w:val="20"/>
          <w:szCs w:val="20"/>
        </w:rPr>
        <w:t>in 2021</w:t>
      </w:r>
      <w:r>
        <w:rPr>
          <w:color w:val="57585A"/>
          <w:sz w:val="20"/>
          <w:szCs w:val="20"/>
        </w:rPr>
        <w:t xml:space="preserve">   </w:t>
      </w:r>
      <w:r>
        <w:rPr>
          <w:color w:val="57585A"/>
          <w:spacing w:val="-10"/>
          <w:sz w:val="20"/>
          <w:szCs w:val="20"/>
        </w:rPr>
        <w:t>followed by a subtle decline in 2022 due to improving</w:t>
      </w:r>
      <w:r>
        <w:rPr>
          <w:color w:val="57585A"/>
          <w:sz w:val="20"/>
          <w:szCs w:val="20"/>
        </w:rPr>
        <w:t xml:space="preserve"> </w:t>
      </w:r>
      <w:r>
        <w:rPr>
          <w:color w:val="57585A"/>
          <w:spacing w:val="-10"/>
          <w:sz w:val="20"/>
          <w:szCs w:val="20"/>
        </w:rPr>
        <w:t>weather conditions.</w:t>
      </w:r>
      <w:r>
        <w:rPr>
          <w:color w:val="57585A"/>
          <w:spacing w:val="-14"/>
          <w:sz w:val="20"/>
          <w:szCs w:val="20"/>
        </w:rPr>
        <w:t xml:space="preserve"> </w:t>
      </w:r>
      <w:r>
        <w:rPr>
          <w:color w:val="57585A"/>
          <w:spacing w:val="-10"/>
          <w:sz w:val="20"/>
          <w:szCs w:val="20"/>
        </w:rPr>
        <w:t>This trend continued</w:t>
      </w:r>
      <w:r>
        <w:rPr>
          <w:color w:val="57585A"/>
          <w:spacing w:val="-16"/>
          <w:sz w:val="20"/>
          <w:szCs w:val="20"/>
        </w:rPr>
        <w:t xml:space="preserve"> </w:t>
      </w:r>
      <w:r>
        <w:rPr>
          <w:color w:val="57585A"/>
          <w:spacing w:val="-10"/>
          <w:sz w:val="20"/>
          <w:szCs w:val="20"/>
        </w:rPr>
        <w:t>with</w:t>
      </w:r>
      <w:r>
        <w:rPr>
          <w:color w:val="57585A"/>
          <w:spacing w:val="-15"/>
          <w:sz w:val="20"/>
          <w:szCs w:val="20"/>
        </w:rPr>
        <w:t xml:space="preserve"> </w:t>
      </w:r>
      <w:r>
        <w:rPr>
          <w:color w:val="57585A"/>
          <w:spacing w:val="-10"/>
          <w:sz w:val="20"/>
          <w:szCs w:val="20"/>
        </w:rPr>
        <w:t>very limited growth in 2023.</w:t>
      </w:r>
    </w:p>
    <w:p w14:paraId="7AD344C3">
      <w:pPr>
        <w:pStyle w:val="4"/>
        <w:spacing w:before="38" w:line="279" w:lineRule="auto"/>
        <w:ind w:left="369" w:right="374" w:firstLine="7"/>
        <w:rPr>
          <w:sz w:val="20"/>
          <w:szCs w:val="20"/>
        </w:rPr>
      </w:pPr>
      <w:r>
        <w:rPr>
          <w:color w:val="57585A"/>
          <w:spacing w:val="-10"/>
          <w:sz w:val="20"/>
          <w:szCs w:val="20"/>
        </w:rPr>
        <w:t>Nonetheless, the forecast for</w:t>
      </w:r>
      <w:r>
        <w:rPr>
          <w:color w:val="57585A"/>
          <w:spacing w:val="-12"/>
          <w:sz w:val="20"/>
          <w:szCs w:val="20"/>
        </w:rPr>
        <w:t xml:space="preserve"> </w:t>
      </w:r>
      <w:r>
        <w:rPr>
          <w:color w:val="57585A"/>
          <w:spacing w:val="-10"/>
          <w:sz w:val="20"/>
          <w:szCs w:val="20"/>
        </w:rPr>
        <w:t>the region remains optimistic,</w:t>
      </w:r>
      <w:r>
        <w:rPr>
          <w:color w:val="57585A"/>
          <w:spacing w:val="-16"/>
          <w:sz w:val="20"/>
          <w:szCs w:val="20"/>
        </w:rPr>
        <w:t xml:space="preserve"> </w:t>
      </w:r>
      <w:r>
        <w:rPr>
          <w:color w:val="57585A"/>
          <w:spacing w:val="-10"/>
          <w:sz w:val="20"/>
          <w:szCs w:val="20"/>
        </w:rPr>
        <w:t>with expe</w:t>
      </w:r>
      <w:r>
        <w:rPr>
          <w:color w:val="57585A"/>
          <w:spacing w:val="-11"/>
          <w:sz w:val="20"/>
          <w:szCs w:val="20"/>
        </w:rPr>
        <w:t>ctations of positive growth in gas consumption over the next</w:t>
      </w:r>
      <w:r>
        <w:rPr>
          <w:color w:val="57585A"/>
          <w:sz w:val="20"/>
          <w:szCs w:val="20"/>
        </w:rPr>
        <w:t xml:space="preserve"> </w:t>
      </w:r>
      <w:r>
        <w:rPr>
          <w:color w:val="57585A"/>
          <w:spacing w:val="-11"/>
          <w:sz w:val="20"/>
          <w:szCs w:val="20"/>
        </w:rPr>
        <w:t>decade. Specifically, Latin</w:t>
      </w:r>
      <w:r>
        <w:rPr>
          <w:color w:val="57585A"/>
          <w:spacing w:val="-16"/>
          <w:sz w:val="20"/>
          <w:szCs w:val="20"/>
        </w:rPr>
        <w:t xml:space="preserve"> </w:t>
      </w:r>
      <w:r>
        <w:rPr>
          <w:color w:val="57585A"/>
          <w:spacing w:val="-11"/>
          <w:sz w:val="20"/>
          <w:szCs w:val="20"/>
        </w:rPr>
        <w:t>American markets are projected to see an i</w:t>
      </w:r>
      <w:r>
        <w:rPr>
          <w:color w:val="57585A"/>
          <w:spacing w:val="-12"/>
          <w:sz w:val="20"/>
          <w:szCs w:val="20"/>
        </w:rPr>
        <w:t>ncrease in natural gas consumption from 223.8bcm in 2024 to</w:t>
      </w:r>
      <w:r>
        <w:rPr>
          <w:color w:val="57585A"/>
          <w:sz w:val="20"/>
          <w:szCs w:val="20"/>
        </w:rPr>
        <w:t xml:space="preserve"> </w:t>
      </w:r>
      <w:r>
        <w:rPr>
          <w:color w:val="57585A"/>
          <w:spacing w:val="-11"/>
          <w:sz w:val="20"/>
          <w:szCs w:val="20"/>
        </w:rPr>
        <w:t>275.2bcm in 2034, representing a 22.9% growth over the forecast period.</w:t>
      </w:r>
    </w:p>
    <w:p w14:paraId="39F47E8A">
      <w:pPr>
        <w:pStyle w:val="4"/>
        <w:spacing w:line="265" w:lineRule="auto"/>
      </w:pPr>
    </w:p>
    <w:p w14:paraId="479C6A92">
      <w:pPr>
        <w:pStyle w:val="4"/>
        <w:spacing w:before="58" w:line="231" w:lineRule="auto"/>
        <w:ind w:left="359"/>
        <w:rPr>
          <w:sz w:val="20"/>
          <w:szCs w:val="20"/>
        </w:rPr>
      </w:pPr>
      <w:r>
        <w:rPr>
          <w:color w:val="57585A"/>
          <w:spacing w:val="-10"/>
          <w:sz w:val="20"/>
          <w:szCs w:val="20"/>
        </w:rPr>
        <w:t>A significant portion of</w:t>
      </w:r>
      <w:r>
        <w:rPr>
          <w:color w:val="57585A"/>
          <w:spacing w:val="-21"/>
          <w:sz w:val="20"/>
          <w:szCs w:val="20"/>
        </w:rPr>
        <w:t xml:space="preserve"> </w:t>
      </w:r>
      <w:r>
        <w:rPr>
          <w:color w:val="57585A"/>
          <w:spacing w:val="-10"/>
          <w:sz w:val="20"/>
          <w:szCs w:val="20"/>
        </w:rPr>
        <w:t>this growth is anticipated to emanate from Mexico,</w:t>
      </w:r>
      <w:r>
        <w:rPr>
          <w:color w:val="57585A"/>
          <w:spacing w:val="-15"/>
          <w:sz w:val="20"/>
          <w:szCs w:val="20"/>
        </w:rPr>
        <w:t xml:space="preserve"> </w:t>
      </w:r>
      <w:r>
        <w:rPr>
          <w:color w:val="57585A"/>
          <w:spacing w:val="-10"/>
          <w:sz w:val="20"/>
          <w:szCs w:val="20"/>
        </w:rPr>
        <w:t>which accounted for 43.6% of</w:t>
      </w:r>
      <w:r>
        <w:rPr>
          <w:color w:val="57585A"/>
          <w:spacing w:val="-22"/>
          <w:sz w:val="20"/>
          <w:szCs w:val="20"/>
        </w:rPr>
        <w:t xml:space="preserve"> </w:t>
      </w:r>
      <w:r>
        <w:rPr>
          <w:color w:val="57585A"/>
          <w:spacing w:val="-10"/>
          <w:sz w:val="20"/>
          <w:szCs w:val="20"/>
        </w:rPr>
        <w:t xml:space="preserve">the </w:t>
      </w:r>
      <w:r>
        <w:rPr>
          <w:color w:val="57585A"/>
          <w:spacing w:val="-11"/>
          <w:sz w:val="20"/>
          <w:szCs w:val="20"/>
        </w:rPr>
        <w:t>region's total gas</w:t>
      </w:r>
    </w:p>
    <w:p w14:paraId="200124AA">
      <w:pPr>
        <w:pStyle w:val="4"/>
        <w:spacing w:before="59" w:line="231" w:lineRule="auto"/>
        <w:ind w:left="369"/>
        <w:rPr>
          <w:sz w:val="20"/>
          <w:szCs w:val="20"/>
        </w:rPr>
      </w:pPr>
      <w:r>
        <w:rPr>
          <w:color w:val="57585A"/>
          <w:spacing w:val="-11"/>
          <w:sz w:val="20"/>
          <w:szCs w:val="20"/>
        </w:rPr>
        <w:t>consumption as of 2024. Mexico's consumption outlook is on a sustained growth trajectory, largely driven by the expansion of</w:t>
      </w:r>
    </w:p>
    <w:p w14:paraId="10304773">
      <w:pPr>
        <w:pStyle w:val="4"/>
        <w:spacing w:before="58" w:line="273" w:lineRule="auto"/>
        <w:ind w:left="363" w:right="400" w:firstLine="10"/>
        <w:rPr>
          <w:sz w:val="20"/>
          <w:szCs w:val="20"/>
        </w:rPr>
      </w:pPr>
      <w:r>
        <w:rPr>
          <w:color w:val="57585A"/>
          <w:spacing w:val="-12"/>
          <w:sz w:val="20"/>
          <w:szCs w:val="20"/>
        </w:rPr>
        <w:t>natural gas power generation. From 2024 to 2028, Mexico's average annual growth in natural gas consumption is projected at 4.3%,</w:t>
      </w:r>
      <w:r>
        <w:rPr>
          <w:color w:val="57585A"/>
          <w:spacing w:val="6"/>
          <w:sz w:val="20"/>
          <w:szCs w:val="20"/>
        </w:rPr>
        <w:t xml:space="preserve"> </w:t>
      </w:r>
      <w:r>
        <w:rPr>
          <w:color w:val="57585A"/>
          <w:spacing w:val="-11"/>
          <w:sz w:val="20"/>
          <w:szCs w:val="20"/>
        </w:rPr>
        <w:t>though this rate is expected to slow to 1.6% annuall</w:t>
      </w:r>
      <w:r>
        <w:rPr>
          <w:color w:val="57585A"/>
          <w:spacing w:val="-12"/>
          <w:sz w:val="20"/>
          <w:szCs w:val="20"/>
        </w:rPr>
        <w:t>y between 2029 and 2033. The forecast for 2025 suggests a 2.5%</w:t>
      </w:r>
      <w:r>
        <w:rPr>
          <w:color w:val="57585A"/>
          <w:spacing w:val="-15"/>
          <w:sz w:val="20"/>
          <w:szCs w:val="20"/>
        </w:rPr>
        <w:t xml:space="preserve"> </w:t>
      </w:r>
      <w:r>
        <w:rPr>
          <w:color w:val="57585A"/>
          <w:spacing w:val="-12"/>
          <w:sz w:val="20"/>
          <w:szCs w:val="20"/>
        </w:rPr>
        <w:t>y-o-y</w:t>
      </w:r>
    </w:p>
    <w:p w14:paraId="63791C30">
      <w:pPr>
        <w:pStyle w:val="4"/>
        <w:spacing w:before="37" w:line="231" w:lineRule="auto"/>
        <w:ind w:left="371"/>
        <w:rPr>
          <w:sz w:val="20"/>
          <w:szCs w:val="20"/>
        </w:rPr>
      </w:pPr>
      <w:r>
        <w:rPr>
          <w:color w:val="57585A"/>
          <w:spacing w:val="-11"/>
          <w:sz w:val="20"/>
          <w:szCs w:val="20"/>
        </w:rPr>
        <w:t>increase, decelerating from an 8.4% growth in 2024 due to weaker economic growth.</w:t>
      </w:r>
    </w:p>
    <w:p w14:paraId="219825F1">
      <w:pPr>
        <w:pStyle w:val="4"/>
        <w:spacing w:line="287" w:lineRule="auto"/>
      </w:pPr>
    </w:p>
    <w:p w14:paraId="6AD87F95">
      <w:pPr>
        <w:pStyle w:val="4"/>
        <w:spacing w:before="58" w:line="273" w:lineRule="auto"/>
        <w:ind w:left="369" w:right="537" w:hanging="3"/>
        <w:rPr>
          <w:sz w:val="20"/>
          <w:szCs w:val="20"/>
        </w:rPr>
      </w:pPr>
      <w:r>
        <w:rPr>
          <w:color w:val="57585A"/>
          <w:spacing w:val="-11"/>
          <w:sz w:val="20"/>
          <w:szCs w:val="20"/>
        </w:rPr>
        <w:t>Several factors support this outlook in Mexico. The focus on natural gas-fired power generation remains dominant in the country's</w:t>
      </w:r>
      <w:r>
        <w:rPr>
          <w:color w:val="57585A"/>
          <w:spacing w:val="6"/>
          <w:sz w:val="20"/>
          <w:szCs w:val="20"/>
        </w:rPr>
        <w:t xml:space="preserve"> </w:t>
      </w:r>
      <w:r>
        <w:rPr>
          <w:color w:val="57585A"/>
          <w:spacing w:val="-11"/>
          <w:sz w:val="20"/>
          <w:szCs w:val="20"/>
        </w:rPr>
        <w:t>energy mix, bolstered by government po</w:t>
      </w:r>
      <w:r>
        <w:rPr>
          <w:color w:val="57585A"/>
          <w:spacing w:val="-12"/>
          <w:sz w:val="20"/>
          <w:szCs w:val="20"/>
        </w:rPr>
        <w:t>licies and infrastructure investments. The Programa de Desarrollo del Sistema Eléctrico</w:t>
      </w:r>
    </w:p>
    <w:p w14:paraId="2807299B">
      <w:pPr>
        <w:pStyle w:val="4"/>
        <w:spacing w:before="37" w:line="273" w:lineRule="auto"/>
        <w:ind w:left="373" w:right="411" w:firstLine="2"/>
        <w:rPr>
          <w:sz w:val="20"/>
          <w:szCs w:val="20"/>
        </w:rPr>
      </w:pPr>
      <w:r>
        <w:rPr>
          <w:color w:val="57585A"/>
          <w:spacing w:val="-13"/>
          <w:sz w:val="20"/>
          <w:szCs w:val="20"/>
        </w:rPr>
        <w:t>Nacional (PRODESEN) outlines plans to add 9.7GW of</w:t>
      </w:r>
      <w:r>
        <w:rPr>
          <w:color w:val="57585A"/>
          <w:spacing w:val="-12"/>
          <w:sz w:val="20"/>
          <w:szCs w:val="20"/>
        </w:rPr>
        <w:t xml:space="preserve"> </w:t>
      </w:r>
      <w:r>
        <w:rPr>
          <w:color w:val="57585A"/>
          <w:spacing w:val="-13"/>
          <w:sz w:val="20"/>
          <w:szCs w:val="20"/>
        </w:rPr>
        <w:t>gas-fired combined-cycle plants by 2024. Additionally, a robust pipeline of</w:t>
      </w:r>
      <w:r>
        <w:rPr>
          <w:color w:val="57585A"/>
          <w:spacing w:val="-17"/>
          <w:sz w:val="20"/>
          <w:szCs w:val="20"/>
        </w:rPr>
        <w:t xml:space="preserve"> </w:t>
      </w:r>
      <w:r>
        <w:rPr>
          <w:color w:val="57585A"/>
          <w:spacing w:val="-13"/>
          <w:sz w:val="20"/>
          <w:szCs w:val="20"/>
        </w:rPr>
        <w:t>gas</w:t>
      </w:r>
      <w:r>
        <w:rPr>
          <w:color w:val="57585A"/>
          <w:sz w:val="20"/>
          <w:szCs w:val="20"/>
        </w:rPr>
        <w:t xml:space="preserve"> </w:t>
      </w:r>
      <w:r>
        <w:rPr>
          <w:color w:val="57585A"/>
          <w:spacing w:val="-10"/>
          <w:sz w:val="20"/>
          <w:szCs w:val="20"/>
        </w:rPr>
        <w:t>power projects, currently in pre-construction and construction stages, further underscores this growth.</w:t>
      </w:r>
    </w:p>
    <w:p w14:paraId="7A998685">
      <w:pPr>
        <w:pStyle w:val="4"/>
        <w:spacing w:line="295" w:lineRule="auto"/>
      </w:pPr>
    </w:p>
    <w:p w14:paraId="337FFDA7">
      <w:pPr>
        <w:pStyle w:val="4"/>
        <w:spacing w:line="295" w:lineRule="auto"/>
      </w:pPr>
    </w:p>
    <w:p w14:paraId="4BAF0563">
      <w:pPr>
        <w:pStyle w:val="4"/>
        <w:spacing w:before="69" w:line="234" w:lineRule="auto"/>
        <w:ind w:left="3235"/>
        <w:outlineLvl w:val="1"/>
        <w:rPr>
          <w:sz w:val="24"/>
          <w:szCs w:val="24"/>
        </w:rPr>
      </w:pPr>
      <w:r>
        <w:rPr>
          <w:color w:val="174174"/>
          <w:spacing w:val="-13"/>
          <w:sz w:val="24"/>
          <w:szCs w:val="24"/>
        </w:rPr>
        <w:t>Mexico Is The Large</w:t>
      </w:r>
      <w:r>
        <w:rPr>
          <w:color w:val="174174"/>
          <w:spacing w:val="-14"/>
          <w:sz w:val="24"/>
          <w:szCs w:val="24"/>
        </w:rPr>
        <w:t>st Gas Consumer In LatAm</w:t>
      </w:r>
    </w:p>
    <w:p w14:paraId="6FE235B5">
      <w:pPr>
        <w:pStyle w:val="4"/>
        <w:spacing w:before="33" w:line="231" w:lineRule="auto"/>
        <w:ind w:left="3271"/>
        <w:outlineLvl w:val="1"/>
        <w:rPr>
          <w:sz w:val="20"/>
          <w:szCs w:val="20"/>
        </w:rPr>
      </w:pPr>
      <w:r>
        <w:rPr>
          <w:color w:val="333333"/>
          <w:spacing w:val="-12"/>
          <w:sz w:val="20"/>
          <w:szCs w:val="20"/>
        </w:rPr>
        <w:t xml:space="preserve">LatAm - Dry Natural </w:t>
      </w:r>
      <w:r>
        <w:rPr>
          <w:color w:val="333333"/>
          <w:spacing w:val="-13"/>
          <w:sz w:val="20"/>
          <w:szCs w:val="20"/>
        </w:rPr>
        <w:t>Gas Consumption, bcm (2023-2034)</w:t>
      </w:r>
    </w:p>
    <w:p w14:paraId="74723ABB">
      <w:pPr>
        <w:spacing w:before="96" w:line="4500" w:lineRule="exact"/>
        <w:ind w:firstLine="1862"/>
      </w:pPr>
      <w:r>
        <w:rPr>
          <w:position w:val="-90"/>
        </w:rPr>
        <w:drawing>
          <wp:inline distT="0" distB="0" distL="0" distR="0">
            <wp:extent cx="4572000" cy="285750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156"/>
                    <a:stretch>
                      <a:fillRect/>
                    </a:stretch>
                  </pic:blipFill>
                  <pic:spPr>
                    <a:xfrm>
                      <a:off x="0" y="0"/>
                      <a:ext cx="4572000" cy="2857500"/>
                    </a:xfrm>
                    <a:prstGeom prst="rect">
                      <a:avLst/>
                    </a:prstGeom>
                  </pic:spPr>
                </pic:pic>
              </a:graphicData>
            </a:graphic>
          </wp:inline>
        </w:drawing>
      </w:r>
    </w:p>
    <w:p w14:paraId="1A5E8112">
      <w:pPr>
        <w:pStyle w:val="4"/>
        <w:spacing w:before="149" w:line="197" w:lineRule="exact"/>
        <w:ind w:left="1876"/>
        <w:rPr>
          <w:sz w:val="15"/>
          <w:szCs w:val="15"/>
        </w:rPr>
      </w:pPr>
      <w:r>
        <w:drawing>
          <wp:anchor distT="0" distB="0" distL="0" distR="0" simplePos="0" relativeHeight="251978752"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9"/>
          <w:position w:val="1"/>
          <w:sz w:val="15"/>
          <w:szCs w:val="15"/>
        </w:rPr>
        <w:t xml:space="preserve"> </w:t>
      </w:r>
      <w:r>
        <w:rPr>
          <w:i/>
          <w:iCs/>
          <w:color w:val="333333"/>
          <w:spacing w:val="-3"/>
          <w:w w:val="93"/>
          <w:position w:val="1"/>
          <w:sz w:val="15"/>
          <w:szCs w:val="15"/>
        </w:rPr>
        <w:t>= estimate/forecast. Source: BMI</w:t>
      </w:r>
    </w:p>
    <w:p w14:paraId="3E8B86F1">
      <w:pPr>
        <w:spacing w:line="197" w:lineRule="exact"/>
        <w:rPr>
          <w:sz w:val="15"/>
          <w:szCs w:val="15"/>
        </w:rPr>
        <w:sectPr>
          <w:footerReference r:id="rId91" w:type="default"/>
          <w:pgSz w:w="11906" w:h="16838"/>
          <w:pgMar w:top="400" w:right="490" w:bottom="883" w:left="490" w:header="0" w:footer="0" w:gutter="0"/>
          <w:cols w:space="720" w:num="1"/>
        </w:sectPr>
      </w:pPr>
    </w:p>
    <w:p w14:paraId="551380A0">
      <w:pPr>
        <w:pStyle w:val="4"/>
        <w:spacing w:before="73" w:line="241" w:lineRule="auto"/>
        <w:ind w:left="7372"/>
        <w:rPr>
          <w:sz w:val="20"/>
          <w:szCs w:val="20"/>
        </w:rPr>
      </w:pPr>
      <w:r>
        <w:drawing>
          <wp:anchor distT="0" distB="0" distL="0" distR="0" simplePos="0" relativeHeight="25198284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83872" behindDoc="0" locked="0" layoutInCell="0" allowOverlap="1">
            <wp:simplePos x="0" y="0"/>
            <wp:positionH relativeFrom="page">
              <wp:posOffset>311150</wp:posOffset>
            </wp:positionH>
            <wp:positionV relativeFrom="page">
              <wp:posOffset>0</wp:posOffset>
            </wp:positionV>
            <wp:extent cx="19050" cy="814070"/>
            <wp:effectExtent l="0" t="0" r="0" b="0"/>
            <wp:wrapNone/>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60F93E4">
      <w:pPr>
        <w:pStyle w:val="4"/>
        <w:spacing w:line="278" w:lineRule="auto"/>
      </w:pPr>
    </w:p>
    <w:p w14:paraId="26DA30D6">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719E54E5">
      <w:pPr>
        <w:pStyle w:val="4"/>
        <w:spacing w:line="252" w:lineRule="auto"/>
      </w:pPr>
    </w:p>
    <w:p w14:paraId="7604E5B5">
      <w:pPr>
        <w:pStyle w:val="4"/>
        <w:spacing w:line="252" w:lineRule="auto"/>
      </w:pPr>
    </w:p>
    <w:p w14:paraId="219D9D5E">
      <w:pPr>
        <w:pStyle w:val="4"/>
        <w:spacing w:line="252" w:lineRule="auto"/>
      </w:pPr>
    </w:p>
    <w:p w14:paraId="41CF9DF3">
      <w:pPr>
        <w:pStyle w:val="4"/>
        <w:spacing w:before="58" w:line="273" w:lineRule="auto"/>
        <w:ind w:left="363" w:right="444" w:firstLine="12"/>
        <w:rPr>
          <w:sz w:val="20"/>
          <w:szCs w:val="20"/>
        </w:rPr>
      </w:pPr>
      <w:r>
        <w:rPr>
          <w:color w:val="57585A"/>
          <w:spacing w:val="-12"/>
          <w:sz w:val="20"/>
          <w:szCs w:val="20"/>
        </w:rPr>
        <w:t>Mexico's national energy plan, PRODESEN 2021-2035, aligns</w:t>
      </w:r>
      <w:r>
        <w:rPr>
          <w:color w:val="57585A"/>
          <w:spacing w:val="-16"/>
          <w:sz w:val="20"/>
          <w:szCs w:val="20"/>
        </w:rPr>
        <w:t xml:space="preserve"> </w:t>
      </w:r>
      <w:r>
        <w:rPr>
          <w:color w:val="57585A"/>
          <w:spacing w:val="-12"/>
          <w:sz w:val="20"/>
          <w:szCs w:val="20"/>
        </w:rPr>
        <w:t>with these developments, presenting opportu</w:t>
      </w:r>
      <w:r>
        <w:rPr>
          <w:color w:val="57585A"/>
          <w:spacing w:val="-13"/>
          <w:sz w:val="20"/>
          <w:szCs w:val="20"/>
        </w:rPr>
        <w:t>nities for additional gas-</w:t>
      </w:r>
      <w:r>
        <w:rPr>
          <w:color w:val="57585A"/>
          <w:sz w:val="20"/>
          <w:szCs w:val="20"/>
        </w:rPr>
        <w:t xml:space="preserve"> </w:t>
      </w:r>
      <w:r>
        <w:rPr>
          <w:color w:val="57585A"/>
          <w:spacing w:val="-11"/>
          <w:sz w:val="20"/>
          <w:szCs w:val="20"/>
        </w:rPr>
        <w:t>fired capacity tenders. The go</w:t>
      </w:r>
      <w:r>
        <w:rPr>
          <w:color w:val="57585A"/>
          <w:spacing w:val="-12"/>
          <w:sz w:val="20"/>
          <w:szCs w:val="20"/>
        </w:rPr>
        <w:t>vernment is investing in expanding gas access, including a USD4.5bn project aimed at improving</w:t>
      </w:r>
    </w:p>
    <w:p w14:paraId="7D958DF7">
      <w:pPr>
        <w:pStyle w:val="4"/>
        <w:spacing w:before="36" w:line="273" w:lineRule="auto"/>
        <w:ind w:left="369" w:right="815" w:firstLine="2"/>
        <w:rPr>
          <w:sz w:val="20"/>
          <w:szCs w:val="20"/>
        </w:rPr>
      </w:pPr>
      <w:r>
        <w:rPr>
          <w:color w:val="57585A"/>
          <w:spacing w:val="-11"/>
          <w:sz w:val="20"/>
          <w:szCs w:val="20"/>
        </w:rPr>
        <w:t>infrastructure on the</w:t>
      </w:r>
      <w:r>
        <w:rPr>
          <w:color w:val="57585A"/>
          <w:spacing w:val="-15"/>
          <w:sz w:val="20"/>
          <w:szCs w:val="20"/>
        </w:rPr>
        <w:t xml:space="preserve"> </w:t>
      </w:r>
      <w:r>
        <w:rPr>
          <w:color w:val="57585A"/>
          <w:spacing w:val="-11"/>
          <w:sz w:val="20"/>
          <w:szCs w:val="20"/>
        </w:rPr>
        <w:t>Yucatan Peninsula. Moreover, near-shoring inv</w:t>
      </w:r>
      <w:r>
        <w:rPr>
          <w:color w:val="57585A"/>
          <w:spacing w:val="-12"/>
          <w:sz w:val="20"/>
          <w:szCs w:val="20"/>
        </w:rPr>
        <w:t>estments offer potential for increased natural gas demand,</w:t>
      </w:r>
      <w:r>
        <w:rPr>
          <w:color w:val="57585A"/>
          <w:sz w:val="20"/>
          <w:szCs w:val="20"/>
        </w:rPr>
        <w:t xml:space="preserve"> </w:t>
      </w:r>
      <w:r>
        <w:rPr>
          <w:color w:val="57585A"/>
          <w:spacing w:val="-10"/>
          <w:sz w:val="20"/>
          <w:szCs w:val="20"/>
        </w:rPr>
        <w:t xml:space="preserve">despite recent trends indicating a </w:t>
      </w:r>
      <w:r>
        <w:rPr>
          <w:color w:val="57585A"/>
          <w:spacing w:val="-11"/>
          <w:sz w:val="20"/>
          <w:szCs w:val="20"/>
        </w:rPr>
        <w:t>preference for non-hydropower renewables.</w:t>
      </w:r>
    </w:p>
    <w:p w14:paraId="66616F22">
      <w:pPr>
        <w:pStyle w:val="4"/>
        <w:spacing w:line="265" w:lineRule="auto"/>
      </w:pPr>
    </w:p>
    <w:p w14:paraId="198BC5F1">
      <w:pPr>
        <w:pStyle w:val="4"/>
        <w:spacing w:before="58" w:line="273" w:lineRule="auto"/>
        <w:ind w:left="372" w:right="456" w:firstLine="3"/>
        <w:rPr>
          <w:sz w:val="20"/>
          <w:szCs w:val="20"/>
        </w:rPr>
      </w:pPr>
      <w:r>
        <w:rPr>
          <w:color w:val="57585A"/>
          <w:spacing w:val="-11"/>
          <w:sz w:val="20"/>
          <w:szCs w:val="20"/>
        </w:rPr>
        <w:t>However, challenges persist, such as slower transitions to</w:t>
      </w:r>
      <w:r>
        <w:rPr>
          <w:color w:val="57585A"/>
          <w:spacing w:val="-12"/>
          <w:sz w:val="20"/>
          <w:szCs w:val="20"/>
        </w:rPr>
        <w:t xml:space="preserve"> low-carbon sources and limited private sector participation in renewables</w:t>
      </w:r>
      <w:r>
        <w:rPr>
          <w:color w:val="57585A"/>
          <w:sz w:val="20"/>
          <w:szCs w:val="20"/>
        </w:rPr>
        <w:t xml:space="preserve"> </w:t>
      </w:r>
      <w:r>
        <w:rPr>
          <w:color w:val="57585A"/>
          <w:spacing w:val="-11"/>
          <w:sz w:val="20"/>
          <w:szCs w:val="20"/>
        </w:rPr>
        <w:t>under the current administration. Despite these hurdles, Mexico continues to rely heavily on imports</w:t>
      </w:r>
      <w:r>
        <w:rPr>
          <w:color w:val="57585A"/>
          <w:spacing w:val="-12"/>
          <w:sz w:val="20"/>
          <w:szCs w:val="20"/>
        </w:rPr>
        <w:t xml:space="preserve"> of U.S. gas, facilitated by</w:t>
      </w:r>
    </w:p>
    <w:p w14:paraId="2C43B2E4">
      <w:pPr>
        <w:pStyle w:val="4"/>
        <w:spacing w:before="37" w:line="231" w:lineRule="auto"/>
        <w:ind w:left="369"/>
        <w:rPr>
          <w:sz w:val="20"/>
          <w:szCs w:val="20"/>
        </w:rPr>
      </w:pPr>
      <w:r>
        <w:rPr>
          <w:color w:val="57585A"/>
          <w:spacing w:val="-10"/>
          <w:sz w:val="20"/>
          <w:szCs w:val="20"/>
        </w:rPr>
        <w:t>expanding midstream infrastructure, to mee</w:t>
      </w:r>
      <w:r>
        <w:rPr>
          <w:color w:val="57585A"/>
          <w:spacing w:val="-11"/>
          <w:sz w:val="20"/>
          <w:szCs w:val="20"/>
        </w:rPr>
        <w:t>t its growing demand as domestic production lags behind consumption increases.</w:t>
      </w:r>
    </w:p>
    <w:p w14:paraId="7098CF2D">
      <w:pPr>
        <w:pStyle w:val="4"/>
        <w:spacing w:line="287" w:lineRule="auto"/>
      </w:pPr>
    </w:p>
    <w:p w14:paraId="4E0EC289">
      <w:pPr>
        <w:pStyle w:val="4"/>
        <w:spacing w:before="58" w:line="231" w:lineRule="auto"/>
        <w:ind w:left="359"/>
        <w:rPr>
          <w:sz w:val="20"/>
          <w:szCs w:val="20"/>
        </w:rPr>
      </w:pPr>
      <w:r>
        <w:rPr>
          <w:color w:val="57585A"/>
          <w:spacing w:val="-11"/>
          <w:sz w:val="20"/>
          <w:szCs w:val="20"/>
        </w:rPr>
        <w:t>Across the region, aggreg</w:t>
      </w:r>
      <w:r>
        <w:rPr>
          <w:color w:val="57585A"/>
          <w:spacing w:val="-12"/>
          <w:sz w:val="20"/>
          <w:szCs w:val="20"/>
        </w:rPr>
        <w:t>ate gas demand growth is expected to decline to 2.5%</w:t>
      </w:r>
      <w:r>
        <w:rPr>
          <w:color w:val="57585A"/>
          <w:spacing w:val="-15"/>
          <w:sz w:val="20"/>
          <w:szCs w:val="20"/>
        </w:rPr>
        <w:t xml:space="preserve"> </w:t>
      </w:r>
      <w:r>
        <w:rPr>
          <w:color w:val="57585A"/>
          <w:spacing w:val="-12"/>
          <w:sz w:val="20"/>
          <w:szCs w:val="20"/>
        </w:rPr>
        <w:t>y-o-y in 2025, down from 4.5% in 2024. This</w:t>
      </w:r>
    </w:p>
    <w:p w14:paraId="241367CE">
      <w:pPr>
        <w:pStyle w:val="4"/>
        <w:spacing w:before="59" w:line="279" w:lineRule="auto"/>
        <w:ind w:left="363" w:right="417" w:firstLine="5"/>
        <w:rPr>
          <w:sz w:val="20"/>
          <w:szCs w:val="20"/>
        </w:rPr>
      </w:pPr>
      <w:r>
        <w:rPr>
          <w:color w:val="57585A"/>
          <w:spacing w:val="-11"/>
          <w:sz w:val="20"/>
          <w:szCs w:val="20"/>
        </w:rPr>
        <w:t>decline is largely due to the expansion of non-hydropower renewables, particularly in Brazil,</w:t>
      </w:r>
      <w:r>
        <w:rPr>
          <w:color w:val="57585A"/>
          <w:spacing w:val="-16"/>
          <w:sz w:val="20"/>
          <w:szCs w:val="20"/>
        </w:rPr>
        <w:t xml:space="preserve"> </w:t>
      </w:r>
      <w:r>
        <w:rPr>
          <w:color w:val="57585A"/>
          <w:spacing w:val="-11"/>
          <w:sz w:val="20"/>
          <w:szCs w:val="20"/>
        </w:rPr>
        <w:t>which limits ga</w:t>
      </w:r>
      <w:r>
        <w:rPr>
          <w:color w:val="57585A"/>
          <w:spacing w:val="-12"/>
          <w:sz w:val="20"/>
          <w:szCs w:val="20"/>
        </w:rPr>
        <w:t>s demand growth from</w:t>
      </w:r>
      <w:r>
        <w:rPr>
          <w:color w:val="57585A"/>
          <w:sz w:val="20"/>
          <w:szCs w:val="20"/>
        </w:rPr>
        <w:t xml:space="preserve">  </w:t>
      </w:r>
      <w:r>
        <w:rPr>
          <w:color w:val="57585A"/>
          <w:spacing w:val="-11"/>
          <w:sz w:val="20"/>
          <w:szCs w:val="20"/>
        </w:rPr>
        <w:t>the power sector. However, the La Niña</w:t>
      </w:r>
      <w:r>
        <w:rPr>
          <w:color w:val="57585A"/>
          <w:spacing w:val="-16"/>
          <w:sz w:val="20"/>
          <w:szCs w:val="20"/>
        </w:rPr>
        <w:t xml:space="preserve"> </w:t>
      </w:r>
      <w:r>
        <w:rPr>
          <w:color w:val="57585A"/>
          <w:spacing w:val="-11"/>
          <w:sz w:val="20"/>
          <w:szCs w:val="20"/>
        </w:rPr>
        <w:t>weather phenomenon may bring droughts, leading to redu</w:t>
      </w:r>
      <w:r>
        <w:rPr>
          <w:color w:val="57585A"/>
          <w:spacing w:val="-12"/>
          <w:sz w:val="20"/>
          <w:szCs w:val="20"/>
        </w:rPr>
        <w:t>ced hydropower generation and</w:t>
      </w:r>
      <w:r>
        <w:rPr>
          <w:color w:val="57585A"/>
          <w:sz w:val="20"/>
          <w:szCs w:val="20"/>
        </w:rPr>
        <w:t xml:space="preserve"> </w:t>
      </w:r>
      <w:r>
        <w:rPr>
          <w:color w:val="57585A"/>
          <w:spacing w:val="-10"/>
          <w:sz w:val="20"/>
          <w:szCs w:val="20"/>
        </w:rPr>
        <w:t>consequently higher utilisation of natural gas powe</w:t>
      </w:r>
      <w:r>
        <w:rPr>
          <w:color w:val="57585A"/>
          <w:spacing w:val="-11"/>
          <w:sz w:val="20"/>
          <w:szCs w:val="20"/>
        </w:rPr>
        <w:t>r plants.</w:t>
      </w:r>
    </w:p>
    <w:p w14:paraId="30E35BD4">
      <w:pPr>
        <w:pStyle w:val="4"/>
        <w:spacing w:line="265" w:lineRule="auto"/>
      </w:pPr>
    </w:p>
    <w:p w14:paraId="00B0A630">
      <w:pPr>
        <w:pStyle w:val="4"/>
        <w:spacing w:before="58" w:line="273" w:lineRule="auto"/>
        <w:ind w:left="370" w:right="1219" w:hanging="1"/>
        <w:rPr>
          <w:sz w:val="20"/>
          <w:szCs w:val="20"/>
        </w:rPr>
      </w:pPr>
      <w:r>
        <w:rPr>
          <w:color w:val="57585A"/>
          <w:spacing w:val="-11"/>
          <w:sz w:val="20"/>
          <w:szCs w:val="20"/>
        </w:rPr>
        <w:t>Overall,</w:t>
      </w:r>
      <w:r>
        <w:rPr>
          <w:color w:val="57585A"/>
          <w:spacing w:val="-16"/>
          <w:sz w:val="20"/>
          <w:szCs w:val="20"/>
        </w:rPr>
        <w:t xml:space="preserve"> </w:t>
      </w:r>
      <w:r>
        <w:rPr>
          <w:color w:val="57585A"/>
          <w:spacing w:val="-11"/>
          <w:sz w:val="20"/>
          <w:szCs w:val="20"/>
        </w:rPr>
        <w:t>while the LatAm region faces cha</w:t>
      </w:r>
      <w:r>
        <w:rPr>
          <w:color w:val="57585A"/>
          <w:spacing w:val="-12"/>
          <w:sz w:val="20"/>
          <w:szCs w:val="20"/>
        </w:rPr>
        <w:t>llenges, the outlook for natural gas demand remains positive, driven by strategic</w:t>
      </w:r>
      <w:r>
        <w:rPr>
          <w:color w:val="57585A"/>
          <w:sz w:val="20"/>
          <w:szCs w:val="20"/>
        </w:rPr>
        <w:t xml:space="preserve"> </w:t>
      </w:r>
      <w:r>
        <w:rPr>
          <w:color w:val="57585A"/>
          <w:spacing w:val="-10"/>
          <w:sz w:val="20"/>
          <w:szCs w:val="20"/>
        </w:rPr>
        <w:t xml:space="preserve">investments and policy frameworks that </w:t>
      </w:r>
      <w:r>
        <w:rPr>
          <w:color w:val="57585A"/>
          <w:spacing w:val="-11"/>
          <w:sz w:val="20"/>
          <w:szCs w:val="20"/>
        </w:rPr>
        <w:t>support growth, particularly in Mexico.</w:t>
      </w:r>
    </w:p>
    <w:p w14:paraId="28DE6D86">
      <w:pPr>
        <w:pStyle w:val="4"/>
        <w:spacing w:line="262" w:lineRule="auto"/>
      </w:pPr>
    </w:p>
    <w:p w14:paraId="669DDBC3">
      <w:pPr>
        <w:pStyle w:val="4"/>
        <w:spacing w:before="58" w:line="241" w:lineRule="auto"/>
        <w:ind w:left="375"/>
        <w:rPr>
          <w:sz w:val="20"/>
          <w:szCs w:val="20"/>
        </w:rPr>
      </w:pPr>
      <w:r>
        <w:rPr>
          <w:b/>
          <w:bCs/>
          <w:color w:val="57585A"/>
          <w:spacing w:val="-9"/>
          <w:sz w:val="20"/>
          <w:szCs w:val="20"/>
        </w:rPr>
        <w:t>Fuel Consumption: LatinAmerica's Fuel Deman</w:t>
      </w:r>
      <w:r>
        <w:rPr>
          <w:b/>
          <w:bCs/>
          <w:color w:val="57585A"/>
          <w:spacing w:val="-10"/>
          <w:sz w:val="20"/>
          <w:szCs w:val="20"/>
        </w:rPr>
        <w:t>d</w:t>
      </w:r>
      <w:r>
        <w:rPr>
          <w:b/>
          <w:bCs/>
          <w:color w:val="57585A"/>
          <w:spacing w:val="-14"/>
          <w:sz w:val="20"/>
          <w:szCs w:val="20"/>
        </w:rPr>
        <w:t xml:space="preserve"> </w:t>
      </w:r>
      <w:r>
        <w:rPr>
          <w:b/>
          <w:bCs/>
          <w:color w:val="57585A"/>
          <w:spacing w:val="-10"/>
          <w:sz w:val="20"/>
          <w:szCs w:val="20"/>
        </w:rPr>
        <w:t>To Recover</w:t>
      </w:r>
      <w:r>
        <w:rPr>
          <w:b/>
          <w:bCs/>
          <w:color w:val="57585A"/>
          <w:spacing w:val="-16"/>
          <w:sz w:val="20"/>
          <w:szCs w:val="20"/>
        </w:rPr>
        <w:t xml:space="preserve"> </w:t>
      </w:r>
      <w:r>
        <w:rPr>
          <w:b/>
          <w:bCs/>
          <w:color w:val="57585A"/>
          <w:spacing w:val="-10"/>
          <w:sz w:val="20"/>
          <w:szCs w:val="20"/>
        </w:rPr>
        <w:t>To Pre-Covid Levels By 2025</w:t>
      </w:r>
      <w:r>
        <w:rPr>
          <w:b/>
          <w:bCs/>
          <w:color w:val="57585A"/>
          <w:spacing w:val="-16"/>
          <w:sz w:val="20"/>
          <w:szCs w:val="20"/>
        </w:rPr>
        <w:t xml:space="preserve"> </w:t>
      </w:r>
      <w:r>
        <w:rPr>
          <w:b/>
          <w:bCs/>
          <w:color w:val="57585A"/>
          <w:spacing w:val="-10"/>
          <w:sz w:val="20"/>
          <w:szCs w:val="20"/>
        </w:rPr>
        <w:t>Amid Economic Growth</w:t>
      </w:r>
    </w:p>
    <w:p w14:paraId="67002B23">
      <w:pPr>
        <w:pStyle w:val="4"/>
        <w:spacing w:line="282" w:lineRule="auto"/>
      </w:pPr>
    </w:p>
    <w:p w14:paraId="78F89792">
      <w:pPr>
        <w:pStyle w:val="4"/>
        <w:spacing w:before="58" w:line="279" w:lineRule="auto"/>
        <w:ind w:left="372" w:right="405" w:hanging="12"/>
        <w:jc w:val="both"/>
        <w:rPr>
          <w:sz w:val="20"/>
          <w:szCs w:val="20"/>
        </w:rPr>
      </w:pPr>
      <w:r>
        <w:rPr>
          <w:color w:val="57585A"/>
          <w:spacing w:val="-11"/>
          <w:sz w:val="20"/>
          <w:szCs w:val="20"/>
        </w:rPr>
        <w:t>The outlook for fuel consumption in Latin</w:t>
      </w:r>
      <w:r>
        <w:rPr>
          <w:color w:val="57585A"/>
          <w:spacing w:val="-15"/>
          <w:sz w:val="20"/>
          <w:szCs w:val="20"/>
        </w:rPr>
        <w:t xml:space="preserve"> </w:t>
      </w:r>
      <w:r>
        <w:rPr>
          <w:color w:val="57585A"/>
          <w:spacing w:val="-11"/>
          <w:sz w:val="20"/>
          <w:szCs w:val="20"/>
        </w:rPr>
        <w:t>America is shaped by diverse economic, technological, and</w:t>
      </w:r>
      <w:r>
        <w:rPr>
          <w:color w:val="57585A"/>
          <w:spacing w:val="-12"/>
          <w:sz w:val="20"/>
          <w:szCs w:val="20"/>
        </w:rPr>
        <w:t xml:space="preserve"> sectoral factors. By 2025, the</w:t>
      </w:r>
      <w:r>
        <w:rPr>
          <w:color w:val="57585A"/>
          <w:sz w:val="20"/>
          <w:szCs w:val="20"/>
        </w:rPr>
        <w:t xml:space="preserve"> </w:t>
      </w:r>
      <w:r>
        <w:rPr>
          <w:color w:val="57585A"/>
          <w:spacing w:val="-11"/>
          <w:sz w:val="20"/>
          <w:szCs w:val="20"/>
        </w:rPr>
        <w:t>region's fuel demand is expe</w:t>
      </w:r>
      <w:r>
        <w:rPr>
          <w:color w:val="57585A"/>
          <w:spacing w:val="-12"/>
          <w:sz w:val="20"/>
          <w:szCs w:val="20"/>
        </w:rPr>
        <w:t>cted to return to pre-Covid levels, despite ongoing challenges. This recovery is driven by key trends and</w:t>
      </w:r>
      <w:r>
        <w:rPr>
          <w:color w:val="57585A"/>
          <w:sz w:val="20"/>
          <w:szCs w:val="20"/>
        </w:rPr>
        <w:t xml:space="preserve"> </w:t>
      </w:r>
      <w:r>
        <w:rPr>
          <w:color w:val="57585A"/>
          <w:spacing w:val="-10"/>
          <w:sz w:val="20"/>
          <w:szCs w:val="20"/>
        </w:rPr>
        <w:t>projections.</w:t>
      </w:r>
    </w:p>
    <w:p w14:paraId="60CC0E57">
      <w:pPr>
        <w:pStyle w:val="4"/>
        <w:spacing w:line="295" w:lineRule="auto"/>
      </w:pPr>
    </w:p>
    <w:p w14:paraId="0C654F48">
      <w:pPr>
        <w:pStyle w:val="4"/>
        <w:spacing w:line="295" w:lineRule="auto"/>
      </w:pPr>
    </w:p>
    <w:p w14:paraId="41431107">
      <w:pPr>
        <w:pStyle w:val="4"/>
        <w:spacing w:before="70" w:line="236" w:lineRule="auto"/>
        <w:ind w:left="3406"/>
        <w:outlineLvl w:val="1"/>
        <w:rPr>
          <w:sz w:val="24"/>
          <w:szCs w:val="24"/>
        </w:rPr>
      </w:pPr>
      <w:r>
        <w:rPr>
          <w:color w:val="174174"/>
          <w:spacing w:val="-9"/>
          <w:sz w:val="24"/>
          <w:szCs w:val="24"/>
        </w:rPr>
        <w:t>Acceleration In Fuel Consumption In 2025</w:t>
      </w:r>
    </w:p>
    <w:p w14:paraId="76B91DFC">
      <w:pPr>
        <w:pStyle w:val="4"/>
        <w:spacing w:before="30" w:line="231" w:lineRule="auto"/>
        <w:ind w:left="1906"/>
        <w:outlineLvl w:val="1"/>
        <w:rPr>
          <w:sz w:val="20"/>
          <w:szCs w:val="20"/>
        </w:rPr>
      </w:pPr>
      <w:r>
        <w:rPr>
          <w:color w:val="333333"/>
          <w:spacing w:val="-13"/>
          <w:sz w:val="20"/>
          <w:szCs w:val="20"/>
        </w:rPr>
        <w:t>LatAm -</w:t>
      </w:r>
      <w:r>
        <w:rPr>
          <w:color w:val="333333"/>
          <w:spacing w:val="-15"/>
          <w:sz w:val="20"/>
          <w:szCs w:val="20"/>
        </w:rPr>
        <w:t xml:space="preserve"> </w:t>
      </w:r>
      <w:r>
        <w:rPr>
          <w:color w:val="333333"/>
          <w:spacing w:val="-13"/>
          <w:sz w:val="20"/>
          <w:szCs w:val="20"/>
        </w:rPr>
        <w:t>Total Fuel Consumption Growth Forecast For Selected Mar</w:t>
      </w:r>
      <w:r>
        <w:rPr>
          <w:color w:val="333333"/>
          <w:spacing w:val="-14"/>
          <w:sz w:val="20"/>
          <w:szCs w:val="20"/>
        </w:rPr>
        <w:t>kets, % y-o-y (2023-2034)</w:t>
      </w:r>
    </w:p>
    <w:p w14:paraId="5A7B6B9F">
      <w:pPr>
        <w:spacing w:before="96" w:line="4500" w:lineRule="exact"/>
        <w:ind w:firstLine="1862"/>
      </w:pPr>
      <w:r>
        <w:rPr>
          <w:position w:val="-89"/>
        </w:rPr>
        <w:drawing>
          <wp:inline distT="0" distB="0" distL="0" distR="0">
            <wp:extent cx="4572000" cy="2856865"/>
            <wp:effectExtent l="0" t="0" r="0" b="0"/>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157"/>
                    <a:stretch>
                      <a:fillRect/>
                    </a:stretch>
                  </pic:blipFill>
                  <pic:spPr>
                    <a:xfrm>
                      <a:off x="0" y="0"/>
                      <a:ext cx="4572000" cy="2857499"/>
                    </a:xfrm>
                    <a:prstGeom prst="rect">
                      <a:avLst/>
                    </a:prstGeom>
                  </pic:spPr>
                </pic:pic>
              </a:graphicData>
            </a:graphic>
          </wp:inline>
        </w:drawing>
      </w:r>
    </w:p>
    <w:p w14:paraId="72F48350">
      <w:pPr>
        <w:pStyle w:val="4"/>
        <w:spacing w:before="149" w:line="197" w:lineRule="exact"/>
        <w:ind w:left="1876"/>
        <w:rPr>
          <w:sz w:val="15"/>
          <w:szCs w:val="15"/>
        </w:rPr>
      </w:pPr>
      <w:r>
        <w:drawing>
          <wp:anchor distT="0" distB="0" distL="0" distR="0" simplePos="0" relativeHeight="251981824"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9"/>
          <w:position w:val="1"/>
          <w:sz w:val="15"/>
          <w:szCs w:val="15"/>
        </w:rPr>
        <w:t xml:space="preserve"> </w:t>
      </w:r>
      <w:r>
        <w:rPr>
          <w:i/>
          <w:iCs/>
          <w:color w:val="333333"/>
          <w:spacing w:val="-3"/>
          <w:w w:val="93"/>
          <w:position w:val="1"/>
          <w:sz w:val="15"/>
          <w:szCs w:val="15"/>
        </w:rPr>
        <w:t>= estimate/forecast. Source: BMI</w:t>
      </w:r>
    </w:p>
    <w:p w14:paraId="4B80F09B">
      <w:pPr>
        <w:spacing w:line="197" w:lineRule="exact"/>
        <w:rPr>
          <w:sz w:val="15"/>
          <w:szCs w:val="15"/>
        </w:rPr>
        <w:sectPr>
          <w:footerReference r:id="rId92" w:type="default"/>
          <w:pgSz w:w="11906" w:h="16838"/>
          <w:pgMar w:top="400" w:right="490" w:bottom="883" w:left="490" w:header="0" w:footer="0" w:gutter="0"/>
          <w:cols w:space="720" w:num="1"/>
        </w:sectPr>
      </w:pPr>
    </w:p>
    <w:p w14:paraId="405C433C">
      <w:pPr>
        <w:pStyle w:val="4"/>
        <w:spacing w:before="73" w:line="241" w:lineRule="auto"/>
        <w:ind w:left="7372"/>
        <w:rPr>
          <w:sz w:val="20"/>
          <w:szCs w:val="20"/>
        </w:rPr>
      </w:pPr>
      <w:r>
        <w:drawing>
          <wp:anchor distT="0" distB="0" distL="0" distR="0" simplePos="0" relativeHeight="25198592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86944" behindDoc="0" locked="0" layoutInCell="0" allowOverlap="1">
            <wp:simplePos x="0" y="0"/>
            <wp:positionH relativeFrom="page">
              <wp:posOffset>311150</wp:posOffset>
            </wp:positionH>
            <wp:positionV relativeFrom="page">
              <wp:posOffset>0</wp:posOffset>
            </wp:positionV>
            <wp:extent cx="19050" cy="814070"/>
            <wp:effectExtent l="0" t="0" r="0" b="0"/>
            <wp:wrapNone/>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53512F00">
      <w:pPr>
        <w:pStyle w:val="4"/>
        <w:spacing w:line="278" w:lineRule="auto"/>
      </w:pPr>
    </w:p>
    <w:p w14:paraId="66DC02C4">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4CA4431">
      <w:pPr>
        <w:pStyle w:val="4"/>
        <w:spacing w:line="252" w:lineRule="auto"/>
      </w:pPr>
    </w:p>
    <w:p w14:paraId="32BC2747">
      <w:pPr>
        <w:pStyle w:val="4"/>
        <w:spacing w:line="252" w:lineRule="auto"/>
      </w:pPr>
    </w:p>
    <w:p w14:paraId="082DDEEA">
      <w:pPr>
        <w:pStyle w:val="4"/>
        <w:spacing w:line="252" w:lineRule="auto"/>
      </w:pPr>
    </w:p>
    <w:p w14:paraId="77874FCD">
      <w:pPr>
        <w:pStyle w:val="4"/>
        <w:spacing w:before="58" w:line="231" w:lineRule="auto"/>
        <w:ind w:left="376"/>
        <w:rPr>
          <w:sz w:val="20"/>
          <w:szCs w:val="20"/>
        </w:rPr>
      </w:pPr>
      <w:r>
        <w:rPr>
          <w:color w:val="57585A"/>
          <w:spacing w:val="-11"/>
          <w:sz w:val="20"/>
          <w:szCs w:val="20"/>
        </w:rPr>
        <w:t>Brazil, the largest fuel consumer in Latin</w:t>
      </w:r>
      <w:r>
        <w:rPr>
          <w:color w:val="57585A"/>
          <w:spacing w:val="-16"/>
          <w:sz w:val="20"/>
          <w:szCs w:val="20"/>
        </w:rPr>
        <w:t xml:space="preserve"> </w:t>
      </w:r>
      <w:r>
        <w:rPr>
          <w:color w:val="57585A"/>
          <w:spacing w:val="-11"/>
          <w:sz w:val="20"/>
          <w:szCs w:val="20"/>
        </w:rPr>
        <w:t>America, is expected to see demand increase from 2.2mn b/d in 2023 to 2.</w:t>
      </w:r>
      <w:r>
        <w:rPr>
          <w:color w:val="57585A"/>
          <w:spacing w:val="-12"/>
          <w:sz w:val="20"/>
          <w:szCs w:val="20"/>
        </w:rPr>
        <w:t>5mn b/d by</w:t>
      </w:r>
    </w:p>
    <w:p w14:paraId="3A4A72AF">
      <w:pPr>
        <w:pStyle w:val="4"/>
        <w:spacing w:before="58" w:line="231" w:lineRule="auto"/>
        <w:ind w:left="371"/>
        <w:rPr>
          <w:sz w:val="20"/>
          <w:szCs w:val="20"/>
        </w:rPr>
      </w:pPr>
      <w:r>
        <w:rPr>
          <w:color w:val="57585A"/>
          <w:spacing w:val="-10"/>
          <w:sz w:val="20"/>
          <w:szCs w:val="20"/>
        </w:rPr>
        <w:t>2034. This growth reflects Brazil's economic resilience and the anticip</w:t>
      </w:r>
      <w:r>
        <w:rPr>
          <w:color w:val="57585A"/>
          <w:spacing w:val="-11"/>
          <w:sz w:val="20"/>
          <w:szCs w:val="20"/>
        </w:rPr>
        <w:t>ated acceleration of</w:t>
      </w:r>
      <w:r>
        <w:rPr>
          <w:color w:val="57585A"/>
          <w:spacing w:val="-15"/>
          <w:sz w:val="20"/>
          <w:szCs w:val="20"/>
        </w:rPr>
        <w:t xml:space="preserve"> </w:t>
      </w:r>
      <w:r>
        <w:rPr>
          <w:color w:val="57585A"/>
          <w:spacing w:val="-11"/>
          <w:sz w:val="20"/>
          <w:szCs w:val="20"/>
        </w:rPr>
        <w:t>energy transition initiatives under</w:t>
      </w:r>
    </w:p>
    <w:p w14:paraId="1BBD381D">
      <w:pPr>
        <w:pStyle w:val="4"/>
        <w:spacing w:before="58" w:line="294" w:lineRule="auto"/>
        <w:ind w:left="363" w:right="442" w:firstLine="12"/>
        <w:rPr>
          <w:sz w:val="20"/>
          <w:szCs w:val="20"/>
        </w:rPr>
      </w:pPr>
      <w:r>
        <w:rPr>
          <w:color w:val="57585A"/>
          <w:spacing w:val="-11"/>
          <w:sz w:val="20"/>
          <w:szCs w:val="20"/>
        </w:rPr>
        <w:t>President Lula. While there is optimism about EV adoption, limite</w:t>
      </w:r>
      <w:r>
        <w:rPr>
          <w:color w:val="57585A"/>
          <w:spacing w:val="-12"/>
          <w:sz w:val="20"/>
          <w:szCs w:val="20"/>
        </w:rPr>
        <w:t>d EV infrastructure is likely to hinder</w:t>
      </w:r>
      <w:r>
        <w:rPr>
          <w:color w:val="57585A"/>
          <w:spacing w:val="-16"/>
          <w:sz w:val="20"/>
          <w:szCs w:val="20"/>
        </w:rPr>
        <w:t xml:space="preserve"> </w:t>
      </w:r>
      <w:r>
        <w:rPr>
          <w:color w:val="57585A"/>
          <w:spacing w:val="-12"/>
          <w:sz w:val="20"/>
          <w:szCs w:val="20"/>
        </w:rPr>
        <w:t>widespread adoption, keeping</w:t>
      </w:r>
      <w:r>
        <w:rPr>
          <w:color w:val="57585A"/>
          <w:sz w:val="20"/>
          <w:szCs w:val="20"/>
        </w:rPr>
        <w:t xml:space="preserve"> </w:t>
      </w:r>
      <w:r>
        <w:rPr>
          <w:color w:val="57585A"/>
          <w:spacing w:val="-9"/>
          <w:sz w:val="20"/>
          <w:szCs w:val="20"/>
        </w:rPr>
        <w:t>traditional</w:t>
      </w:r>
      <w:r>
        <w:rPr>
          <w:color w:val="57585A"/>
          <w:spacing w:val="-16"/>
          <w:sz w:val="20"/>
          <w:szCs w:val="20"/>
        </w:rPr>
        <w:t xml:space="preserve"> </w:t>
      </w:r>
      <w:r>
        <w:rPr>
          <w:color w:val="57585A"/>
          <w:spacing w:val="-9"/>
          <w:sz w:val="20"/>
          <w:szCs w:val="20"/>
        </w:rPr>
        <w:t>vehicles dominant.</w:t>
      </w:r>
    </w:p>
    <w:p w14:paraId="77481CF4">
      <w:pPr>
        <w:pStyle w:val="4"/>
        <w:spacing w:before="285" w:line="273" w:lineRule="auto"/>
        <w:ind w:left="368" w:right="748" w:hanging="8"/>
        <w:rPr>
          <w:sz w:val="20"/>
          <w:szCs w:val="20"/>
        </w:rPr>
      </w:pPr>
      <w:r>
        <w:rPr>
          <w:color w:val="57585A"/>
          <w:spacing w:val="-11"/>
          <w:sz w:val="20"/>
          <w:szCs w:val="20"/>
        </w:rPr>
        <w:t>The agricultural sector, which heavily relies on</w:t>
      </w:r>
      <w:r>
        <w:rPr>
          <w:color w:val="57585A"/>
          <w:spacing w:val="-12"/>
          <w:sz w:val="20"/>
          <w:szCs w:val="20"/>
        </w:rPr>
        <w:t xml:space="preserve"> diesel, is poised for growth. This sectoral expansion supports a positive long-term</w:t>
      </w:r>
      <w:r>
        <w:rPr>
          <w:color w:val="57585A"/>
          <w:sz w:val="20"/>
          <w:szCs w:val="20"/>
        </w:rPr>
        <w:t xml:space="preserve"> </w:t>
      </w:r>
      <w:r>
        <w:rPr>
          <w:color w:val="57585A"/>
          <w:spacing w:val="-10"/>
          <w:sz w:val="20"/>
          <w:szCs w:val="20"/>
        </w:rPr>
        <w:t>outlook for fuel consumption.</w:t>
      </w:r>
      <w:r>
        <w:rPr>
          <w:color w:val="57585A"/>
          <w:spacing w:val="-16"/>
          <w:sz w:val="20"/>
          <w:szCs w:val="20"/>
        </w:rPr>
        <w:t xml:space="preserve"> </w:t>
      </w:r>
      <w:r>
        <w:rPr>
          <w:color w:val="57585A"/>
          <w:spacing w:val="-10"/>
          <w:sz w:val="20"/>
          <w:szCs w:val="20"/>
        </w:rPr>
        <w:t>As</w:t>
      </w:r>
      <w:r>
        <w:rPr>
          <w:color w:val="57585A"/>
          <w:spacing w:val="-15"/>
          <w:sz w:val="20"/>
          <w:szCs w:val="20"/>
        </w:rPr>
        <w:t xml:space="preserve"> </w:t>
      </w:r>
      <w:r>
        <w:rPr>
          <w:color w:val="57585A"/>
          <w:spacing w:val="-10"/>
          <w:sz w:val="20"/>
          <w:szCs w:val="20"/>
        </w:rPr>
        <w:t>ve</w:t>
      </w:r>
      <w:r>
        <w:rPr>
          <w:color w:val="57585A"/>
          <w:spacing w:val="-11"/>
          <w:sz w:val="20"/>
          <w:szCs w:val="20"/>
        </w:rPr>
        <w:t>hicle fleets grow in major economies, diesel consumption is expected to rise alongside</w:t>
      </w:r>
    </w:p>
    <w:p w14:paraId="18FCA3A5">
      <w:pPr>
        <w:pStyle w:val="4"/>
        <w:spacing w:before="37" w:line="231" w:lineRule="auto"/>
        <w:ind w:left="367"/>
        <w:rPr>
          <w:sz w:val="20"/>
          <w:szCs w:val="20"/>
        </w:rPr>
      </w:pPr>
      <w:r>
        <w:rPr>
          <w:color w:val="57585A"/>
          <w:spacing w:val="-10"/>
          <w:sz w:val="20"/>
          <w:szCs w:val="20"/>
        </w:rPr>
        <w:t>agricultural development.</w:t>
      </w:r>
    </w:p>
    <w:p w14:paraId="3B9B0C37">
      <w:pPr>
        <w:pStyle w:val="4"/>
        <w:spacing w:line="287" w:lineRule="auto"/>
      </w:pPr>
    </w:p>
    <w:p w14:paraId="5AC93AE4">
      <w:pPr>
        <w:pStyle w:val="4"/>
        <w:spacing w:before="58" w:line="231" w:lineRule="auto"/>
        <w:ind w:left="369"/>
        <w:rPr>
          <w:sz w:val="20"/>
          <w:szCs w:val="20"/>
        </w:rPr>
      </w:pPr>
      <w:r>
        <w:rPr>
          <w:color w:val="57585A"/>
          <w:spacing w:val="-10"/>
          <w:sz w:val="20"/>
          <w:szCs w:val="20"/>
        </w:rPr>
        <w:t>Overall, fuel consumption in Latin</w:t>
      </w:r>
      <w:r>
        <w:rPr>
          <w:color w:val="57585A"/>
          <w:spacing w:val="-16"/>
          <w:sz w:val="20"/>
          <w:szCs w:val="20"/>
        </w:rPr>
        <w:t xml:space="preserve"> </w:t>
      </w:r>
      <w:r>
        <w:rPr>
          <w:color w:val="57585A"/>
          <w:spacing w:val="-10"/>
          <w:sz w:val="20"/>
          <w:szCs w:val="20"/>
        </w:rPr>
        <w:t>Am</w:t>
      </w:r>
      <w:r>
        <w:rPr>
          <w:color w:val="57585A"/>
          <w:spacing w:val="-11"/>
          <w:sz w:val="20"/>
          <w:szCs w:val="20"/>
        </w:rPr>
        <w:t>erica is projected to reach 7.3mn b/d by 2034, up from 6.0mn b/d in 2023. Colombia and</w:t>
      </w:r>
    </w:p>
    <w:p w14:paraId="32BDDE97">
      <w:pPr>
        <w:pStyle w:val="4"/>
        <w:spacing w:before="58" w:line="273" w:lineRule="auto"/>
        <w:ind w:left="373" w:right="438" w:firstLine="2"/>
        <w:rPr>
          <w:sz w:val="20"/>
          <w:szCs w:val="20"/>
        </w:rPr>
      </w:pPr>
      <w:r>
        <w:rPr>
          <w:color w:val="57585A"/>
          <w:spacing w:val="-12"/>
          <w:sz w:val="20"/>
          <w:szCs w:val="20"/>
        </w:rPr>
        <w:t>Ecuador are expected to see significant increases in fuel consumption,</w:t>
      </w:r>
      <w:r>
        <w:rPr>
          <w:color w:val="57585A"/>
          <w:spacing w:val="-15"/>
          <w:sz w:val="20"/>
          <w:szCs w:val="20"/>
        </w:rPr>
        <w:t xml:space="preserve"> </w:t>
      </w:r>
      <w:r>
        <w:rPr>
          <w:color w:val="57585A"/>
          <w:spacing w:val="-12"/>
          <w:sz w:val="20"/>
          <w:szCs w:val="20"/>
        </w:rPr>
        <w:t xml:space="preserve">with Colombia's demand rising by </w:t>
      </w:r>
      <w:r>
        <w:rPr>
          <w:color w:val="57585A"/>
          <w:spacing w:val="-13"/>
          <w:sz w:val="20"/>
          <w:szCs w:val="20"/>
        </w:rPr>
        <w:t>over 34.0% and Ecuador's</w:t>
      </w:r>
      <w:r>
        <w:rPr>
          <w:color w:val="57585A"/>
          <w:sz w:val="20"/>
          <w:szCs w:val="20"/>
        </w:rPr>
        <w:t xml:space="preserve"> </w:t>
      </w:r>
      <w:r>
        <w:rPr>
          <w:color w:val="57585A"/>
          <w:spacing w:val="-11"/>
          <w:sz w:val="20"/>
          <w:szCs w:val="20"/>
        </w:rPr>
        <w:t>by nearly 45.0%. This growth is linked to anticipated positive GDP growth, highlighting the connection between economic</w:t>
      </w:r>
    </w:p>
    <w:p w14:paraId="42465144">
      <w:pPr>
        <w:pStyle w:val="4"/>
        <w:spacing w:before="36" w:line="234" w:lineRule="auto"/>
        <w:ind w:left="369"/>
        <w:rPr>
          <w:sz w:val="20"/>
          <w:szCs w:val="20"/>
        </w:rPr>
      </w:pPr>
      <w:r>
        <w:rPr>
          <w:color w:val="57585A"/>
          <w:spacing w:val="-12"/>
          <w:sz w:val="20"/>
          <w:szCs w:val="20"/>
        </w:rPr>
        <w:t>expansion and fuel deman</w:t>
      </w:r>
      <w:r>
        <w:rPr>
          <w:color w:val="57585A"/>
          <w:spacing w:val="-13"/>
          <w:sz w:val="20"/>
          <w:szCs w:val="20"/>
        </w:rPr>
        <w:t>d.</w:t>
      </w:r>
    </w:p>
    <w:p w14:paraId="1AB44553">
      <w:pPr>
        <w:pStyle w:val="4"/>
        <w:spacing w:line="304" w:lineRule="auto"/>
      </w:pPr>
    </w:p>
    <w:p w14:paraId="2CD1A22D">
      <w:pPr>
        <w:pStyle w:val="4"/>
        <w:spacing w:line="305" w:lineRule="auto"/>
      </w:pPr>
    </w:p>
    <w:p w14:paraId="6732437A">
      <w:pPr>
        <w:pStyle w:val="4"/>
        <w:spacing w:before="70" w:line="234" w:lineRule="auto"/>
        <w:ind w:left="2686"/>
        <w:rPr>
          <w:sz w:val="24"/>
          <w:szCs w:val="24"/>
        </w:rPr>
      </w:pPr>
      <w:r>
        <w:rPr>
          <w:color w:val="174174"/>
          <w:spacing w:val="-14"/>
          <w:sz w:val="24"/>
          <w:szCs w:val="24"/>
        </w:rPr>
        <w:t>Fuel Consumption Largely Expected To Track GDP Growth</w:t>
      </w:r>
    </w:p>
    <w:p w14:paraId="7277D0DB">
      <w:pPr>
        <w:pStyle w:val="4"/>
        <w:spacing w:before="33" w:line="231" w:lineRule="auto"/>
        <w:ind w:left="2138"/>
        <w:rPr>
          <w:sz w:val="20"/>
          <w:szCs w:val="20"/>
        </w:rPr>
      </w:pPr>
      <w:r>
        <w:rPr>
          <w:color w:val="333333"/>
          <w:spacing w:val="-14"/>
          <w:sz w:val="20"/>
          <w:szCs w:val="20"/>
        </w:rPr>
        <w:t>LatAm - Select Markets Refined Fuel Consumption &amp; Real GDP</w:t>
      </w:r>
      <w:r>
        <w:rPr>
          <w:color w:val="333333"/>
          <w:spacing w:val="-15"/>
          <w:sz w:val="20"/>
          <w:szCs w:val="20"/>
        </w:rPr>
        <w:t>, 000'</w:t>
      </w:r>
      <w:r>
        <w:rPr>
          <w:color w:val="333333"/>
          <w:spacing w:val="-2"/>
          <w:sz w:val="20"/>
          <w:szCs w:val="20"/>
        </w:rPr>
        <w:t xml:space="preserve"> </w:t>
      </w:r>
      <w:r>
        <w:rPr>
          <w:color w:val="333333"/>
          <w:spacing w:val="-15"/>
          <w:sz w:val="20"/>
          <w:szCs w:val="20"/>
        </w:rPr>
        <w:t>b/d &amp;</w:t>
      </w:r>
      <w:r>
        <w:rPr>
          <w:color w:val="333333"/>
          <w:sz w:val="20"/>
          <w:szCs w:val="20"/>
        </w:rPr>
        <w:t xml:space="preserve"> </w:t>
      </w:r>
      <w:r>
        <w:rPr>
          <w:color w:val="333333"/>
          <w:spacing w:val="-15"/>
          <w:sz w:val="20"/>
          <w:szCs w:val="20"/>
        </w:rPr>
        <w:t>USD (2025f)</w:t>
      </w:r>
    </w:p>
    <w:p w14:paraId="24C42DBB">
      <w:pPr>
        <w:spacing w:before="96" w:line="4500" w:lineRule="exact"/>
        <w:ind w:firstLine="1862"/>
      </w:pPr>
      <w:r>
        <w:rPr>
          <w:position w:val="-90"/>
        </w:rPr>
        <w:drawing>
          <wp:inline distT="0" distB="0" distL="0" distR="0">
            <wp:extent cx="4572000" cy="2857500"/>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158"/>
                    <a:stretch>
                      <a:fillRect/>
                    </a:stretch>
                  </pic:blipFill>
                  <pic:spPr>
                    <a:xfrm>
                      <a:off x="0" y="0"/>
                      <a:ext cx="4572000" cy="2857500"/>
                    </a:xfrm>
                    <a:prstGeom prst="rect">
                      <a:avLst/>
                    </a:prstGeom>
                  </pic:spPr>
                </pic:pic>
              </a:graphicData>
            </a:graphic>
          </wp:inline>
        </w:drawing>
      </w:r>
    </w:p>
    <w:p w14:paraId="11F3CE87">
      <w:pPr>
        <w:pStyle w:val="4"/>
        <w:spacing w:before="149" w:line="197" w:lineRule="exact"/>
        <w:ind w:left="1876"/>
        <w:rPr>
          <w:sz w:val="15"/>
          <w:szCs w:val="15"/>
        </w:rPr>
      </w:pPr>
      <w:r>
        <w:drawing>
          <wp:anchor distT="0" distB="0" distL="0" distR="0" simplePos="0" relativeHeight="251984896" behindDoc="1" locked="0" layoutInCell="1" allowOverlap="1">
            <wp:simplePos x="0" y="0"/>
            <wp:positionH relativeFrom="column">
              <wp:posOffset>1182370</wp:posOffset>
            </wp:positionH>
            <wp:positionV relativeFrom="paragraph">
              <wp:posOffset>87630</wp:posOffset>
            </wp:positionV>
            <wp:extent cx="4572000" cy="9525"/>
            <wp:effectExtent l="0" t="0" r="0" b="0"/>
            <wp:wrapNone/>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112"/>
                    <a:stretch>
                      <a:fillRect/>
                    </a:stretch>
                  </pic:blipFill>
                  <pic:spPr>
                    <a:xfrm>
                      <a:off x="0" y="0"/>
                      <a:ext cx="4572000" cy="9525"/>
                    </a:xfrm>
                    <a:prstGeom prst="rect">
                      <a:avLst/>
                    </a:prstGeom>
                  </pic:spPr>
                </pic:pic>
              </a:graphicData>
            </a:graphic>
          </wp:anchor>
        </w:drawing>
      </w:r>
      <w:r>
        <w:rPr>
          <w:i/>
          <w:iCs/>
          <w:color w:val="333333"/>
          <w:spacing w:val="-3"/>
          <w:w w:val="93"/>
          <w:position w:val="1"/>
          <w:sz w:val="15"/>
          <w:szCs w:val="15"/>
        </w:rPr>
        <w:t>e/f</w:t>
      </w:r>
      <w:r>
        <w:rPr>
          <w:i/>
          <w:iCs/>
          <w:color w:val="333333"/>
          <w:spacing w:val="-9"/>
          <w:position w:val="1"/>
          <w:sz w:val="15"/>
          <w:szCs w:val="15"/>
        </w:rPr>
        <w:t xml:space="preserve"> </w:t>
      </w:r>
      <w:r>
        <w:rPr>
          <w:i/>
          <w:iCs/>
          <w:color w:val="333333"/>
          <w:spacing w:val="-3"/>
          <w:w w:val="93"/>
          <w:position w:val="1"/>
          <w:sz w:val="15"/>
          <w:szCs w:val="15"/>
        </w:rPr>
        <w:t>= estimate/forecast. Source: BMI</w:t>
      </w:r>
    </w:p>
    <w:p w14:paraId="67EC6F1D">
      <w:pPr>
        <w:pStyle w:val="4"/>
        <w:spacing w:line="339" w:lineRule="auto"/>
      </w:pPr>
    </w:p>
    <w:p w14:paraId="7EDB267F">
      <w:pPr>
        <w:pStyle w:val="4"/>
        <w:spacing w:before="58" w:line="279" w:lineRule="auto"/>
        <w:ind w:left="363" w:right="603" w:firstLine="12"/>
        <w:jc w:val="both"/>
        <w:rPr>
          <w:sz w:val="20"/>
          <w:szCs w:val="20"/>
        </w:rPr>
      </w:pPr>
      <w:r>
        <w:rPr>
          <w:color w:val="57585A"/>
          <w:spacing w:val="-12"/>
          <w:sz w:val="20"/>
          <w:szCs w:val="20"/>
        </w:rPr>
        <w:t>Real GDP growth in the region is projected to slow from 2.1% in 2023</w:t>
      </w:r>
      <w:r>
        <w:rPr>
          <w:color w:val="57585A"/>
          <w:spacing w:val="-13"/>
          <w:sz w:val="20"/>
          <w:szCs w:val="20"/>
        </w:rPr>
        <w:t xml:space="preserve"> to 1.8% in 2024, before increasing to 2.4% in</w:t>
      </w:r>
      <w:r>
        <w:rPr>
          <w:color w:val="57585A"/>
          <w:spacing w:val="-4"/>
          <w:sz w:val="20"/>
          <w:szCs w:val="20"/>
        </w:rPr>
        <w:t xml:space="preserve"> </w:t>
      </w:r>
      <w:r>
        <w:rPr>
          <w:color w:val="57585A"/>
          <w:spacing w:val="-13"/>
          <w:sz w:val="20"/>
          <w:szCs w:val="20"/>
        </w:rPr>
        <w:t>2025.</w:t>
      </w:r>
      <w:r>
        <w:rPr>
          <w:color w:val="57585A"/>
          <w:sz w:val="20"/>
          <w:szCs w:val="20"/>
        </w:rPr>
        <w:t xml:space="preserve"> </w:t>
      </w:r>
      <w:r>
        <w:rPr>
          <w:color w:val="57585A"/>
          <w:spacing w:val="-13"/>
          <w:sz w:val="20"/>
          <w:szCs w:val="20"/>
        </w:rPr>
        <w:t>Mexico,</w:t>
      </w:r>
      <w:r>
        <w:rPr>
          <w:color w:val="57585A"/>
          <w:sz w:val="20"/>
          <w:szCs w:val="20"/>
        </w:rPr>
        <w:t xml:space="preserve"> </w:t>
      </w:r>
      <w:r>
        <w:rPr>
          <w:color w:val="57585A"/>
          <w:spacing w:val="-11"/>
          <w:sz w:val="20"/>
          <w:szCs w:val="20"/>
        </w:rPr>
        <w:t>the second-largest market,</w:t>
      </w:r>
      <w:r>
        <w:rPr>
          <w:color w:val="57585A"/>
          <w:spacing w:val="-16"/>
          <w:sz w:val="20"/>
          <w:szCs w:val="20"/>
        </w:rPr>
        <w:t xml:space="preserve"> </w:t>
      </w:r>
      <w:r>
        <w:rPr>
          <w:color w:val="57585A"/>
          <w:spacing w:val="-11"/>
          <w:sz w:val="20"/>
          <w:szCs w:val="20"/>
        </w:rPr>
        <w:t>will face a slowdown in 2024 due to moderating exp</w:t>
      </w:r>
      <w:r>
        <w:rPr>
          <w:color w:val="57585A"/>
          <w:spacing w:val="-12"/>
          <w:sz w:val="20"/>
          <w:szCs w:val="20"/>
        </w:rPr>
        <w:t>orts and declining business confidence. However,</w:t>
      </w:r>
      <w:r>
        <w:rPr>
          <w:color w:val="57585A"/>
          <w:sz w:val="20"/>
          <w:szCs w:val="20"/>
        </w:rPr>
        <w:t xml:space="preserve"> </w:t>
      </w:r>
      <w:r>
        <w:rPr>
          <w:color w:val="57585A"/>
          <w:spacing w:val="-12"/>
          <w:sz w:val="20"/>
          <w:szCs w:val="20"/>
        </w:rPr>
        <w:t>Chile, Colombia, and Peru are expected to</w:t>
      </w:r>
      <w:r>
        <w:rPr>
          <w:color w:val="57585A"/>
          <w:spacing w:val="-13"/>
          <w:sz w:val="20"/>
          <w:szCs w:val="20"/>
        </w:rPr>
        <w:t xml:space="preserve"> experience growth rebounds.</w:t>
      </w:r>
    </w:p>
    <w:p w14:paraId="6B0CCADF">
      <w:pPr>
        <w:pStyle w:val="4"/>
        <w:spacing w:line="266" w:lineRule="auto"/>
      </w:pPr>
    </w:p>
    <w:p w14:paraId="4F73A7A2">
      <w:pPr>
        <w:pStyle w:val="4"/>
        <w:spacing w:before="59" w:line="279" w:lineRule="auto"/>
        <w:ind w:left="373" w:right="805" w:firstLine="2"/>
        <w:jc w:val="both"/>
        <w:rPr>
          <w:sz w:val="20"/>
          <w:szCs w:val="20"/>
        </w:rPr>
      </w:pPr>
      <w:r>
        <w:rPr>
          <w:color w:val="57585A"/>
          <w:spacing w:val="-13"/>
          <w:sz w:val="20"/>
          <w:szCs w:val="20"/>
        </w:rPr>
        <w:t>Fuel consumption growth is expected to track GDP growth</w:t>
      </w:r>
      <w:r>
        <w:rPr>
          <w:color w:val="57585A"/>
          <w:spacing w:val="-14"/>
          <w:sz w:val="20"/>
          <w:szCs w:val="20"/>
        </w:rPr>
        <w:t>. In 2025, Brazil and Mexico, with GDPs of USD2.7bn and USD1.4bn,</w:t>
      </w:r>
      <w:r>
        <w:rPr>
          <w:color w:val="57585A"/>
          <w:sz w:val="20"/>
          <w:szCs w:val="20"/>
        </w:rPr>
        <w:t xml:space="preserve"> </w:t>
      </w:r>
      <w:r>
        <w:rPr>
          <w:color w:val="57585A"/>
          <w:spacing w:val="-10"/>
          <w:sz w:val="20"/>
          <w:szCs w:val="20"/>
        </w:rPr>
        <w:t>respectively, are projected to have fuel consu</w:t>
      </w:r>
      <w:r>
        <w:rPr>
          <w:color w:val="57585A"/>
          <w:spacing w:val="-11"/>
          <w:sz w:val="20"/>
          <w:szCs w:val="20"/>
        </w:rPr>
        <w:t>mption levels of 2.3mn b/d and 1.5mn b/d. These figures illustrate the strong link</w:t>
      </w:r>
      <w:r>
        <w:rPr>
          <w:color w:val="57585A"/>
          <w:sz w:val="20"/>
          <w:szCs w:val="20"/>
        </w:rPr>
        <w:t xml:space="preserve"> </w:t>
      </w:r>
      <w:r>
        <w:rPr>
          <w:color w:val="57585A"/>
          <w:spacing w:val="-11"/>
          <w:sz w:val="20"/>
          <w:szCs w:val="20"/>
        </w:rPr>
        <w:t>between economic growth and fuel demand in these key markets.</w:t>
      </w:r>
    </w:p>
    <w:p w14:paraId="0F30830D">
      <w:pPr>
        <w:spacing w:line="279" w:lineRule="auto"/>
        <w:rPr>
          <w:sz w:val="20"/>
          <w:szCs w:val="20"/>
        </w:rPr>
        <w:sectPr>
          <w:footerReference r:id="rId93" w:type="default"/>
          <w:pgSz w:w="11906" w:h="16838"/>
          <w:pgMar w:top="400" w:right="490" w:bottom="883" w:left="490" w:header="0" w:footer="0" w:gutter="0"/>
          <w:cols w:space="720" w:num="1"/>
        </w:sectPr>
      </w:pPr>
    </w:p>
    <w:p w14:paraId="2C456675">
      <w:pPr>
        <w:pStyle w:val="4"/>
        <w:spacing w:before="73" w:line="241" w:lineRule="auto"/>
        <w:ind w:left="7372"/>
        <w:rPr>
          <w:sz w:val="20"/>
          <w:szCs w:val="20"/>
        </w:rPr>
      </w:pPr>
      <w:r>
        <w:drawing>
          <wp:anchor distT="0" distB="0" distL="0" distR="0" simplePos="0" relativeHeight="25198796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88992" behindDoc="0" locked="0" layoutInCell="0" allowOverlap="1">
            <wp:simplePos x="0" y="0"/>
            <wp:positionH relativeFrom="page">
              <wp:posOffset>311150</wp:posOffset>
            </wp:positionH>
            <wp:positionV relativeFrom="page">
              <wp:posOffset>0</wp:posOffset>
            </wp:positionV>
            <wp:extent cx="19050" cy="814070"/>
            <wp:effectExtent l="0" t="0" r="0" b="0"/>
            <wp:wrapNone/>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36708EA">
      <w:pPr>
        <w:pStyle w:val="4"/>
        <w:spacing w:line="278" w:lineRule="auto"/>
      </w:pPr>
    </w:p>
    <w:p w14:paraId="696ECAC5">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470FA31B">
      <w:pPr>
        <w:pStyle w:val="4"/>
        <w:spacing w:line="261" w:lineRule="auto"/>
      </w:pPr>
    </w:p>
    <w:p w14:paraId="7FA18873">
      <w:pPr>
        <w:pStyle w:val="4"/>
        <w:spacing w:line="262" w:lineRule="auto"/>
      </w:pPr>
    </w:p>
    <w:p w14:paraId="66EB4FEB">
      <w:pPr>
        <w:pStyle w:val="4"/>
        <w:spacing w:line="262" w:lineRule="auto"/>
      </w:pPr>
    </w:p>
    <w:p w14:paraId="3B42C787">
      <w:pPr>
        <w:pStyle w:val="4"/>
        <w:spacing w:before="92" w:line="241" w:lineRule="auto"/>
        <w:ind w:left="374"/>
        <w:outlineLvl w:val="0"/>
        <w:rPr>
          <w:sz w:val="32"/>
          <w:szCs w:val="32"/>
        </w:rPr>
      </w:pPr>
      <w:bookmarkStart w:id="42" w:name="bookmark29"/>
      <w:bookmarkEnd w:id="42"/>
      <w:bookmarkStart w:id="43" w:name="bookmark47"/>
      <w:bookmarkEnd w:id="43"/>
      <w:r>
        <w:rPr>
          <w:b/>
          <w:bCs/>
          <w:color w:val="174174"/>
          <w:spacing w:val="-20"/>
          <w:sz w:val="32"/>
          <w:szCs w:val="32"/>
        </w:rPr>
        <w:t>Oil &amp; Gas Glossary</w:t>
      </w:r>
    </w:p>
    <w:p w14:paraId="0C03CD61">
      <w:pPr>
        <w:spacing w:line="51" w:lineRule="auto"/>
        <w:rPr>
          <w:rFonts w:ascii="Arial"/>
          <w:sz w:val="2"/>
        </w:rPr>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592"/>
        <w:gridCol w:w="4287"/>
        <w:gridCol w:w="552"/>
        <w:gridCol w:w="4773"/>
      </w:tblGrid>
      <w:tr w14:paraId="6D57919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3" w:hRule="atLeast"/>
        </w:trPr>
        <w:tc>
          <w:tcPr>
            <w:tcW w:w="592" w:type="dxa"/>
            <w:tcBorders>
              <w:left w:val="nil"/>
            </w:tcBorders>
            <w:vAlign w:val="top"/>
          </w:tcPr>
          <w:p w14:paraId="4CF688AB">
            <w:pPr>
              <w:pStyle w:val="8"/>
              <w:spacing w:before="114" w:line="183" w:lineRule="auto"/>
            </w:pPr>
            <w:r>
              <w:rPr>
                <w:b/>
                <w:bCs/>
                <w:color w:val="2A8ABF"/>
                <w:spacing w:val="-7"/>
              </w:rPr>
              <w:t>Term</w:t>
            </w:r>
          </w:p>
        </w:tc>
        <w:tc>
          <w:tcPr>
            <w:tcW w:w="4287" w:type="dxa"/>
            <w:tcBorders>
              <w:right w:val="nil"/>
            </w:tcBorders>
            <w:vAlign w:val="top"/>
          </w:tcPr>
          <w:p w14:paraId="54A01850">
            <w:pPr>
              <w:pStyle w:val="8"/>
              <w:spacing w:before="112" w:line="184" w:lineRule="auto"/>
              <w:ind w:left="85"/>
            </w:pPr>
            <w:r>
              <w:rPr>
                <w:b/>
                <w:bCs/>
                <w:color w:val="174174"/>
                <w:spacing w:val="-7"/>
              </w:rPr>
              <w:t>Description</w:t>
            </w:r>
          </w:p>
        </w:tc>
        <w:tc>
          <w:tcPr>
            <w:tcW w:w="552" w:type="dxa"/>
            <w:tcBorders>
              <w:left w:val="nil"/>
              <w:right w:val="nil"/>
            </w:tcBorders>
            <w:vAlign w:val="top"/>
          </w:tcPr>
          <w:p w14:paraId="38FA77D4">
            <w:pPr>
              <w:pStyle w:val="8"/>
              <w:spacing w:before="114" w:line="183" w:lineRule="auto"/>
              <w:ind w:left="72"/>
            </w:pPr>
            <w:r>
              <w:rPr>
                <w:b/>
                <w:bCs/>
                <w:color w:val="174174"/>
                <w:spacing w:val="-7"/>
              </w:rPr>
              <w:t>Term</w:t>
            </w:r>
          </w:p>
        </w:tc>
        <w:tc>
          <w:tcPr>
            <w:tcW w:w="4773" w:type="dxa"/>
            <w:tcBorders>
              <w:left w:val="nil"/>
              <w:right w:val="nil"/>
            </w:tcBorders>
            <w:vAlign w:val="top"/>
          </w:tcPr>
          <w:p w14:paraId="2CE85C39">
            <w:pPr>
              <w:pStyle w:val="8"/>
              <w:spacing w:before="112" w:line="184" w:lineRule="auto"/>
              <w:ind w:left="85"/>
            </w:pPr>
            <w:r>
              <w:rPr>
                <w:b/>
                <w:bCs/>
                <w:color w:val="174174"/>
                <w:spacing w:val="-7"/>
              </w:rPr>
              <w:t>Description</w:t>
            </w:r>
          </w:p>
        </w:tc>
      </w:tr>
      <w:tr w14:paraId="3E704F6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3EF8899C">
            <w:pPr>
              <w:pStyle w:val="8"/>
              <w:spacing w:before="105" w:line="186" w:lineRule="auto"/>
              <w:ind w:left="3"/>
            </w:pPr>
            <w:r>
              <w:rPr>
                <w:color w:val="2A8ABF"/>
                <w:spacing w:val="-10"/>
                <w:w w:val="96"/>
              </w:rPr>
              <w:t>AOR</w:t>
            </w:r>
          </w:p>
        </w:tc>
        <w:tc>
          <w:tcPr>
            <w:tcW w:w="4287" w:type="dxa"/>
            <w:tcBorders>
              <w:right w:val="nil"/>
            </w:tcBorders>
            <w:vAlign w:val="top"/>
          </w:tcPr>
          <w:p w14:paraId="46630CA5">
            <w:pPr>
              <w:pStyle w:val="8"/>
              <w:spacing w:before="65" w:line="234" w:lineRule="auto"/>
              <w:ind w:left="78"/>
            </w:pPr>
            <w:r>
              <w:rPr>
                <w:color w:val="5F6A72"/>
                <w:spacing w:val="-6"/>
              </w:rPr>
              <w:t>additional oil recovery</w:t>
            </w:r>
          </w:p>
        </w:tc>
        <w:tc>
          <w:tcPr>
            <w:tcW w:w="552" w:type="dxa"/>
            <w:tcBorders>
              <w:left w:val="nil"/>
              <w:right w:val="nil"/>
            </w:tcBorders>
            <w:vAlign w:val="top"/>
          </w:tcPr>
          <w:p w14:paraId="470C4683">
            <w:pPr>
              <w:pStyle w:val="8"/>
              <w:spacing w:before="105" w:line="186" w:lineRule="auto"/>
              <w:ind w:left="86"/>
            </w:pPr>
            <w:r>
              <w:rPr>
                <w:color w:val="5F6A72"/>
                <w:spacing w:val="-14"/>
              </w:rPr>
              <w:t>IOC</w:t>
            </w:r>
          </w:p>
        </w:tc>
        <w:tc>
          <w:tcPr>
            <w:tcW w:w="4773" w:type="dxa"/>
            <w:tcBorders>
              <w:left w:val="nil"/>
              <w:right w:val="nil"/>
            </w:tcBorders>
            <w:vAlign w:val="top"/>
          </w:tcPr>
          <w:p w14:paraId="55F8C5CF">
            <w:pPr>
              <w:pStyle w:val="8"/>
              <w:spacing w:before="65" w:line="234" w:lineRule="auto"/>
              <w:ind w:left="82"/>
            </w:pPr>
            <w:r>
              <w:rPr>
                <w:color w:val="5F6A72"/>
                <w:spacing w:val="-5"/>
              </w:rPr>
              <w:t>international oil company</w:t>
            </w:r>
          </w:p>
        </w:tc>
      </w:tr>
      <w:tr w14:paraId="0B2DB2D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72B2097B">
            <w:pPr>
              <w:pStyle w:val="8"/>
              <w:spacing w:before="108" w:line="183" w:lineRule="auto"/>
              <w:ind w:left="3"/>
            </w:pPr>
            <w:r>
              <w:rPr>
                <w:color w:val="2A8ABF"/>
                <w:spacing w:val="-6"/>
                <w:w w:val="93"/>
              </w:rPr>
              <w:t>APA</w:t>
            </w:r>
          </w:p>
        </w:tc>
        <w:tc>
          <w:tcPr>
            <w:tcW w:w="4287" w:type="dxa"/>
            <w:tcBorders>
              <w:right w:val="nil"/>
            </w:tcBorders>
            <w:shd w:val="clear" w:color="auto" w:fill="EAF9FF"/>
            <w:vAlign w:val="top"/>
          </w:tcPr>
          <w:p w14:paraId="5E5A3CC7">
            <w:pPr>
              <w:pStyle w:val="8"/>
              <w:spacing w:before="66" w:line="236" w:lineRule="auto"/>
              <w:ind w:left="78"/>
            </w:pPr>
            <w:r>
              <w:rPr>
                <w:color w:val="5F6A72"/>
                <w:spacing w:val="-8"/>
              </w:rPr>
              <w:t xml:space="preserve">awards for predefined </w:t>
            </w:r>
            <w:r>
              <w:rPr>
                <w:color w:val="5F6A72"/>
                <w:spacing w:val="-9"/>
              </w:rPr>
              <w:t>areas</w:t>
            </w:r>
          </w:p>
        </w:tc>
        <w:tc>
          <w:tcPr>
            <w:tcW w:w="552" w:type="dxa"/>
            <w:tcBorders>
              <w:left w:val="nil"/>
              <w:right w:val="nil"/>
            </w:tcBorders>
            <w:shd w:val="clear" w:color="auto" w:fill="EAF9FF"/>
            <w:vAlign w:val="top"/>
          </w:tcPr>
          <w:p w14:paraId="5A524546">
            <w:pPr>
              <w:pStyle w:val="8"/>
              <w:spacing w:before="105" w:line="186" w:lineRule="auto"/>
              <w:ind w:left="86"/>
            </w:pPr>
            <w:r>
              <w:rPr>
                <w:color w:val="5F6A72"/>
                <w:spacing w:val="-12"/>
              </w:rPr>
              <w:t>IPO</w:t>
            </w:r>
          </w:p>
        </w:tc>
        <w:tc>
          <w:tcPr>
            <w:tcW w:w="4773" w:type="dxa"/>
            <w:tcBorders>
              <w:left w:val="nil"/>
              <w:right w:val="nil"/>
            </w:tcBorders>
            <w:shd w:val="clear" w:color="auto" w:fill="EAF9FF"/>
            <w:vAlign w:val="top"/>
          </w:tcPr>
          <w:p w14:paraId="71C166E7">
            <w:pPr>
              <w:pStyle w:val="8"/>
              <w:spacing w:before="66" w:line="234" w:lineRule="auto"/>
              <w:ind w:left="82"/>
            </w:pPr>
            <w:r>
              <w:rPr>
                <w:color w:val="5F6A72"/>
                <w:spacing w:val="-4"/>
              </w:rPr>
              <w:t>initial public offering</w:t>
            </w:r>
          </w:p>
        </w:tc>
      </w:tr>
      <w:tr w14:paraId="220934E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3ED36024">
            <w:pPr>
              <w:pStyle w:val="8"/>
              <w:spacing w:before="66" w:line="240" w:lineRule="exact"/>
              <w:ind w:left="3"/>
            </w:pPr>
            <w:r>
              <w:rPr>
                <w:color w:val="2A8ABF"/>
                <w:spacing w:val="-14"/>
                <w:position w:val="1"/>
              </w:rPr>
              <w:t>API</w:t>
            </w:r>
          </w:p>
        </w:tc>
        <w:tc>
          <w:tcPr>
            <w:tcW w:w="4287" w:type="dxa"/>
            <w:tcBorders>
              <w:right w:val="nil"/>
            </w:tcBorders>
            <w:vAlign w:val="top"/>
          </w:tcPr>
          <w:p w14:paraId="59FE2015">
            <w:pPr>
              <w:pStyle w:val="8"/>
              <w:spacing w:before="66" w:line="238" w:lineRule="exact"/>
              <w:ind w:left="71"/>
            </w:pPr>
            <w:r>
              <w:rPr>
                <w:color w:val="5F6A72"/>
                <w:spacing w:val="-5"/>
                <w:position w:val="1"/>
              </w:rPr>
              <w:t>American Petroleum Institute</w:t>
            </w:r>
          </w:p>
        </w:tc>
        <w:tc>
          <w:tcPr>
            <w:tcW w:w="552" w:type="dxa"/>
            <w:tcBorders>
              <w:left w:val="nil"/>
              <w:right w:val="nil"/>
            </w:tcBorders>
            <w:vAlign w:val="top"/>
          </w:tcPr>
          <w:p w14:paraId="46AF7012">
            <w:pPr>
              <w:pStyle w:val="8"/>
              <w:spacing w:before="106" w:line="211" w:lineRule="auto"/>
              <w:ind w:left="64"/>
            </w:pPr>
            <w:r>
              <w:rPr>
                <w:color w:val="5F6A72"/>
                <w:spacing w:val="-16"/>
                <w:w w:val="96"/>
              </w:rPr>
              <w:t>JOC</w:t>
            </w:r>
          </w:p>
        </w:tc>
        <w:tc>
          <w:tcPr>
            <w:tcW w:w="4773" w:type="dxa"/>
            <w:tcBorders>
              <w:left w:val="nil"/>
              <w:right w:val="nil"/>
            </w:tcBorders>
            <w:vAlign w:val="top"/>
          </w:tcPr>
          <w:p w14:paraId="70669090">
            <w:pPr>
              <w:pStyle w:val="8"/>
              <w:spacing w:before="66" w:line="234" w:lineRule="auto"/>
              <w:ind w:left="71"/>
            </w:pPr>
            <w:r>
              <w:rPr>
                <w:color w:val="5F6A72"/>
                <w:spacing w:val="-5"/>
              </w:rPr>
              <w:t>joint operating company</w:t>
            </w:r>
          </w:p>
        </w:tc>
      </w:tr>
      <w:tr w14:paraId="525A7BC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217A8450">
            <w:pPr>
              <w:pStyle w:val="8"/>
              <w:spacing w:before="67" w:line="237" w:lineRule="exact"/>
              <w:ind w:left="16"/>
            </w:pPr>
            <w:r>
              <w:rPr>
                <w:color w:val="2A8ABF"/>
                <w:spacing w:val="-8"/>
                <w:position w:val="1"/>
              </w:rPr>
              <w:t>bbl</w:t>
            </w:r>
          </w:p>
        </w:tc>
        <w:tc>
          <w:tcPr>
            <w:tcW w:w="4287" w:type="dxa"/>
            <w:tcBorders>
              <w:right w:val="nil"/>
            </w:tcBorders>
            <w:shd w:val="clear" w:color="auto" w:fill="EAF9FF"/>
            <w:vAlign w:val="top"/>
          </w:tcPr>
          <w:p w14:paraId="207BF0C3">
            <w:pPr>
              <w:pStyle w:val="8"/>
              <w:spacing w:before="67" w:line="237" w:lineRule="exact"/>
              <w:ind w:left="84"/>
            </w:pPr>
            <w:r>
              <w:rPr>
                <w:color w:val="5F6A72"/>
                <w:spacing w:val="-8"/>
                <w:position w:val="1"/>
              </w:rPr>
              <w:t>barrel</w:t>
            </w:r>
          </w:p>
        </w:tc>
        <w:tc>
          <w:tcPr>
            <w:tcW w:w="552" w:type="dxa"/>
            <w:tcBorders>
              <w:left w:val="nil"/>
              <w:right w:val="nil"/>
            </w:tcBorders>
            <w:shd w:val="clear" w:color="auto" w:fill="EAF9FF"/>
            <w:vAlign w:val="top"/>
          </w:tcPr>
          <w:p w14:paraId="3832A381">
            <w:pPr>
              <w:pStyle w:val="8"/>
              <w:spacing w:before="106" w:line="211" w:lineRule="auto"/>
              <w:ind w:left="64"/>
            </w:pPr>
            <w:r>
              <w:rPr>
                <w:color w:val="5F6A72"/>
                <w:spacing w:val="-19"/>
              </w:rPr>
              <w:t>JODI</w:t>
            </w:r>
          </w:p>
        </w:tc>
        <w:tc>
          <w:tcPr>
            <w:tcW w:w="4773" w:type="dxa"/>
            <w:tcBorders>
              <w:left w:val="nil"/>
              <w:right w:val="nil"/>
            </w:tcBorders>
            <w:shd w:val="clear" w:color="auto" w:fill="EAF9FF"/>
            <w:vAlign w:val="top"/>
          </w:tcPr>
          <w:p w14:paraId="77B2C896">
            <w:pPr>
              <w:pStyle w:val="8"/>
              <w:spacing w:before="67" w:line="234" w:lineRule="auto"/>
              <w:ind w:left="71"/>
            </w:pPr>
            <w:r>
              <w:rPr>
                <w:color w:val="5F6A72"/>
                <w:spacing w:val="-5"/>
              </w:rPr>
              <w:t>joint organisations data initiative</w:t>
            </w:r>
          </w:p>
        </w:tc>
      </w:tr>
      <w:tr w14:paraId="40A52CA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450128EE">
            <w:pPr>
              <w:pStyle w:val="8"/>
              <w:spacing w:before="67" w:line="238" w:lineRule="exact"/>
              <w:ind w:left="16"/>
            </w:pPr>
            <w:r>
              <w:rPr>
                <w:color w:val="2A8ABF"/>
                <w:spacing w:val="-8"/>
                <w:position w:val="1"/>
              </w:rPr>
              <w:t>bcm</w:t>
            </w:r>
          </w:p>
        </w:tc>
        <w:tc>
          <w:tcPr>
            <w:tcW w:w="4287" w:type="dxa"/>
            <w:tcBorders>
              <w:right w:val="nil"/>
            </w:tcBorders>
            <w:vAlign w:val="top"/>
          </w:tcPr>
          <w:p w14:paraId="21B14B45">
            <w:pPr>
              <w:pStyle w:val="8"/>
              <w:spacing w:before="67" w:line="238" w:lineRule="exact"/>
              <w:ind w:left="84"/>
            </w:pPr>
            <w:r>
              <w:rPr>
                <w:color w:val="5F6A72"/>
                <w:spacing w:val="-5"/>
                <w:position w:val="1"/>
              </w:rPr>
              <w:t>billion cubic metres</w:t>
            </w:r>
          </w:p>
        </w:tc>
        <w:tc>
          <w:tcPr>
            <w:tcW w:w="552" w:type="dxa"/>
            <w:tcBorders>
              <w:left w:val="nil"/>
              <w:right w:val="nil"/>
            </w:tcBorders>
            <w:vAlign w:val="top"/>
          </w:tcPr>
          <w:p w14:paraId="238370BA">
            <w:pPr>
              <w:pStyle w:val="8"/>
              <w:spacing w:before="109" w:line="209" w:lineRule="auto"/>
              <w:ind w:left="64"/>
            </w:pPr>
            <w:r>
              <w:rPr>
                <w:color w:val="5F6A72"/>
                <w:spacing w:val="-15"/>
                <w:w w:val="95"/>
              </w:rPr>
              <w:t>JPDA</w:t>
            </w:r>
          </w:p>
        </w:tc>
        <w:tc>
          <w:tcPr>
            <w:tcW w:w="4773" w:type="dxa"/>
            <w:tcBorders>
              <w:left w:val="nil"/>
              <w:right w:val="nil"/>
            </w:tcBorders>
            <w:vAlign w:val="top"/>
          </w:tcPr>
          <w:p w14:paraId="12CBAE15">
            <w:pPr>
              <w:pStyle w:val="8"/>
              <w:spacing w:before="67" w:line="234" w:lineRule="auto"/>
              <w:ind w:left="71"/>
            </w:pPr>
            <w:r>
              <w:rPr>
                <w:color w:val="5F6A72"/>
                <w:spacing w:val="-5"/>
              </w:rPr>
              <w:t>joint petroleum development area</w:t>
            </w:r>
          </w:p>
        </w:tc>
      </w:tr>
      <w:tr w14:paraId="56AAF8F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7C1A9EA5">
            <w:pPr>
              <w:pStyle w:val="8"/>
              <w:spacing w:before="68" w:line="237" w:lineRule="exact"/>
              <w:ind w:left="16"/>
            </w:pPr>
            <w:r>
              <w:rPr>
                <w:color w:val="2A8ABF"/>
                <w:spacing w:val="6"/>
                <w:position w:val="1"/>
              </w:rPr>
              <w:t>b/d</w:t>
            </w:r>
          </w:p>
        </w:tc>
        <w:tc>
          <w:tcPr>
            <w:tcW w:w="4287" w:type="dxa"/>
            <w:tcBorders>
              <w:right w:val="nil"/>
            </w:tcBorders>
            <w:shd w:val="clear" w:color="auto" w:fill="EAF9FF"/>
            <w:vAlign w:val="top"/>
          </w:tcPr>
          <w:p w14:paraId="208B169B">
            <w:pPr>
              <w:pStyle w:val="8"/>
              <w:spacing w:before="67" w:line="234" w:lineRule="auto"/>
              <w:ind w:left="84"/>
            </w:pPr>
            <w:r>
              <w:rPr>
                <w:color w:val="5F6A72"/>
                <w:spacing w:val="-9"/>
              </w:rPr>
              <w:t>barrels per day</w:t>
            </w:r>
          </w:p>
        </w:tc>
        <w:tc>
          <w:tcPr>
            <w:tcW w:w="552" w:type="dxa"/>
            <w:tcBorders>
              <w:left w:val="nil"/>
              <w:right w:val="nil"/>
            </w:tcBorders>
            <w:shd w:val="clear" w:color="auto" w:fill="EAF9FF"/>
            <w:vAlign w:val="top"/>
          </w:tcPr>
          <w:p w14:paraId="6DF459D9">
            <w:pPr>
              <w:pStyle w:val="8"/>
              <w:spacing w:before="110" w:line="183" w:lineRule="auto"/>
              <w:ind w:left="86"/>
            </w:pPr>
            <w:r>
              <w:rPr>
                <w:color w:val="5F6A72"/>
                <w:spacing w:val="-14"/>
                <w:w w:val="99"/>
              </w:rPr>
              <w:t>LAB</w:t>
            </w:r>
          </w:p>
        </w:tc>
        <w:tc>
          <w:tcPr>
            <w:tcW w:w="4773" w:type="dxa"/>
            <w:tcBorders>
              <w:left w:val="nil"/>
              <w:right w:val="nil"/>
            </w:tcBorders>
            <w:shd w:val="clear" w:color="auto" w:fill="EAF9FF"/>
            <w:vAlign w:val="top"/>
          </w:tcPr>
          <w:p w14:paraId="58B11B28">
            <w:pPr>
              <w:pStyle w:val="8"/>
              <w:spacing w:before="67" w:line="234" w:lineRule="auto"/>
              <w:ind w:left="84"/>
            </w:pPr>
            <w:r>
              <w:rPr>
                <w:color w:val="5F6A72"/>
                <w:spacing w:val="-8"/>
              </w:rPr>
              <w:t>linear alkyl benzene</w:t>
            </w:r>
          </w:p>
        </w:tc>
      </w:tr>
      <w:tr w14:paraId="1C37D16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00B747E7">
            <w:pPr>
              <w:pStyle w:val="8"/>
              <w:spacing w:before="68" w:line="237" w:lineRule="exact"/>
              <w:ind w:left="16"/>
            </w:pPr>
            <w:r>
              <w:rPr>
                <w:color w:val="2A8ABF"/>
                <w:spacing w:val="-8"/>
                <w:position w:val="1"/>
              </w:rPr>
              <w:t>boe</w:t>
            </w:r>
          </w:p>
        </w:tc>
        <w:tc>
          <w:tcPr>
            <w:tcW w:w="4287" w:type="dxa"/>
            <w:tcBorders>
              <w:right w:val="nil"/>
            </w:tcBorders>
            <w:vAlign w:val="top"/>
          </w:tcPr>
          <w:p w14:paraId="0C079721">
            <w:pPr>
              <w:pStyle w:val="8"/>
              <w:spacing w:before="68" w:line="236" w:lineRule="auto"/>
              <w:ind w:left="84"/>
            </w:pPr>
            <w:r>
              <w:rPr>
                <w:color w:val="5F6A72"/>
                <w:spacing w:val="-6"/>
              </w:rPr>
              <w:t>barrels of</w:t>
            </w:r>
            <w:r>
              <w:rPr>
                <w:color w:val="5F6A72"/>
                <w:spacing w:val="-15"/>
              </w:rPr>
              <w:t xml:space="preserve"> </w:t>
            </w:r>
            <w:r>
              <w:rPr>
                <w:color w:val="5F6A72"/>
                <w:spacing w:val="-6"/>
              </w:rPr>
              <w:t>oil equivale</w:t>
            </w:r>
            <w:r>
              <w:rPr>
                <w:color w:val="5F6A72"/>
                <w:spacing w:val="-7"/>
              </w:rPr>
              <w:t>nt</w:t>
            </w:r>
          </w:p>
        </w:tc>
        <w:tc>
          <w:tcPr>
            <w:tcW w:w="552" w:type="dxa"/>
            <w:tcBorders>
              <w:left w:val="nil"/>
              <w:right w:val="nil"/>
            </w:tcBorders>
            <w:vAlign w:val="top"/>
          </w:tcPr>
          <w:p w14:paraId="314B87CB">
            <w:pPr>
              <w:pStyle w:val="8"/>
              <w:spacing w:before="110" w:line="183" w:lineRule="auto"/>
              <w:ind w:left="86"/>
            </w:pPr>
            <w:r>
              <w:rPr>
                <w:color w:val="5F6A72"/>
                <w:spacing w:val="-18"/>
              </w:rPr>
              <w:t>LDPE</w:t>
            </w:r>
          </w:p>
        </w:tc>
        <w:tc>
          <w:tcPr>
            <w:tcW w:w="4773" w:type="dxa"/>
            <w:tcBorders>
              <w:left w:val="nil"/>
              <w:right w:val="nil"/>
            </w:tcBorders>
            <w:vAlign w:val="top"/>
          </w:tcPr>
          <w:p w14:paraId="6446C862">
            <w:pPr>
              <w:pStyle w:val="8"/>
              <w:spacing w:before="68" w:line="234" w:lineRule="auto"/>
              <w:ind w:left="84"/>
            </w:pPr>
            <w:r>
              <w:rPr>
                <w:color w:val="5F6A72"/>
                <w:spacing w:val="-6"/>
              </w:rPr>
              <w:t>low density polypropyl</w:t>
            </w:r>
            <w:r>
              <w:rPr>
                <w:color w:val="5F6A72"/>
                <w:spacing w:val="-7"/>
              </w:rPr>
              <w:t>ene</w:t>
            </w:r>
          </w:p>
        </w:tc>
      </w:tr>
      <w:tr w14:paraId="6A63EEF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433C7D55">
            <w:pPr>
              <w:pStyle w:val="8"/>
              <w:spacing w:before="110" w:line="183" w:lineRule="auto"/>
              <w:ind w:left="18"/>
            </w:pPr>
            <w:r>
              <w:rPr>
                <w:color w:val="2A8ABF"/>
                <w:spacing w:val="-20"/>
              </w:rPr>
              <w:t>BTU</w:t>
            </w:r>
          </w:p>
        </w:tc>
        <w:tc>
          <w:tcPr>
            <w:tcW w:w="4287" w:type="dxa"/>
            <w:tcBorders>
              <w:right w:val="nil"/>
            </w:tcBorders>
            <w:shd w:val="clear" w:color="auto" w:fill="EAF9FF"/>
            <w:vAlign w:val="top"/>
          </w:tcPr>
          <w:p w14:paraId="5F9010D6">
            <w:pPr>
              <w:pStyle w:val="8"/>
              <w:spacing w:before="68" w:line="238" w:lineRule="exact"/>
              <w:ind w:left="86"/>
            </w:pPr>
            <w:r>
              <w:rPr>
                <w:color w:val="5F6A72"/>
                <w:spacing w:val="-5"/>
                <w:position w:val="1"/>
              </w:rPr>
              <w:t>British thermal unit</w:t>
            </w:r>
          </w:p>
        </w:tc>
        <w:tc>
          <w:tcPr>
            <w:tcW w:w="552" w:type="dxa"/>
            <w:tcBorders>
              <w:left w:val="nil"/>
              <w:right w:val="nil"/>
            </w:tcBorders>
            <w:shd w:val="clear" w:color="auto" w:fill="EAF9FF"/>
            <w:vAlign w:val="top"/>
          </w:tcPr>
          <w:p w14:paraId="70C31F42">
            <w:pPr>
              <w:pStyle w:val="8"/>
              <w:spacing w:before="108" w:line="186" w:lineRule="auto"/>
              <w:ind w:left="86"/>
            </w:pPr>
            <w:r>
              <w:rPr>
                <w:color w:val="5F6A72"/>
                <w:spacing w:val="-15"/>
              </w:rPr>
              <w:t>LNG</w:t>
            </w:r>
          </w:p>
        </w:tc>
        <w:tc>
          <w:tcPr>
            <w:tcW w:w="4773" w:type="dxa"/>
            <w:tcBorders>
              <w:left w:val="nil"/>
              <w:right w:val="nil"/>
            </w:tcBorders>
            <w:shd w:val="clear" w:color="auto" w:fill="EAF9FF"/>
            <w:vAlign w:val="top"/>
          </w:tcPr>
          <w:p w14:paraId="5184328E">
            <w:pPr>
              <w:pStyle w:val="8"/>
              <w:spacing w:before="68" w:line="234" w:lineRule="auto"/>
              <w:ind w:left="84"/>
            </w:pPr>
            <w:r>
              <w:rPr>
                <w:color w:val="5F6A72"/>
                <w:spacing w:val="-7"/>
              </w:rPr>
              <w:t>liquefied natural gas</w:t>
            </w:r>
          </w:p>
        </w:tc>
      </w:tr>
      <w:tr w14:paraId="768CEB3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382DA4A0">
            <w:pPr>
              <w:pStyle w:val="8"/>
              <w:spacing w:before="143" w:line="124" w:lineRule="exact"/>
              <w:ind w:left="11"/>
            </w:pPr>
            <w:r>
              <w:rPr>
                <w:color w:val="2A8ABF"/>
                <w:spacing w:val="-9"/>
              </w:rPr>
              <w:t>capex</w:t>
            </w:r>
          </w:p>
        </w:tc>
        <w:tc>
          <w:tcPr>
            <w:tcW w:w="4287" w:type="dxa"/>
            <w:tcBorders>
              <w:right w:val="nil"/>
            </w:tcBorders>
            <w:vAlign w:val="top"/>
          </w:tcPr>
          <w:p w14:paraId="64132CD1">
            <w:pPr>
              <w:pStyle w:val="8"/>
              <w:spacing w:before="69" w:line="236" w:lineRule="auto"/>
              <w:ind w:left="80"/>
            </w:pPr>
            <w:r>
              <w:rPr>
                <w:color w:val="5F6A72"/>
                <w:spacing w:val="-6"/>
              </w:rPr>
              <w:t>capital expenditure</w:t>
            </w:r>
          </w:p>
        </w:tc>
        <w:tc>
          <w:tcPr>
            <w:tcW w:w="552" w:type="dxa"/>
            <w:tcBorders>
              <w:left w:val="nil"/>
              <w:right w:val="nil"/>
            </w:tcBorders>
            <w:vAlign w:val="top"/>
          </w:tcPr>
          <w:p w14:paraId="15CB3202">
            <w:pPr>
              <w:pStyle w:val="8"/>
              <w:spacing w:before="108" w:line="186" w:lineRule="auto"/>
              <w:ind w:left="86"/>
            </w:pPr>
            <w:r>
              <w:rPr>
                <w:color w:val="5F6A72"/>
                <w:spacing w:val="-17"/>
              </w:rPr>
              <w:t>LPG</w:t>
            </w:r>
          </w:p>
        </w:tc>
        <w:tc>
          <w:tcPr>
            <w:tcW w:w="4773" w:type="dxa"/>
            <w:tcBorders>
              <w:left w:val="nil"/>
              <w:right w:val="nil"/>
            </w:tcBorders>
            <w:vAlign w:val="top"/>
          </w:tcPr>
          <w:p w14:paraId="7E2BA93E">
            <w:pPr>
              <w:pStyle w:val="8"/>
              <w:spacing w:before="69" w:line="234" w:lineRule="auto"/>
              <w:ind w:left="84"/>
            </w:pPr>
            <w:r>
              <w:rPr>
                <w:color w:val="5F6A72"/>
                <w:spacing w:val="-6"/>
              </w:rPr>
              <w:t>liquefied petroleum gas</w:t>
            </w:r>
          </w:p>
        </w:tc>
      </w:tr>
      <w:tr w14:paraId="4622E74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1A9965CA">
            <w:pPr>
              <w:pStyle w:val="8"/>
              <w:spacing w:before="109" w:line="186" w:lineRule="auto"/>
              <w:ind w:left="12"/>
            </w:pPr>
            <w:r>
              <w:rPr>
                <w:color w:val="2A8ABF"/>
                <w:spacing w:val="-20"/>
              </w:rPr>
              <w:t>CBM</w:t>
            </w:r>
          </w:p>
        </w:tc>
        <w:tc>
          <w:tcPr>
            <w:tcW w:w="4287" w:type="dxa"/>
            <w:tcBorders>
              <w:right w:val="nil"/>
            </w:tcBorders>
            <w:shd w:val="clear" w:color="auto" w:fill="EAF9FF"/>
            <w:vAlign w:val="top"/>
          </w:tcPr>
          <w:p w14:paraId="376AEBA8">
            <w:pPr>
              <w:pStyle w:val="8"/>
              <w:spacing w:before="69" w:line="238" w:lineRule="exact"/>
              <w:ind w:left="80"/>
            </w:pPr>
            <w:r>
              <w:rPr>
                <w:color w:val="5F6A72"/>
                <w:spacing w:val="-7"/>
                <w:position w:val="1"/>
              </w:rPr>
              <w:t>coal bed methane</w:t>
            </w:r>
          </w:p>
        </w:tc>
        <w:tc>
          <w:tcPr>
            <w:tcW w:w="552" w:type="dxa"/>
            <w:tcBorders>
              <w:left w:val="nil"/>
              <w:right w:val="nil"/>
            </w:tcBorders>
            <w:shd w:val="clear" w:color="auto" w:fill="EAF9FF"/>
            <w:vAlign w:val="top"/>
          </w:tcPr>
          <w:p w14:paraId="0D5E007C">
            <w:pPr>
              <w:pStyle w:val="8"/>
              <w:spacing w:before="143" w:line="126" w:lineRule="exact"/>
              <w:ind w:left="84"/>
            </w:pPr>
            <w:r>
              <w:rPr>
                <w:color w:val="5F6A72"/>
                <w:spacing w:val="-6"/>
                <w:position w:val="1"/>
              </w:rPr>
              <w:t>mcm</w:t>
            </w:r>
          </w:p>
        </w:tc>
        <w:tc>
          <w:tcPr>
            <w:tcW w:w="4773" w:type="dxa"/>
            <w:tcBorders>
              <w:left w:val="nil"/>
              <w:right w:val="nil"/>
            </w:tcBorders>
            <w:shd w:val="clear" w:color="auto" w:fill="EAF9FF"/>
            <w:vAlign w:val="top"/>
          </w:tcPr>
          <w:p w14:paraId="3967C477">
            <w:pPr>
              <w:pStyle w:val="8"/>
              <w:spacing w:before="69" w:line="238" w:lineRule="exact"/>
              <w:ind w:left="84"/>
            </w:pPr>
            <w:r>
              <w:rPr>
                <w:color w:val="5F6A72"/>
                <w:spacing w:val="-5"/>
                <w:position w:val="1"/>
              </w:rPr>
              <w:t>million cubic metres</w:t>
            </w:r>
          </w:p>
        </w:tc>
      </w:tr>
      <w:tr w14:paraId="4D04F79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4D44E2D5">
            <w:pPr>
              <w:pStyle w:val="8"/>
              <w:spacing w:before="109" w:line="186" w:lineRule="auto"/>
              <w:ind w:left="12"/>
            </w:pPr>
            <w:r>
              <w:rPr>
                <w:color w:val="2A8ABF"/>
                <w:spacing w:val="-22"/>
              </w:rPr>
              <w:t>CEE</w:t>
            </w:r>
          </w:p>
        </w:tc>
        <w:tc>
          <w:tcPr>
            <w:tcW w:w="4287" w:type="dxa"/>
            <w:tcBorders>
              <w:right w:val="nil"/>
            </w:tcBorders>
            <w:vAlign w:val="top"/>
          </w:tcPr>
          <w:p w14:paraId="14BC8934">
            <w:pPr>
              <w:pStyle w:val="8"/>
              <w:spacing w:before="70" w:line="236" w:lineRule="auto"/>
              <w:ind w:left="80"/>
            </w:pPr>
            <w:r>
              <w:rPr>
                <w:color w:val="5F6A72"/>
                <w:spacing w:val="-9"/>
              </w:rPr>
              <w:t>Central and Eastern E</w:t>
            </w:r>
            <w:r>
              <w:rPr>
                <w:color w:val="5F6A72"/>
                <w:spacing w:val="-10"/>
              </w:rPr>
              <w:t>urope</w:t>
            </w:r>
          </w:p>
        </w:tc>
        <w:tc>
          <w:tcPr>
            <w:tcW w:w="552" w:type="dxa"/>
            <w:tcBorders>
              <w:left w:val="nil"/>
              <w:right w:val="nil"/>
            </w:tcBorders>
            <w:vAlign w:val="top"/>
          </w:tcPr>
          <w:p w14:paraId="738CF5FB">
            <w:pPr>
              <w:pStyle w:val="8"/>
              <w:spacing w:before="111" w:line="186" w:lineRule="auto"/>
              <w:ind w:right="13"/>
              <w:jc w:val="right"/>
            </w:pPr>
            <w:r>
              <w:rPr>
                <w:color w:val="5F6A72"/>
                <w:spacing w:val="-19"/>
              </w:rPr>
              <w:t>M</w:t>
            </w:r>
            <w:r>
              <w:rPr>
                <w:color w:val="5F6A72"/>
                <w:spacing w:val="-18"/>
              </w:rPr>
              <w:t>EN</w:t>
            </w:r>
            <w:r>
              <w:rPr>
                <w:color w:val="5F6A72"/>
                <w:spacing w:val="-13"/>
              </w:rPr>
              <w:t>A</w:t>
            </w:r>
          </w:p>
        </w:tc>
        <w:tc>
          <w:tcPr>
            <w:tcW w:w="4773" w:type="dxa"/>
            <w:tcBorders>
              <w:left w:val="nil"/>
              <w:right w:val="nil"/>
            </w:tcBorders>
            <w:vAlign w:val="top"/>
          </w:tcPr>
          <w:p w14:paraId="4B7A6433">
            <w:pPr>
              <w:pStyle w:val="8"/>
              <w:spacing w:before="70" w:line="237" w:lineRule="exact"/>
              <w:ind w:left="86"/>
            </w:pPr>
            <w:r>
              <w:rPr>
                <w:color w:val="5F6A72"/>
                <w:spacing w:val="-8"/>
                <w:position w:val="1"/>
              </w:rPr>
              <w:t>Middle East and North</w:t>
            </w:r>
            <w:r>
              <w:rPr>
                <w:color w:val="5F6A72"/>
                <w:spacing w:val="-9"/>
                <w:position w:val="1"/>
              </w:rPr>
              <w:t xml:space="preserve"> </w:t>
            </w:r>
            <w:r>
              <w:rPr>
                <w:color w:val="5F6A72"/>
                <w:spacing w:val="-8"/>
                <w:position w:val="1"/>
              </w:rPr>
              <w:t>Africa</w:t>
            </w:r>
          </w:p>
        </w:tc>
      </w:tr>
      <w:tr w14:paraId="70430C5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294E8E56">
            <w:pPr>
              <w:pStyle w:val="8"/>
              <w:spacing w:before="110" w:line="186" w:lineRule="auto"/>
              <w:ind w:left="12"/>
            </w:pPr>
            <w:r>
              <w:rPr>
                <w:color w:val="2A8ABF"/>
                <w:spacing w:val="-17"/>
                <w:w w:val="96"/>
              </w:rPr>
              <w:t>CSG</w:t>
            </w:r>
          </w:p>
        </w:tc>
        <w:tc>
          <w:tcPr>
            <w:tcW w:w="4287" w:type="dxa"/>
            <w:tcBorders>
              <w:right w:val="nil"/>
            </w:tcBorders>
            <w:shd w:val="clear" w:color="auto" w:fill="EAF9FF"/>
            <w:vAlign w:val="top"/>
          </w:tcPr>
          <w:p w14:paraId="56E51E90">
            <w:pPr>
              <w:pStyle w:val="8"/>
              <w:spacing w:before="70" w:line="234" w:lineRule="auto"/>
              <w:ind w:left="80"/>
            </w:pPr>
            <w:r>
              <w:rPr>
                <w:color w:val="5F6A72"/>
                <w:spacing w:val="-11"/>
              </w:rPr>
              <w:t>coal seam</w:t>
            </w:r>
            <w:r>
              <w:rPr>
                <w:color w:val="5F6A72"/>
                <w:spacing w:val="3"/>
              </w:rPr>
              <w:t xml:space="preserve"> </w:t>
            </w:r>
            <w:r>
              <w:rPr>
                <w:color w:val="5F6A72"/>
                <w:spacing w:val="-11"/>
              </w:rPr>
              <w:t>gas</w:t>
            </w:r>
          </w:p>
        </w:tc>
        <w:tc>
          <w:tcPr>
            <w:tcW w:w="552" w:type="dxa"/>
            <w:tcBorders>
              <w:left w:val="nil"/>
              <w:right w:val="nil"/>
            </w:tcBorders>
            <w:shd w:val="clear" w:color="auto" w:fill="EAF9FF"/>
            <w:vAlign w:val="top"/>
          </w:tcPr>
          <w:p w14:paraId="32F55364">
            <w:pPr>
              <w:pStyle w:val="8"/>
              <w:spacing w:before="112" w:line="183" w:lineRule="auto"/>
              <w:ind w:left="86"/>
            </w:pPr>
            <w:r>
              <w:rPr>
                <w:color w:val="5F6A72"/>
                <w:spacing w:val="-11"/>
              </w:rPr>
              <w:t>MoU</w:t>
            </w:r>
          </w:p>
        </w:tc>
        <w:tc>
          <w:tcPr>
            <w:tcW w:w="4773" w:type="dxa"/>
            <w:tcBorders>
              <w:left w:val="nil"/>
              <w:right w:val="nil"/>
            </w:tcBorders>
            <w:shd w:val="clear" w:color="auto" w:fill="EAF9FF"/>
            <w:vAlign w:val="top"/>
          </w:tcPr>
          <w:p w14:paraId="4707EEBC">
            <w:pPr>
              <w:pStyle w:val="8"/>
              <w:spacing w:before="70" w:line="234" w:lineRule="auto"/>
              <w:ind w:left="84"/>
            </w:pPr>
            <w:r>
              <w:rPr>
                <w:color w:val="5F6A72"/>
                <w:spacing w:val="-5"/>
              </w:rPr>
              <w:t>memorandum of</w:t>
            </w:r>
            <w:r>
              <w:rPr>
                <w:color w:val="5F6A72"/>
                <w:spacing w:val="-12"/>
              </w:rPr>
              <w:t xml:space="preserve"> </w:t>
            </w:r>
            <w:r>
              <w:rPr>
                <w:color w:val="5F6A72"/>
                <w:spacing w:val="-5"/>
              </w:rPr>
              <w:t>underst</w:t>
            </w:r>
            <w:r>
              <w:rPr>
                <w:color w:val="5F6A72"/>
                <w:spacing w:val="-6"/>
              </w:rPr>
              <w:t>anding</w:t>
            </w:r>
          </w:p>
        </w:tc>
      </w:tr>
      <w:tr w14:paraId="24CC176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31A3F04C">
            <w:pPr>
              <w:pStyle w:val="8"/>
              <w:spacing w:before="112" w:line="183" w:lineRule="auto"/>
              <w:ind w:left="18"/>
            </w:pPr>
            <w:r>
              <w:rPr>
                <w:color w:val="2A8ABF"/>
                <w:spacing w:val="-13"/>
              </w:rPr>
              <w:t>DoE</w:t>
            </w:r>
          </w:p>
        </w:tc>
        <w:tc>
          <w:tcPr>
            <w:tcW w:w="4287" w:type="dxa"/>
            <w:tcBorders>
              <w:right w:val="nil"/>
            </w:tcBorders>
            <w:vAlign w:val="top"/>
          </w:tcPr>
          <w:p w14:paraId="7427904C">
            <w:pPr>
              <w:pStyle w:val="8"/>
              <w:spacing w:before="70" w:line="234" w:lineRule="auto"/>
              <w:ind w:left="85"/>
            </w:pPr>
            <w:r>
              <w:rPr>
                <w:color w:val="5F6A72"/>
                <w:spacing w:val="-9"/>
              </w:rPr>
              <w:t>US Department of Energy</w:t>
            </w:r>
          </w:p>
        </w:tc>
        <w:tc>
          <w:tcPr>
            <w:tcW w:w="552" w:type="dxa"/>
            <w:tcBorders>
              <w:left w:val="nil"/>
              <w:right w:val="nil"/>
            </w:tcBorders>
            <w:vAlign w:val="top"/>
          </w:tcPr>
          <w:p w14:paraId="7780306D">
            <w:pPr>
              <w:pStyle w:val="8"/>
              <w:spacing w:before="70" w:line="239" w:lineRule="exact"/>
              <w:ind w:left="84"/>
            </w:pPr>
            <w:r>
              <w:rPr>
                <w:color w:val="5F6A72"/>
                <w:spacing w:val="-2"/>
                <w:position w:val="1"/>
              </w:rPr>
              <w:t>mt</w:t>
            </w:r>
          </w:p>
        </w:tc>
        <w:tc>
          <w:tcPr>
            <w:tcW w:w="4773" w:type="dxa"/>
            <w:tcBorders>
              <w:left w:val="nil"/>
              <w:right w:val="nil"/>
            </w:tcBorders>
            <w:vAlign w:val="top"/>
          </w:tcPr>
          <w:p w14:paraId="5FD76A8D">
            <w:pPr>
              <w:pStyle w:val="8"/>
              <w:spacing w:before="70" w:line="238" w:lineRule="exact"/>
              <w:ind w:left="84"/>
            </w:pPr>
            <w:r>
              <w:rPr>
                <w:color w:val="5F6A72"/>
                <w:spacing w:val="-3"/>
                <w:position w:val="1"/>
              </w:rPr>
              <w:t>metric</w:t>
            </w:r>
            <w:r>
              <w:rPr>
                <w:color w:val="5F6A72"/>
                <w:spacing w:val="-9"/>
                <w:position w:val="1"/>
              </w:rPr>
              <w:t xml:space="preserve"> </w:t>
            </w:r>
            <w:r>
              <w:rPr>
                <w:color w:val="5F6A72"/>
                <w:spacing w:val="-3"/>
                <w:position w:val="1"/>
              </w:rPr>
              <w:t>tonne</w:t>
            </w:r>
          </w:p>
        </w:tc>
      </w:tr>
      <w:tr w14:paraId="3EA64D9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23D55738">
            <w:pPr>
              <w:pStyle w:val="8"/>
              <w:spacing w:before="112" w:line="186" w:lineRule="auto"/>
              <w:ind w:left="18"/>
            </w:pPr>
            <w:r>
              <w:rPr>
                <w:color w:val="2A8ABF"/>
                <w:spacing w:val="-17"/>
              </w:rPr>
              <w:t>DM</w:t>
            </w:r>
          </w:p>
        </w:tc>
        <w:tc>
          <w:tcPr>
            <w:tcW w:w="4287" w:type="dxa"/>
            <w:tcBorders>
              <w:right w:val="nil"/>
            </w:tcBorders>
            <w:shd w:val="clear" w:color="auto" w:fill="EAF9FF"/>
            <w:vAlign w:val="top"/>
          </w:tcPr>
          <w:p w14:paraId="19989ADE">
            <w:pPr>
              <w:pStyle w:val="8"/>
              <w:spacing w:before="71" w:line="236" w:lineRule="auto"/>
              <w:ind w:left="80"/>
            </w:pPr>
            <w:r>
              <w:rPr>
                <w:color w:val="5F6A72"/>
                <w:spacing w:val="-7"/>
              </w:rPr>
              <w:t>developed markets</w:t>
            </w:r>
          </w:p>
        </w:tc>
        <w:tc>
          <w:tcPr>
            <w:tcW w:w="552" w:type="dxa"/>
            <w:tcBorders>
              <w:left w:val="nil"/>
              <w:right w:val="nil"/>
            </w:tcBorders>
            <w:shd w:val="clear" w:color="auto" w:fill="EAF9FF"/>
            <w:vAlign w:val="top"/>
          </w:tcPr>
          <w:p w14:paraId="31FE00CE">
            <w:pPr>
              <w:pStyle w:val="8"/>
              <w:spacing w:before="71" w:line="236" w:lineRule="auto"/>
              <w:ind w:left="84"/>
            </w:pPr>
            <w:r>
              <w:rPr>
                <w:color w:val="5F6A72"/>
                <w:spacing w:val="-4"/>
              </w:rPr>
              <w:t>mtpa</w:t>
            </w:r>
          </w:p>
        </w:tc>
        <w:tc>
          <w:tcPr>
            <w:tcW w:w="4773" w:type="dxa"/>
            <w:tcBorders>
              <w:left w:val="nil"/>
              <w:right w:val="nil"/>
            </w:tcBorders>
            <w:shd w:val="clear" w:color="auto" w:fill="EAF9FF"/>
            <w:vAlign w:val="top"/>
          </w:tcPr>
          <w:p w14:paraId="13E31E0B">
            <w:pPr>
              <w:pStyle w:val="8"/>
              <w:spacing w:before="71" w:line="236" w:lineRule="auto"/>
              <w:ind w:left="84"/>
            </w:pPr>
            <w:r>
              <w:rPr>
                <w:color w:val="5F6A72"/>
                <w:spacing w:val="-5"/>
              </w:rPr>
              <w:t>million tons per</w:t>
            </w:r>
            <w:r>
              <w:rPr>
                <w:color w:val="5F6A72"/>
                <w:spacing w:val="-8"/>
              </w:rPr>
              <w:t xml:space="preserve"> </w:t>
            </w:r>
            <w:r>
              <w:rPr>
                <w:color w:val="5F6A72"/>
                <w:spacing w:val="-5"/>
              </w:rPr>
              <w:t>annum</w:t>
            </w:r>
          </w:p>
        </w:tc>
      </w:tr>
      <w:tr w14:paraId="7CC48FA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32EE8DCF">
            <w:pPr>
              <w:pStyle w:val="8"/>
              <w:spacing w:before="113" w:line="183" w:lineRule="auto"/>
              <w:ind w:left="18"/>
            </w:pPr>
            <w:r>
              <w:rPr>
                <w:color w:val="2A8ABF"/>
                <w:spacing w:val="-21"/>
                <w:w w:val="97"/>
              </w:rPr>
              <w:t>EBRD</w:t>
            </w:r>
          </w:p>
        </w:tc>
        <w:tc>
          <w:tcPr>
            <w:tcW w:w="4287" w:type="dxa"/>
            <w:tcBorders>
              <w:right w:val="nil"/>
            </w:tcBorders>
            <w:vAlign w:val="top"/>
          </w:tcPr>
          <w:p w14:paraId="78F3CEC1">
            <w:pPr>
              <w:pStyle w:val="8"/>
              <w:spacing w:before="71" w:line="236" w:lineRule="auto"/>
              <w:ind w:left="86"/>
            </w:pPr>
            <w:r>
              <w:rPr>
                <w:color w:val="5F6A72"/>
                <w:spacing w:val="-8"/>
              </w:rPr>
              <w:t>European Bank for Reconstruction &amp; Development</w:t>
            </w:r>
          </w:p>
        </w:tc>
        <w:tc>
          <w:tcPr>
            <w:tcW w:w="552" w:type="dxa"/>
            <w:tcBorders>
              <w:left w:val="nil"/>
              <w:right w:val="nil"/>
            </w:tcBorders>
            <w:vAlign w:val="top"/>
          </w:tcPr>
          <w:p w14:paraId="5801C37F">
            <w:pPr>
              <w:pStyle w:val="8"/>
              <w:spacing w:before="111" w:line="186" w:lineRule="auto"/>
              <w:ind w:left="86"/>
            </w:pPr>
            <w:r>
              <w:rPr>
                <w:color w:val="5F6A72"/>
                <w:spacing w:val="-20"/>
              </w:rPr>
              <w:t>NGL</w:t>
            </w:r>
          </w:p>
        </w:tc>
        <w:tc>
          <w:tcPr>
            <w:tcW w:w="4773" w:type="dxa"/>
            <w:tcBorders>
              <w:left w:val="nil"/>
              <w:right w:val="nil"/>
            </w:tcBorders>
            <w:vAlign w:val="top"/>
          </w:tcPr>
          <w:p w14:paraId="2D0105AA">
            <w:pPr>
              <w:pStyle w:val="8"/>
              <w:spacing w:before="71" w:line="234" w:lineRule="auto"/>
              <w:ind w:left="84"/>
            </w:pPr>
            <w:r>
              <w:rPr>
                <w:color w:val="5F6A72"/>
                <w:spacing w:val="-8"/>
              </w:rPr>
              <w:t>natural gas liquids</w:t>
            </w:r>
          </w:p>
        </w:tc>
      </w:tr>
      <w:tr w14:paraId="26D3164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26773505">
            <w:pPr>
              <w:pStyle w:val="8"/>
              <w:spacing w:before="114" w:line="183" w:lineRule="auto"/>
              <w:ind w:left="18"/>
            </w:pPr>
            <w:r>
              <w:rPr>
                <w:color w:val="2A8ABF"/>
                <w:spacing w:val="-18"/>
                <w:w w:val="95"/>
              </w:rPr>
              <w:t>EEZ</w:t>
            </w:r>
          </w:p>
        </w:tc>
        <w:tc>
          <w:tcPr>
            <w:tcW w:w="4287" w:type="dxa"/>
            <w:tcBorders>
              <w:right w:val="nil"/>
            </w:tcBorders>
            <w:shd w:val="clear" w:color="auto" w:fill="EAF9FF"/>
            <w:vAlign w:val="top"/>
          </w:tcPr>
          <w:p w14:paraId="7CAC2DA6">
            <w:pPr>
              <w:pStyle w:val="8"/>
              <w:spacing w:before="72" w:line="237" w:lineRule="exact"/>
              <w:ind w:left="80"/>
            </w:pPr>
            <w:r>
              <w:rPr>
                <w:color w:val="5F6A72"/>
                <w:spacing w:val="-8"/>
                <w:position w:val="1"/>
              </w:rPr>
              <w:t>exclusive economic zone</w:t>
            </w:r>
          </w:p>
        </w:tc>
        <w:tc>
          <w:tcPr>
            <w:tcW w:w="552" w:type="dxa"/>
            <w:tcBorders>
              <w:left w:val="nil"/>
              <w:right w:val="nil"/>
            </w:tcBorders>
            <w:shd w:val="clear" w:color="auto" w:fill="EAF9FF"/>
            <w:vAlign w:val="top"/>
          </w:tcPr>
          <w:p w14:paraId="16BBDFB9">
            <w:pPr>
              <w:pStyle w:val="8"/>
              <w:spacing w:before="111" w:line="186" w:lineRule="auto"/>
              <w:ind w:left="86"/>
            </w:pPr>
            <w:r>
              <w:rPr>
                <w:color w:val="5F6A72"/>
                <w:spacing w:val="-16"/>
                <w:w w:val="97"/>
              </w:rPr>
              <w:t>NGV</w:t>
            </w:r>
          </w:p>
        </w:tc>
        <w:tc>
          <w:tcPr>
            <w:tcW w:w="4773" w:type="dxa"/>
            <w:tcBorders>
              <w:left w:val="nil"/>
              <w:right w:val="nil"/>
            </w:tcBorders>
            <w:shd w:val="clear" w:color="auto" w:fill="EAF9FF"/>
            <w:vAlign w:val="top"/>
          </w:tcPr>
          <w:p w14:paraId="46CA858A">
            <w:pPr>
              <w:pStyle w:val="8"/>
              <w:spacing w:before="71" w:line="234" w:lineRule="auto"/>
              <w:ind w:left="84"/>
            </w:pPr>
            <w:r>
              <w:rPr>
                <w:color w:val="5F6A72"/>
                <w:spacing w:val="-9"/>
              </w:rPr>
              <w:t>natural gas</w:t>
            </w:r>
            <w:r>
              <w:rPr>
                <w:color w:val="5F6A72"/>
                <w:spacing w:val="3"/>
              </w:rPr>
              <w:t xml:space="preserve"> </w:t>
            </w:r>
            <w:r>
              <w:rPr>
                <w:color w:val="5F6A72"/>
                <w:spacing w:val="-9"/>
              </w:rPr>
              <w:t>vehicle(s)</w:t>
            </w:r>
          </w:p>
        </w:tc>
      </w:tr>
      <w:tr w14:paraId="3353281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1EDE0630">
            <w:pPr>
              <w:pStyle w:val="8"/>
              <w:spacing w:before="72" w:line="239" w:lineRule="exact"/>
              <w:ind w:left="18"/>
            </w:pPr>
            <w:r>
              <w:rPr>
                <w:color w:val="2A8ABF"/>
                <w:spacing w:val="-17"/>
                <w:position w:val="1"/>
              </w:rPr>
              <w:t>EIA</w:t>
            </w:r>
          </w:p>
        </w:tc>
        <w:tc>
          <w:tcPr>
            <w:tcW w:w="4287" w:type="dxa"/>
            <w:tcBorders>
              <w:right w:val="nil"/>
            </w:tcBorders>
            <w:vAlign w:val="top"/>
          </w:tcPr>
          <w:p w14:paraId="7A9974D5">
            <w:pPr>
              <w:pStyle w:val="8"/>
              <w:spacing w:before="72" w:line="234" w:lineRule="auto"/>
              <w:ind w:left="85"/>
            </w:pPr>
            <w:r>
              <w:rPr>
                <w:color w:val="5F6A72"/>
                <w:spacing w:val="-6"/>
              </w:rPr>
              <w:t>US Energy Information</w:t>
            </w:r>
            <w:r>
              <w:rPr>
                <w:color w:val="5F6A72"/>
                <w:spacing w:val="-14"/>
              </w:rPr>
              <w:t xml:space="preserve"> </w:t>
            </w:r>
            <w:r>
              <w:rPr>
                <w:color w:val="5F6A72"/>
                <w:spacing w:val="-6"/>
              </w:rPr>
              <w:t>Adm</w:t>
            </w:r>
            <w:r>
              <w:rPr>
                <w:color w:val="5F6A72"/>
                <w:spacing w:val="-7"/>
              </w:rPr>
              <w:t>inistration</w:t>
            </w:r>
          </w:p>
        </w:tc>
        <w:tc>
          <w:tcPr>
            <w:tcW w:w="552" w:type="dxa"/>
            <w:tcBorders>
              <w:left w:val="nil"/>
              <w:right w:val="nil"/>
            </w:tcBorders>
            <w:vAlign w:val="top"/>
          </w:tcPr>
          <w:p w14:paraId="661615CF">
            <w:pPr>
              <w:pStyle w:val="8"/>
              <w:spacing w:before="111" w:line="186" w:lineRule="auto"/>
              <w:ind w:left="86"/>
            </w:pPr>
            <w:r>
              <w:rPr>
                <w:color w:val="5F6A72"/>
                <w:spacing w:val="-17"/>
              </w:rPr>
              <w:t>NOC</w:t>
            </w:r>
          </w:p>
        </w:tc>
        <w:tc>
          <w:tcPr>
            <w:tcW w:w="4773" w:type="dxa"/>
            <w:tcBorders>
              <w:left w:val="nil"/>
              <w:right w:val="nil"/>
            </w:tcBorders>
            <w:vAlign w:val="top"/>
          </w:tcPr>
          <w:p w14:paraId="47A85A9E">
            <w:pPr>
              <w:pStyle w:val="8"/>
              <w:spacing w:before="72" w:line="234" w:lineRule="auto"/>
              <w:ind w:left="84"/>
            </w:pPr>
            <w:r>
              <w:rPr>
                <w:color w:val="5F6A72"/>
                <w:spacing w:val="-6"/>
              </w:rPr>
              <w:t>national oil company</w:t>
            </w:r>
          </w:p>
        </w:tc>
      </w:tr>
      <w:tr w14:paraId="1CA5585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612AF673">
            <w:pPr>
              <w:pStyle w:val="8"/>
              <w:spacing w:before="114" w:line="186" w:lineRule="auto"/>
              <w:ind w:left="18"/>
            </w:pPr>
            <w:r>
              <w:rPr>
                <w:color w:val="2A8ABF"/>
                <w:spacing w:val="-22"/>
              </w:rPr>
              <w:t>EM</w:t>
            </w:r>
          </w:p>
        </w:tc>
        <w:tc>
          <w:tcPr>
            <w:tcW w:w="4287" w:type="dxa"/>
            <w:tcBorders>
              <w:right w:val="nil"/>
            </w:tcBorders>
            <w:shd w:val="clear" w:color="auto" w:fill="EAF9FF"/>
            <w:vAlign w:val="top"/>
          </w:tcPr>
          <w:p w14:paraId="54DC0AD0">
            <w:pPr>
              <w:pStyle w:val="8"/>
              <w:spacing w:before="72" w:line="234" w:lineRule="auto"/>
              <w:ind w:left="80"/>
            </w:pPr>
            <w:r>
              <w:rPr>
                <w:color w:val="5F6A72"/>
                <w:spacing w:val="-6"/>
              </w:rPr>
              <w:t>emerging markets</w:t>
            </w:r>
          </w:p>
        </w:tc>
        <w:tc>
          <w:tcPr>
            <w:tcW w:w="552" w:type="dxa"/>
            <w:tcBorders>
              <w:left w:val="nil"/>
              <w:right w:val="nil"/>
            </w:tcBorders>
            <w:shd w:val="clear" w:color="auto" w:fill="EAF9FF"/>
            <w:vAlign w:val="top"/>
          </w:tcPr>
          <w:p w14:paraId="2DCE33A8">
            <w:pPr>
              <w:pStyle w:val="8"/>
              <w:spacing w:before="146" w:line="124" w:lineRule="exact"/>
              <w:ind w:left="80"/>
            </w:pPr>
            <w:r>
              <w:rPr>
                <w:color w:val="5F6A72"/>
                <w:spacing w:val="-7"/>
              </w:rPr>
              <w:t>opex</w:t>
            </w:r>
          </w:p>
        </w:tc>
        <w:tc>
          <w:tcPr>
            <w:tcW w:w="4773" w:type="dxa"/>
            <w:tcBorders>
              <w:left w:val="nil"/>
              <w:right w:val="nil"/>
            </w:tcBorders>
            <w:shd w:val="clear" w:color="auto" w:fill="EAF9FF"/>
            <w:vAlign w:val="top"/>
          </w:tcPr>
          <w:p w14:paraId="7C234E02">
            <w:pPr>
              <w:pStyle w:val="8"/>
              <w:spacing w:before="72" w:line="234" w:lineRule="auto"/>
              <w:ind w:left="80"/>
            </w:pPr>
            <w:r>
              <w:rPr>
                <w:color w:val="5F6A72"/>
                <w:spacing w:val="-6"/>
              </w:rPr>
              <w:t>operating expenditure</w:t>
            </w:r>
          </w:p>
        </w:tc>
      </w:tr>
      <w:tr w14:paraId="74694542">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2A577A84">
            <w:pPr>
              <w:pStyle w:val="8"/>
              <w:spacing w:before="112" w:line="186" w:lineRule="auto"/>
              <w:ind w:left="18"/>
            </w:pPr>
            <w:r>
              <w:rPr>
                <w:color w:val="2A8ABF"/>
                <w:spacing w:val="-18"/>
                <w:w w:val="96"/>
              </w:rPr>
              <w:t>EOR</w:t>
            </w:r>
          </w:p>
        </w:tc>
        <w:tc>
          <w:tcPr>
            <w:tcW w:w="4287" w:type="dxa"/>
            <w:tcBorders>
              <w:right w:val="nil"/>
            </w:tcBorders>
            <w:vAlign w:val="top"/>
          </w:tcPr>
          <w:p w14:paraId="4B27BD89">
            <w:pPr>
              <w:pStyle w:val="8"/>
              <w:spacing w:before="73" w:line="234" w:lineRule="auto"/>
              <w:ind w:left="80"/>
            </w:pPr>
            <w:r>
              <w:rPr>
                <w:color w:val="5F6A72"/>
                <w:spacing w:val="-7"/>
              </w:rPr>
              <w:t>enhanced oil recovery</w:t>
            </w:r>
          </w:p>
        </w:tc>
        <w:tc>
          <w:tcPr>
            <w:tcW w:w="552" w:type="dxa"/>
            <w:tcBorders>
              <w:left w:val="nil"/>
              <w:right w:val="nil"/>
            </w:tcBorders>
            <w:vAlign w:val="top"/>
          </w:tcPr>
          <w:p w14:paraId="7B96D861">
            <w:pPr>
              <w:pStyle w:val="8"/>
              <w:spacing w:before="115" w:line="183" w:lineRule="auto"/>
              <w:ind w:left="86"/>
            </w:pPr>
            <w:r>
              <w:rPr>
                <w:color w:val="5F6A72"/>
                <w:spacing w:val="-17"/>
              </w:rPr>
              <w:t>PE</w:t>
            </w:r>
          </w:p>
        </w:tc>
        <w:tc>
          <w:tcPr>
            <w:tcW w:w="4773" w:type="dxa"/>
            <w:tcBorders>
              <w:left w:val="nil"/>
              <w:right w:val="nil"/>
            </w:tcBorders>
            <w:vAlign w:val="top"/>
          </w:tcPr>
          <w:p w14:paraId="222CB610">
            <w:pPr>
              <w:pStyle w:val="8"/>
              <w:spacing w:before="73" w:line="234" w:lineRule="auto"/>
              <w:ind w:left="84"/>
            </w:pPr>
            <w:r>
              <w:rPr>
                <w:color w:val="5F6A72"/>
                <w:spacing w:val="-6"/>
              </w:rPr>
              <w:t>polyethylene</w:t>
            </w:r>
          </w:p>
        </w:tc>
      </w:tr>
      <w:tr w14:paraId="4B3C89D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73117D02">
            <w:pPr>
              <w:pStyle w:val="8"/>
              <w:spacing w:before="73" w:line="237" w:lineRule="exact"/>
              <w:ind w:left="18"/>
            </w:pPr>
            <w:r>
              <w:rPr>
                <w:color w:val="2A8ABF"/>
                <w:spacing w:val="-13"/>
                <w:w w:val="96"/>
                <w:position w:val="1"/>
              </w:rPr>
              <w:t>E&amp;P</w:t>
            </w:r>
          </w:p>
        </w:tc>
        <w:tc>
          <w:tcPr>
            <w:tcW w:w="4287" w:type="dxa"/>
            <w:tcBorders>
              <w:right w:val="nil"/>
            </w:tcBorders>
            <w:shd w:val="clear" w:color="auto" w:fill="EAF9FF"/>
            <w:vAlign w:val="top"/>
          </w:tcPr>
          <w:p w14:paraId="1E55224D">
            <w:pPr>
              <w:pStyle w:val="8"/>
              <w:spacing w:before="73" w:line="236" w:lineRule="auto"/>
              <w:ind w:left="80"/>
            </w:pPr>
            <w:r>
              <w:rPr>
                <w:color w:val="5F6A72"/>
                <w:spacing w:val="-6"/>
              </w:rPr>
              <w:t>exploration and production</w:t>
            </w:r>
          </w:p>
        </w:tc>
        <w:tc>
          <w:tcPr>
            <w:tcW w:w="552" w:type="dxa"/>
            <w:tcBorders>
              <w:left w:val="nil"/>
              <w:right w:val="nil"/>
            </w:tcBorders>
            <w:shd w:val="clear" w:color="auto" w:fill="EAF9FF"/>
            <w:vAlign w:val="top"/>
          </w:tcPr>
          <w:p w14:paraId="0B7863B0">
            <w:pPr>
              <w:pStyle w:val="8"/>
              <w:spacing w:before="115" w:line="183" w:lineRule="auto"/>
              <w:ind w:left="86"/>
            </w:pPr>
            <w:r>
              <w:rPr>
                <w:color w:val="5F6A72"/>
                <w:spacing w:val="-15"/>
              </w:rPr>
              <w:t>PP</w:t>
            </w:r>
          </w:p>
        </w:tc>
        <w:tc>
          <w:tcPr>
            <w:tcW w:w="4773" w:type="dxa"/>
            <w:tcBorders>
              <w:left w:val="nil"/>
              <w:right w:val="nil"/>
            </w:tcBorders>
            <w:shd w:val="clear" w:color="auto" w:fill="EAF9FF"/>
            <w:vAlign w:val="top"/>
          </w:tcPr>
          <w:p w14:paraId="6E2F6DC0">
            <w:pPr>
              <w:pStyle w:val="8"/>
              <w:spacing w:before="73" w:line="234" w:lineRule="auto"/>
              <w:ind w:left="84"/>
            </w:pPr>
            <w:r>
              <w:rPr>
                <w:color w:val="5F6A72"/>
                <w:spacing w:val="-6"/>
              </w:rPr>
              <w:t>polypropylene</w:t>
            </w:r>
          </w:p>
        </w:tc>
      </w:tr>
      <w:tr w14:paraId="7CD05ED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1DF242C7">
            <w:pPr>
              <w:pStyle w:val="8"/>
              <w:spacing w:before="113" w:line="186" w:lineRule="auto"/>
              <w:ind w:left="18"/>
            </w:pPr>
            <w:r>
              <w:rPr>
                <w:color w:val="2A8ABF"/>
                <w:spacing w:val="-14"/>
                <w:w w:val="92"/>
              </w:rPr>
              <w:t>EPSA</w:t>
            </w:r>
          </w:p>
        </w:tc>
        <w:tc>
          <w:tcPr>
            <w:tcW w:w="4287" w:type="dxa"/>
            <w:tcBorders>
              <w:right w:val="nil"/>
            </w:tcBorders>
            <w:vAlign w:val="top"/>
          </w:tcPr>
          <w:p w14:paraId="1E7DA75A">
            <w:pPr>
              <w:pStyle w:val="8"/>
              <w:spacing w:before="73" w:line="234" w:lineRule="auto"/>
              <w:ind w:left="80"/>
            </w:pPr>
            <w:r>
              <w:rPr>
                <w:color w:val="5F6A72"/>
                <w:spacing w:val="-6"/>
              </w:rPr>
              <w:t>exploration and production sharing agreement</w:t>
            </w:r>
          </w:p>
        </w:tc>
        <w:tc>
          <w:tcPr>
            <w:tcW w:w="552" w:type="dxa"/>
            <w:tcBorders>
              <w:left w:val="nil"/>
              <w:right w:val="nil"/>
            </w:tcBorders>
            <w:vAlign w:val="top"/>
          </w:tcPr>
          <w:p w14:paraId="5E194858">
            <w:pPr>
              <w:pStyle w:val="8"/>
              <w:spacing w:before="113" w:line="186" w:lineRule="auto"/>
              <w:ind w:left="86"/>
            </w:pPr>
            <w:r>
              <w:rPr>
                <w:color w:val="5F6A72"/>
                <w:spacing w:val="-12"/>
                <w:w w:val="94"/>
              </w:rPr>
              <w:t>PSA</w:t>
            </w:r>
          </w:p>
        </w:tc>
        <w:tc>
          <w:tcPr>
            <w:tcW w:w="4773" w:type="dxa"/>
            <w:tcBorders>
              <w:left w:val="nil"/>
              <w:right w:val="nil"/>
            </w:tcBorders>
            <w:vAlign w:val="top"/>
          </w:tcPr>
          <w:p w14:paraId="1D8CFA39">
            <w:pPr>
              <w:pStyle w:val="8"/>
              <w:spacing w:before="73" w:line="234" w:lineRule="auto"/>
              <w:ind w:left="84"/>
            </w:pPr>
            <w:r>
              <w:rPr>
                <w:color w:val="5F6A72"/>
                <w:spacing w:val="-6"/>
              </w:rPr>
              <w:t>production sharing agreement</w:t>
            </w:r>
          </w:p>
        </w:tc>
      </w:tr>
      <w:tr w14:paraId="2CB7AB0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5C20B9B9">
            <w:pPr>
              <w:pStyle w:val="8"/>
              <w:spacing w:before="116" w:line="183" w:lineRule="auto"/>
              <w:ind w:left="18"/>
            </w:pPr>
            <w:r>
              <w:rPr>
                <w:color w:val="2A8ABF"/>
                <w:spacing w:val="-11"/>
                <w:w w:val="91"/>
              </w:rPr>
              <w:t>EV</w:t>
            </w:r>
          </w:p>
        </w:tc>
        <w:tc>
          <w:tcPr>
            <w:tcW w:w="4287" w:type="dxa"/>
            <w:tcBorders>
              <w:right w:val="nil"/>
            </w:tcBorders>
            <w:shd w:val="clear" w:color="auto" w:fill="EAF9FF"/>
            <w:vAlign w:val="top"/>
          </w:tcPr>
          <w:p w14:paraId="58BFED41">
            <w:pPr>
              <w:pStyle w:val="8"/>
              <w:spacing w:before="74" w:line="234" w:lineRule="auto"/>
              <w:ind w:left="80"/>
            </w:pPr>
            <w:r>
              <w:rPr>
                <w:color w:val="5F6A72"/>
                <w:spacing w:val="-6"/>
              </w:rPr>
              <w:t>electric</w:t>
            </w:r>
            <w:r>
              <w:rPr>
                <w:color w:val="5F6A72"/>
                <w:spacing w:val="-11"/>
              </w:rPr>
              <w:t xml:space="preserve"> </w:t>
            </w:r>
            <w:r>
              <w:rPr>
                <w:color w:val="5F6A72"/>
                <w:spacing w:val="-6"/>
              </w:rPr>
              <w:t>vehicle(s)</w:t>
            </w:r>
          </w:p>
        </w:tc>
        <w:tc>
          <w:tcPr>
            <w:tcW w:w="552" w:type="dxa"/>
            <w:tcBorders>
              <w:left w:val="nil"/>
              <w:right w:val="nil"/>
            </w:tcBorders>
            <w:shd w:val="clear" w:color="auto" w:fill="EAF9FF"/>
            <w:vAlign w:val="top"/>
          </w:tcPr>
          <w:p w14:paraId="5F312C1D">
            <w:pPr>
              <w:pStyle w:val="8"/>
              <w:spacing w:before="114" w:line="186" w:lineRule="auto"/>
              <w:ind w:left="86"/>
            </w:pPr>
            <w:r>
              <w:rPr>
                <w:color w:val="5F6A72"/>
                <w:spacing w:val="-17"/>
                <w:w w:val="96"/>
              </w:rPr>
              <w:t>PSC</w:t>
            </w:r>
          </w:p>
        </w:tc>
        <w:tc>
          <w:tcPr>
            <w:tcW w:w="4773" w:type="dxa"/>
            <w:tcBorders>
              <w:left w:val="nil"/>
              <w:right w:val="nil"/>
            </w:tcBorders>
            <w:shd w:val="clear" w:color="auto" w:fill="EAF9FF"/>
            <w:vAlign w:val="top"/>
          </w:tcPr>
          <w:p w14:paraId="5643788F">
            <w:pPr>
              <w:pStyle w:val="8"/>
              <w:spacing w:before="74" w:line="234" w:lineRule="auto"/>
              <w:ind w:left="84"/>
            </w:pPr>
            <w:r>
              <w:rPr>
                <w:color w:val="5F6A72"/>
                <w:spacing w:val="-5"/>
              </w:rPr>
              <w:t>production sharing contract</w:t>
            </w:r>
          </w:p>
        </w:tc>
      </w:tr>
      <w:tr w14:paraId="6871325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5F7F1977">
            <w:pPr>
              <w:pStyle w:val="8"/>
              <w:spacing w:before="74" w:line="240" w:lineRule="exact"/>
              <w:ind w:left="18"/>
            </w:pPr>
            <w:r>
              <w:rPr>
                <w:color w:val="2A8ABF"/>
                <w:spacing w:val="-17"/>
                <w:position w:val="1"/>
              </w:rPr>
              <w:t>FID</w:t>
            </w:r>
          </w:p>
        </w:tc>
        <w:tc>
          <w:tcPr>
            <w:tcW w:w="4287" w:type="dxa"/>
            <w:tcBorders>
              <w:right w:val="nil"/>
            </w:tcBorders>
            <w:vAlign w:val="top"/>
          </w:tcPr>
          <w:p w14:paraId="6E4676F9">
            <w:pPr>
              <w:pStyle w:val="8"/>
              <w:spacing w:before="74" w:line="238" w:lineRule="exact"/>
              <w:ind w:left="75"/>
            </w:pPr>
            <w:r>
              <w:rPr>
                <w:color w:val="5F6A72"/>
                <w:spacing w:val="-5"/>
                <w:position w:val="1"/>
              </w:rPr>
              <w:t>final investment decision</w:t>
            </w:r>
          </w:p>
        </w:tc>
        <w:tc>
          <w:tcPr>
            <w:tcW w:w="552" w:type="dxa"/>
            <w:tcBorders>
              <w:left w:val="nil"/>
              <w:right w:val="nil"/>
            </w:tcBorders>
            <w:vAlign w:val="top"/>
          </w:tcPr>
          <w:p w14:paraId="27731E00">
            <w:pPr>
              <w:pStyle w:val="8"/>
              <w:spacing w:before="115" w:line="183" w:lineRule="auto"/>
              <w:ind w:left="86"/>
            </w:pPr>
            <w:r>
              <w:rPr>
                <w:color w:val="5F6A72"/>
                <w:spacing w:val="-9"/>
                <w:w w:val="94"/>
              </w:rPr>
              <w:t>R&amp;D</w:t>
            </w:r>
          </w:p>
        </w:tc>
        <w:tc>
          <w:tcPr>
            <w:tcW w:w="4773" w:type="dxa"/>
            <w:tcBorders>
              <w:left w:val="nil"/>
              <w:right w:val="nil"/>
            </w:tcBorders>
            <w:vAlign w:val="top"/>
          </w:tcPr>
          <w:p w14:paraId="07D6CD01">
            <w:pPr>
              <w:pStyle w:val="8"/>
              <w:spacing w:before="75" w:line="236" w:lineRule="auto"/>
              <w:ind w:left="84"/>
            </w:pPr>
            <w:r>
              <w:rPr>
                <w:color w:val="5F6A72"/>
                <w:spacing w:val="-8"/>
              </w:rPr>
              <w:t>research and development</w:t>
            </w:r>
          </w:p>
        </w:tc>
      </w:tr>
      <w:tr w14:paraId="372D549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6D2C7AB3">
            <w:pPr>
              <w:pStyle w:val="8"/>
              <w:spacing w:before="75" w:line="239" w:lineRule="exact"/>
              <w:ind w:left="18"/>
            </w:pPr>
            <w:r>
              <w:rPr>
                <w:color w:val="2A8ABF"/>
                <w:spacing w:val="-20"/>
                <w:position w:val="1"/>
              </w:rPr>
              <w:t>FDI</w:t>
            </w:r>
          </w:p>
        </w:tc>
        <w:tc>
          <w:tcPr>
            <w:tcW w:w="4287" w:type="dxa"/>
            <w:tcBorders>
              <w:right w:val="nil"/>
            </w:tcBorders>
            <w:shd w:val="clear" w:color="auto" w:fill="EAF9FF"/>
            <w:vAlign w:val="top"/>
          </w:tcPr>
          <w:p w14:paraId="4CF77258">
            <w:pPr>
              <w:pStyle w:val="8"/>
              <w:spacing w:before="75" w:line="234" w:lineRule="auto"/>
              <w:ind w:left="75"/>
            </w:pPr>
            <w:r>
              <w:rPr>
                <w:color w:val="5F6A72"/>
                <w:spacing w:val="-4"/>
              </w:rPr>
              <w:t>foreign direct inve</w:t>
            </w:r>
            <w:r>
              <w:rPr>
                <w:color w:val="5F6A72"/>
                <w:spacing w:val="-5"/>
              </w:rPr>
              <w:t>stment</w:t>
            </w:r>
          </w:p>
        </w:tc>
        <w:tc>
          <w:tcPr>
            <w:tcW w:w="552" w:type="dxa"/>
            <w:tcBorders>
              <w:left w:val="nil"/>
              <w:right w:val="nil"/>
            </w:tcBorders>
            <w:shd w:val="clear" w:color="auto" w:fill="EAF9FF"/>
            <w:vAlign w:val="top"/>
          </w:tcPr>
          <w:p w14:paraId="339EE327">
            <w:pPr>
              <w:pStyle w:val="8"/>
              <w:spacing w:before="101" w:line="204" w:lineRule="auto"/>
              <w:ind w:left="86"/>
            </w:pPr>
            <w:r>
              <w:rPr>
                <w:color w:val="5F6A72"/>
                <w:spacing w:val="-7"/>
              </w:rPr>
              <w:t>R/P</w:t>
            </w:r>
          </w:p>
        </w:tc>
        <w:tc>
          <w:tcPr>
            <w:tcW w:w="4773" w:type="dxa"/>
            <w:tcBorders>
              <w:left w:val="nil"/>
              <w:right w:val="nil"/>
            </w:tcBorders>
            <w:shd w:val="clear" w:color="auto" w:fill="EAF9FF"/>
            <w:vAlign w:val="top"/>
          </w:tcPr>
          <w:p w14:paraId="49952FF2">
            <w:pPr>
              <w:pStyle w:val="8"/>
              <w:spacing w:before="75" w:line="236" w:lineRule="auto"/>
              <w:ind w:left="84"/>
            </w:pPr>
            <w:r>
              <w:rPr>
                <w:color w:val="5F6A72"/>
                <w:spacing w:val="-4"/>
              </w:rPr>
              <w:t>reserves/production</w:t>
            </w:r>
          </w:p>
        </w:tc>
      </w:tr>
      <w:tr w14:paraId="09EB638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6E13228E">
            <w:pPr>
              <w:pStyle w:val="8"/>
              <w:spacing w:before="117" w:line="183" w:lineRule="auto"/>
              <w:ind w:left="18"/>
            </w:pPr>
            <w:r>
              <w:rPr>
                <w:color w:val="2A8ABF"/>
                <w:spacing w:val="-24"/>
                <w:w w:val="99"/>
              </w:rPr>
              <w:t>FEED</w:t>
            </w:r>
          </w:p>
        </w:tc>
        <w:tc>
          <w:tcPr>
            <w:tcW w:w="4287" w:type="dxa"/>
            <w:tcBorders>
              <w:right w:val="nil"/>
            </w:tcBorders>
            <w:vAlign w:val="top"/>
          </w:tcPr>
          <w:p w14:paraId="36AF5087">
            <w:pPr>
              <w:pStyle w:val="8"/>
              <w:spacing w:before="75" w:line="234" w:lineRule="auto"/>
              <w:ind w:left="75"/>
            </w:pPr>
            <w:r>
              <w:rPr>
                <w:color w:val="5F6A72"/>
                <w:spacing w:val="-6"/>
              </w:rPr>
              <w:t>front end engineering and design</w:t>
            </w:r>
          </w:p>
        </w:tc>
        <w:tc>
          <w:tcPr>
            <w:tcW w:w="552" w:type="dxa"/>
            <w:tcBorders>
              <w:left w:val="nil"/>
              <w:right w:val="nil"/>
            </w:tcBorders>
            <w:vAlign w:val="top"/>
          </w:tcPr>
          <w:p w14:paraId="13C847A2">
            <w:pPr>
              <w:pStyle w:val="8"/>
              <w:spacing w:before="117" w:line="183" w:lineRule="auto"/>
              <w:ind w:left="86"/>
            </w:pPr>
            <w:r>
              <w:rPr>
                <w:color w:val="5F6A72"/>
                <w:spacing w:val="-17"/>
                <w:w w:val="94"/>
              </w:rPr>
              <w:t>RPR</w:t>
            </w:r>
          </w:p>
        </w:tc>
        <w:tc>
          <w:tcPr>
            <w:tcW w:w="4773" w:type="dxa"/>
            <w:tcBorders>
              <w:left w:val="nil"/>
              <w:right w:val="nil"/>
            </w:tcBorders>
            <w:vAlign w:val="top"/>
          </w:tcPr>
          <w:p w14:paraId="62005F22">
            <w:pPr>
              <w:pStyle w:val="8"/>
              <w:spacing w:before="75" w:line="236" w:lineRule="auto"/>
              <w:ind w:left="84"/>
            </w:pPr>
            <w:r>
              <w:rPr>
                <w:color w:val="5F6A72"/>
                <w:spacing w:val="-6"/>
              </w:rPr>
              <w:t>reserves to production ratio</w:t>
            </w:r>
          </w:p>
        </w:tc>
      </w:tr>
      <w:tr w14:paraId="6A74476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7F4F01B6">
            <w:pPr>
              <w:pStyle w:val="8"/>
              <w:spacing w:before="115" w:line="186" w:lineRule="auto"/>
              <w:ind w:left="18"/>
            </w:pPr>
            <w:r>
              <w:rPr>
                <w:color w:val="2A8ABF"/>
                <w:spacing w:val="-17"/>
              </w:rPr>
              <w:t>FLNG</w:t>
            </w:r>
          </w:p>
        </w:tc>
        <w:tc>
          <w:tcPr>
            <w:tcW w:w="4287" w:type="dxa"/>
            <w:tcBorders>
              <w:right w:val="nil"/>
            </w:tcBorders>
            <w:shd w:val="clear" w:color="auto" w:fill="EAF9FF"/>
            <w:vAlign w:val="top"/>
          </w:tcPr>
          <w:p w14:paraId="632C54A2">
            <w:pPr>
              <w:pStyle w:val="8"/>
              <w:spacing w:before="75" w:line="234" w:lineRule="auto"/>
              <w:ind w:left="75"/>
            </w:pPr>
            <w:r>
              <w:rPr>
                <w:color w:val="5F6A72"/>
                <w:spacing w:val="-5"/>
              </w:rPr>
              <w:t>floating liquefied natu</w:t>
            </w:r>
            <w:r>
              <w:rPr>
                <w:color w:val="5F6A72"/>
                <w:spacing w:val="-6"/>
              </w:rPr>
              <w:t>ral gas</w:t>
            </w:r>
          </w:p>
        </w:tc>
        <w:tc>
          <w:tcPr>
            <w:tcW w:w="552" w:type="dxa"/>
            <w:tcBorders>
              <w:left w:val="nil"/>
              <w:right w:val="nil"/>
            </w:tcBorders>
            <w:shd w:val="clear" w:color="auto" w:fill="EAF9FF"/>
            <w:vAlign w:val="top"/>
          </w:tcPr>
          <w:p w14:paraId="58E8A076">
            <w:pPr>
              <w:pStyle w:val="8"/>
              <w:spacing w:before="115" w:line="186" w:lineRule="auto"/>
              <w:ind w:left="77"/>
            </w:pPr>
            <w:r>
              <w:rPr>
                <w:color w:val="5F6A72"/>
                <w:spacing w:val="-21"/>
              </w:rPr>
              <w:t>SGI</w:t>
            </w:r>
          </w:p>
        </w:tc>
        <w:tc>
          <w:tcPr>
            <w:tcW w:w="4773" w:type="dxa"/>
            <w:tcBorders>
              <w:left w:val="nil"/>
              <w:right w:val="nil"/>
            </w:tcBorders>
            <w:shd w:val="clear" w:color="auto" w:fill="EAF9FF"/>
            <w:vAlign w:val="top"/>
          </w:tcPr>
          <w:p w14:paraId="54E0505A">
            <w:pPr>
              <w:pStyle w:val="8"/>
              <w:spacing w:before="75" w:line="234" w:lineRule="auto"/>
              <w:ind w:left="78"/>
            </w:pPr>
            <w:r>
              <w:rPr>
                <w:color w:val="5F6A72"/>
                <w:spacing w:val="-6"/>
              </w:rPr>
              <w:t>strategic gas initiative</w:t>
            </w:r>
          </w:p>
        </w:tc>
      </w:tr>
      <w:tr w14:paraId="2697DA1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3543F7D0">
            <w:pPr>
              <w:pStyle w:val="8"/>
              <w:spacing w:before="116" w:line="186" w:lineRule="auto"/>
              <w:ind w:left="18"/>
            </w:pPr>
            <w:r>
              <w:rPr>
                <w:color w:val="2A8ABF"/>
                <w:spacing w:val="-19"/>
                <w:w w:val="96"/>
              </w:rPr>
              <w:t>FPSO</w:t>
            </w:r>
          </w:p>
        </w:tc>
        <w:tc>
          <w:tcPr>
            <w:tcW w:w="4287" w:type="dxa"/>
            <w:tcBorders>
              <w:right w:val="nil"/>
            </w:tcBorders>
            <w:vAlign w:val="top"/>
          </w:tcPr>
          <w:p w14:paraId="18945592">
            <w:pPr>
              <w:pStyle w:val="8"/>
              <w:spacing w:before="76" w:line="234" w:lineRule="auto"/>
              <w:ind w:left="75"/>
            </w:pPr>
            <w:r>
              <w:rPr>
                <w:color w:val="5F6A72"/>
                <w:spacing w:val="-5"/>
              </w:rPr>
              <w:t>floating production, storage and offloading</w:t>
            </w:r>
          </w:p>
        </w:tc>
        <w:tc>
          <w:tcPr>
            <w:tcW w:w="552" w:type="dxa"/>
            <w:tcBorders>
              <w:left w:val="nil"/>
              <w:right w:val="nil"/>
            </w:tcBorders>
            <w:vAlign w:val="top"/>
          </w:tcPr>
          <w:p w14:paraId="20F25C60">
            <w:pPr>
              <w:pStyle w:val="8"/>
              <w:spacing w:before="116" w:line="186" w:lineRule="auto"/>
              <w:ind w:left="77"/>
            </w:pPr>
            <w:r>
              <w:rPr>
                <w:color w:val="5F6A72"/>
                <w:spacing w:val="-12"/>
              </w:rPr>
              <w:t>SoI</w:t>
            </w:r>
          </w:p>
        </w:tc>
        <w:tc>
          <w:tcPr>
            <w:tcW w:w="4773" w:type="dxa"/>
            <w:tcBorders>
              <w:left w:val="nil"/>
              <w:right w:val="nil"/>
            </w:tcBorders>
            <w:vAlign w:val="top"/>
          </w:tcPr>
          <w:p w14:paraId="2299BDFE">
            <w:pPr>
              <w:pStyle w:val="8"/>
              <w:spacing w:before="76" w:line="237" w:lineRule="exact"/>
              <w:ind w:left="78"/>
            </w:pPr>
            <w:r>
              <w:rPr>
                <w:color w:val="5F6A72"/>
                <w:spacing w:val="-3"/>
                <w:position w:val="1"/>
              </w:rPr>
              <w:t>statement of</w:t>
            </w:r>
            <w:r>
              <w:rPr>
                <w:color w:val="5F6A72"/>
                <w:spacing w:val="-4"/>
                <w:position w:val="1"/>
              </w:rPr>
              <w:t xml:space="preserve"> </w:t>
            </w:r>
            <w:r>
              <w:rPr>
                <w:color w:val="5F6A72"/>
                <w:spacing w:val="-3"/>
                <w:position w:val="1"/>
              </w:rPr>
              <w:t>intent</w:t>
            </w:r>
          </w:p>
        </w:tc>
      </w:tr>
      <w:tr w14:paraId="760959A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7928D9F5">
            <w:pPr>
              <w:pStyle w:val="8"/>
              <w:spacing w:before="116" w:line="186" w:lineRule="auto"/>
              <w:ind w:left="18"/>
            </w:pPr>
            <w:r>
              <w:rPr>
                <w:color w:val="2A8ABF"/>
                <w:spacing w:val="-21"/>
                <w:w w:val="96"/>
              </w:rPr>
              <w:t>FSRU</w:t>
            </w:r>
          </w:p>
        </w:tc>
        <w:tc>
          <w:tcPr>
            <w:tcW w:w="4287" w:type="dxa"/>
            <w:tcBorders>
              <w:right w:val="nil"/>
            </w:tcBorders>
            <w:shd w:val="clear" w:color="auto" w:fill="EAF9FF"/>
            <w:vAlign w:val="top"/>
          </w:tcPr>
          <w:p w14:paraId="57FEDD17">
            <w:pPr>
              <w:pStyle w:val="8"/>
              <w:spacing w:before="76" w:line="234" w:lineRule="auto"/>
              <w:ind w:left="75"/>
            </w:pPr>
            <w:r>
              <w:rPr>
                <w:color w:val="5F6A72"/>
                <w:spacing w:val="-5"/>
              </w:rPr>
              <w:t>floating storage and rega</w:t>
            </w:r>
            <w:r>
              <w:rPr>
                <w:color w:val="5F6A72"/>
                <w:spacing w:val="-6"/>
              </w:rPr>
              <w:t>sification unit</w:t>
            </w:r>
          </w:p>
        </w:tc>
        <w:tc>
          <w:tcPr>
            <w:tcW w:w="552" w:type="dxa"/>
            <w:tcBorders>
              <w:left w:val="nil"/>
              <w:right w:val="nil"/>
            </w:tcBorders>
            <w:shd w:val="clear" w:color="auto" w:fill="EAF9FF"/>
            <w:vAlign w:val="top"/>
          </w:tcPr>
          <w:p w14:paraId="6CAF8015">
            <w:pPr>
              <w:pStyle w:val="8"/>
              <w:spacing w:before="116" w:line="186" w:lineRule="auto"/>
              <w:ind w:left="77"/>
            </w:pPr>
            <w:r>
              <w:rPr>
                <w:color w:val="5F6A72"/>
                <w:spacing w:val="-12"/>
                <w:w w:val="94"/>
              </w:rPr>
              <w:t>SPA</w:t>
            </w:r>
          </w:p>
        </w:tc>
        <w:tc>
          <w:tcPr>
            <w:tcW w:w="4773" w:type="dxa"/>
            <w:tcBorders>
              <w:left w:val="nil"/>
              <w:right w:val="nil"/>
            </w:tcBorders>
            <w:shd w:val="clear" w:color="auto" w:fill="EAF9FF"/>
            <w:vAlign w:val="top"/>
          </w:tcPr>
          <w:p w14:paraId="260AA091">
            <w:pPr>
              <w:pStyle w:val="8"/>
              <w:spacing w:before="76" w:line="234" w:lineRule="auto"/>
              <w:ind w:left="78"/>
            </w:pPr>
            <w:r>
              <w:rPr>
                <w:color w:val="5F6A72"/>
                <w:spacing w:val="-8"/>
              </w:rPr>
              <w:t>sale and purchase agree</w:t>
            </w:r>
            <w:r>
              <w:rPr>
                <w:color w:val="5F6A72"/>
                <w:spacing w:val="-9"/>
              </w:rPr>
              <w:t>ment</w:t>
            </w:r>
          </w:p>
        </w:tc>
      </w:tr>
      <w:tr w14:paraId="6078A5C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26FDA359">
            <w:pPr>
              <w:pStyle w:val="8"/>
              <w:spacing w:before="119" w:line="183" w:lineRule="auto"/>
              <w:ind w:left="18"/>
            </w:pPr>
            <w:r>
              <w:rPr>
                <w:color w:val="2A8ABF"/>
                <w:spacing w:val="-9"/>
                <w:w w:val="90"/>
              </w:rPr>
              <w:t>FTA</w:t>
            </w:r>
          </w:p>
        </w:tc>
        <w:tc>
          <w:tcPr>
            <w:tcW w:w="4287" w:type="dxa"/>
            <w:tcBorders>
              <w:right w:val="nil"/>
            </w:tcBorders>
            <w:vAlign w:val="top"/>
          </w:tcPr>
          <w:p w14:paraId="523BF189">
            <w:pPr>
              <w:pStyle w:val="8"/>
              <w:spacing w:before="77" w:line="234" w:lineRule="auto"/>
              <w:ind w:left="75"/>
            </w:pPr>
            <w:r>
              <w:rPr>
                <w:color w:val="5F6A72"/>
                <w:spacing w:val="-6"/>
              </w:rPr>
              <w:t>free trade</w:t>
            </w:r>
            <w:r>
              <w:rPr>
                <w:color w:val="5F6A72"/>
                <w:spacing w:val="-7"/>
              </w:rPr>
              <w:t xml:space="preserve"> </w:t>
            </w:r>
            <w:r>
              <w:rPr>
                <w:color w:val="5F6A72"/>
                <w:spacing w:val="-6"/>
              </w:rPr>
              <w:t>agreement</w:t>
            </w:r>
          </w:p>
        </w:tc>
        <w:tc>
          <w:tcPr>
            <w:tcW w:w="552" w:type="dxa"/>
            <w:tcBorders>
              <w:left w:val="nil"/>
              <w:right w:val="nil"/>
            </w:tcBorders>
            <w:vAlign w:val="top"/>
          </w:tcPr>
          <w:p w14:paraId="309E76C8">
            <w:pPr>
              <w:pStyle w:val="8"/>
              <w:spacing w:before="116" w:line="186" w:lineRule="auto"/>
              <w:ind w:left="77"/>
            </w:pPr>
            <w:r>
              <w:rPr>
                <w:color w:val="5F6A72"/>
                <w:spacing w:val="-19"/>
              </w:rPr>
              <w:t>SPR</w:t>
            </w:r>
          </w:p>
        </w:tc>
        <w:tc>
          <w:tcPr>
            <w:tcW w:w="4773" w:type="dxa"/>
            <w:tcBorders>
              <w:left w:val="nil"/>
              <w:right w:val="nil"/>
            </w:tcBorders>
            <w:vAlign w:val="top"/>
          </w:tcPr>
          <w:p w14:paraId="7FA03BBC">
            <w:pPr>
              <w:pStyle w:val="8"/>
              <w:spacing w:before="77" w:line="234" w:lineRule="auto"/>
              <w:ind w:left="78"/>
            </w:pPr>
            <w:r>
              <w:rPr>
                <w:color w:val="5F6A72"/>
                <w:spacing w:val="-6"/>
              </w:rPr>
              <w:t>strategic petroleum reserve</w:t>
            </w:r>
          </w:p>
        </w:tc>
      </w:tr>
      <w:tr w14:paraId="5350CC6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073A49E6">
            <w:pPr>
              <w:pStyle w:val="8"/>
              <w:spacing w:before="119" w:line="183" w:lineRule="auto"/>
              <w:ind w:left="18"/>
            </w:pPr>
            <w:r>
              <w:rPr>
                <w:color w:val="2A8ABF"/>
                <w:spacing w:val="-12"/>
                <w:w w:val="92"/>
              </w:rPr>
              <w:t>FTZ</w:t>
            </w:r>
          </w:p>
        </w:tc>
        <w:tc>
          <w:tcPr>
            <w:tcW w:w="4287" w:type="dxa"/>
            <w:tcBorders>
              <w:right w:val="nil"/>
            </w:tcBorders>
            <w:shd w:val="clear" w:color="auto" w:fill="EAF9FF"/>
            <w:vAlign w:val="top"/>
          </w:tcPr>
          <w:p w14:paraId="16EA4E46">
            <w:pPr>
              <w:pStyle w:val="8"/>
              <w:spacing w:before="77" w:line="238" w:lineRule="exact"/>
              <w:ind w:left="75"/>
            </w:pPr>
            <w:r>
              <w:rPr>
                <w:color w:val="5F6A72"/>
                <w:spacing w:val="-7"/>
                <w:position w:val="1"/>
              </w:rPr>
              <w:t>free</w:t>
            </w:r>
            <w:r>
              <w:rPr>
                <w:color w:val="5F6A72"/>
                <w:position w:val="1"/>
              </w:rPr>
              <w:t xml:space="preserve"> </w:t>
            </w:r>
            <w:r>
              <w:rPr>
                <w:color w:val="5F6A72"/>
                <w:spacing w:val="-7"/>
                <w:position w:val="1"/>
              </w:rPr>
              <w:t>trade zone</w:t>
            </w:r>
          </w:p>
        </w:tc>
        <w:tc>
          <w:tcPr>
            <w:tcW w:w="552" w:type="dxa"/>
            <w:tcBorders>
              <w:left w:val="nil"/>
              <w:right w:val="nil"/>
            </w:tcBorders>
            <w:shd w:val="clear" w:color="auto" w:fill="EAF9FF"/>
            <w:vAlign w:val="top"/>
          </w:tcPr>
          <w:p w14:paraId="286EC4F8">
            <w:pPr>
              <w:pStyle w:val="8"/>
              <w:spacing w:before="117" w:line="186" w:lineRule="auto"/>
              <w:ind w:left="77"/>
            </w:pPr>
            <w:r>
              <w:rPr>
                <w:color w:val="5F6A72"/>
                <w:spacing w:val="-10"/>
                <w:w w:val="92"/>
              </w:rPr>
              <w:t>SSA</w:t>
            </w:r>
          </w:p>
        </w:tc>
        <w:tc>
          <w:tcPr>
            <w:tcW w:w="4773" w:type="dxa"/>
            <w:tcBorders>
              <w:left w:val="nil"/>
              <w:right w:val="nil"/>
            </w:tcBorders>
            <w:shd w:val="clear" w:color="auto" w:fill="EAF9FF"/>
            <w:vAlign w:val="top"/>
          </w:tcPr>
          <w:p w14:paraId="06AE1865">
            <w:pPr>
              <w:pStyle w:val="8"/>
              <w:spacing w:before="117" w:line="186" w:lineRule="auto"/>
              <w:ind w:left="77"/>
            </w:pPr>
            <w:r>
              <w:rPr>
                <w:color w:val="5F6A72"/>
                <w:spacing w:val="-10"/>
              </w:rPr>
              <w:t>Sub-Saharan</w:t>
            </w:r>
            <w:r>
              <w:rPr>
                <w:color w:val="5F6A72"/>
                <w:spacing w:val="-5"/>
              </w:rPr>
              <w:t xml:space="preserve"> </w:t>
            </w:r>
            <w:r>
              <w:rPr>
                <w:color w:val="5F6A72"/>
                <w:spacing w:val="-10"/>
              </w:rPr>
              <w:t>Africa</w:t>
            </w:r>
          </w:p>
        </w:tc>
      </w:tr>
      <w:tr w14:paraId="44F9051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7D96F0A7">
            <w:pPr>
              <w:pStyle w:val="8"/>
              <w:spacing w:before="117" w:line="186" w:lineRule="auto"/>
              <w:ind w:left="12"/>
            </w:pPr>
            <w:r>
              <w:rPr>
                <w:color w:val="2A8ABF"/>
                <w:spacing w:val="-17"/>
                <w:w w:val="95"/>
              </w:rPr>
              <w:t>GCC</w:t>
            </w:r>
          </w:p>
        </w:tc>
        <w:tc>
          <w:tcPr>
            <w:tcW w:w="4287" w:type="dxa"/>
            <w:tcBorders>
              <w:right w:val="nil"/>
            </w:tcBorders>
            <w:vAlign w:val="top"/>
          </w:tcPr>
          <w:p w14:paraId="6ED099E7">
            <w:pPr>
              <w:pStyle w:val="8"/>
              <w:spacing w:before="78" w:line="236" w:lineRule="auto"/>
              <w:ind w:left="80"/>
            </w:pPr>
            <w:r>
              <w:rPr>
                <w:color w:val="5F6A72"/>
                <w:spacing w:val="-8"/>
              </w:rPr>
              <w:t>Gulf</w:t>
            </w:r>
            <w:r>
              <w:rPr>
                <w:color w:val="5F6A72"/>
                <w:spacing w:val="4"/>
              </w:rPr>
              <w:t xml:space="preserve"> </w:t>
            </w:r>
            <w:r>
              <w:rPr>
                <w:color w:val="5F6A72"/>
                <w:spacing w:val="-8"/>
              </w:rPr>
              <w:t>Cooperation Council</w:t>
            </w:r>
          </w:p>
        </w:tc>
        <w:tc>
          <w:tcPr>
            <w:tcW w:w="552" w:type="dxa"/>
            <w:tcBorders>
              <w:left w:val="nil"/>
              <w:right w:val="nil"/>
            </w:tcBorders>
            <w:vAlign w:val="top"/>
          </w:tcPr>
          <w:p w14:paraId="067AB753">
            <w:pPr>
              <w:pStyle w:val="8"/>
              <w:spacing w:before="78" w:line="237" w:lineRule="exact"/>
              <w:ind w:left="75"/>
            </w:pPr>
            <w:r>
              <w:rPr>
                <w:color w:val="5F6A72"/>
                <w:position w:val="1"/>
              </w:rPr>
              <w:t>tcm</w:t>
            </w:r>
          </w:p>
        </w:tc>
        <w:tc>
          <w:tcPr>
            <w:tcW w:w="4773" w:type="dxa"/>
            <w:tcBorders>
              <w:left w:val="nil"/>
              <w:right w:val="nil"/>
            </w:tcBorders>
            <w:vAlign w:val="top"/>
          </w:tcPr>
          <w:p w14:paraId="083C4791">
            <w:pPr>
              <w:pStyle w:val="8"/>
              <w:spacing w:before="78" w:line="237" w:lineRule="exact"/>
              <w:ind w:left="75"/>
            </w:pPr>
            <w:r>
              <w:rPr>
                <w:color w:val="5F6A72"/>
                <w:spacing w:val="-4"/>
                <w:position w:val="1"/>
              </w:rPr>
              <w:t>trillion cubic metres</w:t>
            </w:r>
          </w:p>
        </w:tc>
      </w:tr>
      <w:tr w14:paraId="48DFFDB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08BDCE9D">
            <w:pPr>
              <w:pStyle w:val="8"/>
              <w:spacing w:before="78" w:line="237" w:lineRule="exact"/>
              <w:ind w:left="12"/>
            </w:pPr>
            <w:r>
              <w:rPr>
                <w:color w:val="2A8ABF"/>
                <w:spacing w:val="-14"/>
                <w:w w:val="97"/>
                <w:position w:val="1"/>
              </w:rPr>
              <w:t>G&amp;G</w:t>
            </w:r>
          </w:p>
        </w:tc>
        <w:tc>
          <w:tcPr>
            <w:tcW w:w="4287" w:type="dxa"/>
            <w:tcBorders>
              <w:right w:val="nil"/>
            </w:tcBorders>
            <w:shd w:val="clear" w:color="auto" w:fill="EAF9FF"/>
            <w:vAlign w:val="top"/>
          </w:tcPr>
          <w:p w14:paraId="75F175F6">
            <w:pPr>
              <w:pStyle w:val="8"/>
              <w:spacing w:before="78" w:line="234" w:lineRule="auto"/>
              <w:ind w:left="78"/>
            </w:pPr>
            <w:r>
              <w:rPr>
                <w:color w:val="5F6A72"/>
                <w:spacing w:val="-7"/>
              </w:rPr>
              <w:t>geological and geophysi</w:t>
            </w:r>
            <w:r>
              <w:rPr>
                <w:color w:val="5F6A72"/>
                <w:spacing w:val="-8"/>
              </w:rPr>
              <w:t>cal</w:t>
            </w:r>
          </w:p>
        </w:tc>
        <w:tc>
          <w:tcPr>
            <w:tcW w:w="552" w:type="dxa"/>
            <w:tcBorders>
              <w:left w:val="nil"/>
              <w:right w:val="nil"/>
            </w:tcBorders>
            <w:shd w:val="clear" w:color="auto" w:fill="EAF9FF"/>
            <w:vAlign w:val="top"/>
          </w:tcPr>
          <w:p w14:paraId="23D3DE5C">
            <w:pPr>
              <w:pStyle w:val="8"/>
              <w:spacing w:before="78" w:line="237" w:lineRule="exact"/>
              <w:ind w:left="75"/>
            </w:pPr>
            <w:r>
              <w:rPr>
                <w:color w:val="5F6A72"/>
                <w:spacing w:val="14"/>
                <w:position w:val="1"/>
              </w:rPr>
              <w:t>t/d</w:t>
            </w:r>
          </w:p>
        </w:tc>
        <w:tc>
          <w:tcPr>
            <w:tcW w:w="4773" w:type="dxa"/>
            <w:tcBorders>
              <w:left w:val="nil"/>
              <w:right w:val="nil"/>
            </w:tcBorders>
            <w:shd w:val="clear" w:color="auto" w:fill="EAF9FF"/>
            <w:vAlign w:val="top"/>
          </w:tcPr>
          <w:p w14:paraId="78D76B02">
            <w:pPr>
              <w:pStyle w:val="8"/>
              <w:spacing w:before="78" w:line="234" w:lineRule="auto"/>
              <w:ind w:left="75"/>
            </w:pPr>
            <w:r>
              <w:rPr>
                <w:color w:val="5F6A72"/>
                <w:spacing w:val="-7"/>
              </w:rPr>
              <w:t>tonnes per day</w:t>
            </w:r>
          </w:p>
        </w:tc>
      </w:tr>
      <w:tr w14:paraId="7BC58AF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68789E8D">
            <w:pPr>
              <w:pStyle w:val="8"/>
              <w:spacing w:before="118" w:line="186" w:lineRule="auto"/>
              <w:ind w:left="12"/>
            </w:pPr>
            <w:r>
              <w:rPr>
                <w:color w:val="2A8ABF"/>
                <w:spacing w:val="-18"/>
                <w:w w:val="97"/>
              </w:rPr>
              <w:t>GS</w:t>
            </w:r>
          </w:p>
        </w:tc>
        <w:tc>
          <w:tcPr>
            <w:tcW w:w="4287" w:type="dxa"/>
            <w:tcBorders>
              <w:right w:val="nil"/>
            </w:tcBorders>
            <w:vAlign w:val="top"/>
          </w:tcPr>
          <w:p w14:paraId="6D73799A">
            <w:pPr>
              <w:pStyle w:val="8"/>
              <w:spacing w:before="78" w:line="234" w:lineRule="auto"/>
              <w:ind w:left="78"/>
            </w:pPr>
            <w:r>
              <w:rPr>
                <w:color w:val="5F6A72"/>
                <w:spacing w:val="-7"/>
              </w:rPr>
              <w:t>geological survey</w:t>
            </w:r>
          </w:p>
        </w:tc>
        <w:tc>
          <w:tcPr>
            <w:tcW w:w="552" w:type="dxa"/>
            <w:tcBorders>
              <w:left w:val="nil"/>
              <w:right w:val="nil"/>
            </w:tcBorders>
            <w:vAlign w:val="top"/>
          </w:tcPr>
          <w:p w14:paraId="184349D1">
            <w:pPr>
              <w:pStyle w:val="8"/>
              <w:spacing w:before="78" w:line="238" w:lineRule="exact"/>
              <w:ind w:left="75"/>
            </w:pPr>
            <w:r>
              <w:rPr>
                <w:color w:val="5F6A72"/>
                <w:spacing w:val="-2"/>
                <w:position w:val="1"/>
              </w:rPr>
              <w:t>toe</w:t>
            </w:r>
          </w:p>
        </w:tc>
        <w:tc>
          <w:tcPr>
            <w:tcW w:w="4773" w:type="dxa"/>
            <w:tcBorders>
              <w:left w:val="nil"/>
              <w:right w:val="nil"/>
            </w:tcBorders>
            <w:vAlign w:val="top"/>
          </w:tcPr>
          <w:p w14:paraId="514C3643">
            <w:pPr>
              <w:pStyle w:val="8"/>
              <w:spacing w:before="79" w:line="236" w:lineRule="auto"/>
              <w:ind w:left="75"/>
            </w:pPr>
            <w:r>
              <w:rPr>
                <w:color w:val="5F6A72"/>
                <w:spacing w:val="-5"/>
              </w:rPr>
              <w:t>tonnes of</w:t>
            </w:r>
            <w:r>
              <w:rPr>
                <w:color w:val="5F6A72"/>
                <w:spacing w:val="-9"/>
              </w:rPr>
              <w:t xml:space="preserve"> </w:t>
            </w:r>
            <w:r>
              <w:rPr>
                <w:color w:val="5F6A72"/>
                <w:spacing w:val="-5"/>
              </w:rPr>
              <w:t>oil equivalent</w:t>
            </w:r>
          </w:p>
        </w:tc>
      </w:tr>
      <w:tr w14:paraId="5145E75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24B93383">
            <w:pPr>
              <w:pStyle w:val="8"/>
              <w:spacing w:before="118" w:line="186" w:lineRule="auto"/>
              <w:ind w:left="12"/>
            </w:pPr>
            <w:r>
              <w:rPr>
                <w:color w:val="2A8ABF"/>
                <w:spacing w:val="-15"/>
                <w:w w:val="95"/>
              </w:rPr>
              <w:t>GTL</w:t>
            </w:r>
          </w:p>
        </w:tc>
        <w:tc>
          <w:tcPr>
            <w:tcW w:w="4287" w:type="dxa"/>
            <w:tcBorders>
              <w:right w:val="nil"/>
            </w:tcBorders>
            <w:shd w:val="clear" w:color="auto" w:fill="EAF9FF"/>
            <w:vAlign w:val="top"/>
          </w:tcPr>
          <w:p w14:paraId="3D741DB5">
            <w:pPr>
              <w:pStyle w:val="8"/>
              <w:spacing w:before="79" w:line="234" w:lineRule="auto"/>
              <w:ind w:left="78"/>
            </w:pPr>
            <w:r>
              <w:rPr>
                <w:color w:val="5F6A72"/>
                <w:spacing w:val="-7"/>
              </w:rPr>
              <w:t>gas</w:t>
            </w:r>
            <w:r>
              <w:rPr>
                <w:color w:val="5F6A72"/>
                <w:spacing w:val="-4"/>
              </w:rPr>
              <w:t xml:space="preserve"> </w:t>
            </w:r>
            <w:r>
              <w:rPr>
                <w:color w:val="5F6A72"/>
                <w:spacing w:val="-7"/>
              </w:rPr>
              <w:t>to liquids</w:t>
            </w:r>
          </w:p>
        </w:tc>
        <w:tc>
          <w:tcPr>
            <w:tcW w:w="552" w:type="dxa"/>
            <w:tcBorders>
              <w:left w:val="nil"/>
              <w:right w:val="nil"/>
            </w:tcBorders>
            <w:shd w:val="clear" w:color="auto" w:fill="EAF9FF"/>
            <w:vAlign w:val="top"/>
          </w:tcPr>
          <w:p w14:paraId="1C7C4D34">
            <w:pPr>
              <w:pStyle w:val="8"/>
              <w:spacing w:before="79" w:line="236" w:lineRule="auto"/>
              <w:ind w:left="75"/>
            </w:pPr>
            <w:r>
              <w:rPr>
                <w:color w:val="5F6A72"/>
                <w:spacing w:val="-2"/>
              </w:rPr>
              <w:t>tpa</w:t>
            </w:r>
          </w:p>
        </w:tc>
        <w:tc>
          <w:tcPr>
            <w:tcW w:w="4773" w:type="dxa"/>
            <w:tcBorders>
              <w:left w:val="nil"/>
              <w:right w:val="nil"/>
            </w:tcBorders>
            <w:shd w:val="clear" w:color="auto" w:fill="EAF9FF"/>
            <w:vAlign w:val="top"/>
          </w:tcPr>
          <w:p w14:paraId="72E4BADF">
            <w:pPr>
              <w:pStyle w:val="8"/>
              <w:spacing w:before="79" w:line="236" w:lineRule="auto"/>
              <w:ind w:left="75"/>
            </w:pPr>
            <w:r>
              <w:rPr>
                <w:color w:val="5F6A72"/>
                <w:spacing w:val="-6"/>
              </w:rPr>
              <w:t>tonnes per annum</w:t>
            </w:r>
          </w:p>
        </w:tc>
      </w:tr>
      <w:tr w14:paraId="11E7F39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488F9373">
            <w:pPr>
              <w:pStyle w:val="8"/>
              <w:spacing w:before="79" w:line="237" w:lineRule="exact"/>
              <w:ind w:left="12"/>
            </w:pPr>
            <w:r>
              <w:rPr>
                <w:color w:val="2A8ABF"/>
                <w:spacing w:val="-14"/>
                <w:w w:val="91"/>
                <w:position w:val="1"/>
              </w:rPr>
              <w:t>GWh</w:t>
            </w:r>
          </w:p>
        </w:tc>
        <w:tc>
          <w:tcPr>
            <w:tcW w:w="4287" w:type="dxa"/>
            <w:tcBorders>
              <w:right w:val="nil"/>
            </w:tcBorders>
            <w:vAlign w:val="top"/>
          </w:tcPr>
          <w:p w14:paraId="0515D133">
            <w:pPr>
              <w:pStyle w:val="8"/>
              <w:spacing w:before="79" w:line="234" w:lineRule="auto"/>
              <w:ind w:left="78"/>
            </w:pPr>
            <w:r>
              <w:rPr>
                <w:color w:val="5F6A72"/>
                <w:spacing w:val="-6"/>
              </w:rPr>
              <w:t>gigawatt hours</w:t>
            </w:r>
          </w:p>
        </w:tc>
        <w:tc>
          <w:tcPr>
            <w:tcW w:w="552" w:type="dxa"/>
            <w:tcBorders>
              <w:left w:val="nil"/>
              <w:right w:val="nil"/>
            </w:tcBorders>
            <w:vAlign w:val="top"/>
          </w:tcPr>
          <w:p w14:paraId="6422A6A8">
            <w:pPr>
              <w:pStyle w:val="8"/>
              <w:spacing w:before="119" w:line="186" w:lineRule="auto"/>
              <w:ind w:left="73"/>
            </w:pPr>
            <w:r>
              <w:rPr>
                <w:color w:val="5F6A72"/>
                <w:spacing w:val="-17"/>
              </w:rPr>
              <w:t>TRIPS</w:t>
            </w:r>
          </w:p>
        </w:tc>
        <w:tc>
          <w:tcPr>
            <w:tcW w:w="4773" w:type="dxa"/>
            <w:tcBorders>
              <w:left w:val="nil"/>
              <w:right w:val="nil"/>
            </w:tcBorders>
            <w:vAlign w:val="top"/>
          </w:tcPr>
          <w:p w14:paraId="0FD431F7">
            <w:pPr>
              <w:pStyle w:val="8"/>
              <w:spacing w:before="79" w:line="234" w:lineRule="auto"/>
              <w:ind w:left="73"/>
            </w:pPr>
            <w:r>
              <w:rPr>
                <w:color w:val="5F6A72"/>
                <w:spacing w:val="-7"/>
              </w:rPr>
              <w:t>Trade-Related</w:t>
            </w:r>
            <w:r>
              <w:rPr>
                <w:color w:val="5F6A72"/>
                <w:spacing w:val="-14"/>
              </w:rPr>
              <w:t xml:space="preserve"> </w:t>
            </w:r>
            <w:r>
              <w:rPr>
                <w:color w:val="5F6A72"/>
                <w:spacing w:val="-7"/>
              </w:rPr>
              <w:t>Aspects of Intellectual Proper</w:t>
            </w:r>
            <w:r>
              <w:rPr>
                <w:color w:val="5F6A72"/>
                <w:spacing w:val="-8"/>
              </w:rPr>
              <w:t>ty Rights</w:t>
            </w:r>
          </w:p>
        </w:tc>
      </w:tr>
      <w:tr w14:paraId="20A2B2B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3" w:hRule="atLeast"/>
        </w:trPr>
        <w:tc>
          <w:tcPr>
            <w:tcW w:w="592" w:type="dxa"/>
            <w:tcBorders>
              <w:left w:val="nil"/>
            </w:tcBorders>
            <w:shd w:val="clear" w:color="auto" w:fill="EAF9FF"/>
            <w:vAlign w:val="top"/>
          </w:tcPr>
          <w:p w14:paraId="4E702D05">
            <w:pPr>
              <w:pStyle w:val="8"/>
              <w:spacing w:before="122" w:line="183" w:lineRule="auto"/>
              <w:ind w:left="18"/>
            </w:pPr>
            <w:r>
              <w:rPr>
                <w:color w:val="2A8ABF"/>
                <w:spacing w:val="-17"/>
              </w:rPr>
              <w:t>HDPE</w:t>
            </w:r>
          </w:p>
        </w:tc>
        <w:tc>
          <w:tcPr>
            <w:tcW w:w="4287" w:type="dxa"/>
            <w:tcBorders>
              <w:right w:val="nil"/>
            </w:tcBorders>
            <w:shd w:val="clear" w:color="auto" w:fill="EAF9FF"/>
            <w:vAlign w:val="top"/>
          </w:tcPr>
          <w:p w14:paraId="42489227">
            <w:pPr>
              <w:pStyle w:val="8"/>
              <w:spacing w:before="79" w:line="234" w:lineRule="auto"/>
              <w:ind w:left="84"/>
            </w:pPr>
            <w:r>
              <w:rPr>
                <w:color w:val="5F6A72"/>
                <w:spacing w:val="-6"/>
              </w:rPr>
              <w:t>high density polyethylene</w:t>
            </w:r>
          </w:p>
        </w:tc>
        <w:tc>
          <w:tcPr>
            <w:tcW w:w="552" w:type="dxa"/>
            <w:tcBorders>
              <w:left w:val="nil"/>
              <w:right w:val="nil"/>
            </w:tcBorders>
            <w:shd w:val="clear" w:color="auto" w:fill="EAF9FF"/>
            <w:vAlign w:val="top"/>
          </w:tcPr>
          <w:p w14:paraId="710EE43C">
            <w:pPr>
              <w:pStyle w:val="8"/>
              <w:spacing w:before="122" w:line="183" w:lineRule="auto"/>
              <w:ind w:left="73"/>
            </w:pPr>
            <w:r>
              <w:rPr>
                <w:color w:val="5F6A72"/>
                <w:spacing w:val="-11"/>
                <w:w w:val="97"/>
              </w:rPr>
              <w:t>TWh</w:t>
            </w:r>
          </w:p>
        </w:tc>
        <w:tc>
          <w:tcPr>
            <w:tcW w:w="4773" w:type="dxa"/>
            <w:tcBorders>
              <w:left w:val="nil"/>
              <w:right w:val="nil"/>
            </w:tcBorders>
            <w:shd w:val="clear" w:color="auto" w:fill="EAF9FF"/>
            <w:vAlign w:val="top"/>
          </w:tcPr>
          <w:p w14:paraId="0355204F">
            <w:pPr>
              <w:pStyle w:val="8"/>
              <w:spacing w:before="80" w:line="237" w:lineRule="exact"/>
              <w:ind w:left="75"/>
            </w:pPr>
            <w:r>
              <w:rPr>
                <w:color w:val="5F6A72"/>
                <w:spacing w:val="-5"/>
                <w:position w:val="1"/>
              </w:rPr>
              <w:t>terawatt hours</w:t>
            </w:r>
          </w:p>
        </w:tc>
      </w:tr>
    </w:tbl>
    <w:p w14:paraId="2C135D4A">
      <w:pPr>
        <w:pStyle w:val="4"/>
      </w:pPr>
    </w:p>
    <w:p w14:paraId="1C02F34A">
      <w:pPr>
        <w:sectPr>
          <w:footerReference r:id="rId94" w:type="default"/>
          <w:pgSz w:w="11906" w:h="16838"/>
          <w:pgMar w:top="400" w:right="490" w:bottom="883" w:left="490" w:header="0" w:footer="0" w:gutter="0"/>
          <w:cols w:space="720" w:num="1"/>
        </w:sectPr>
      </w:pPr>
    </w:p>
    <w:p w14:paraId="3BC39C20">
      <w:pPr>
        <w:pStyle w:val="4"/>
        <w:spacing w:before="73" w:line="241" w:lineRule="auto"/>
        <w:ind w:left="7372"/>
        <w:rPr>
          <w:sz w:val="20"/>
          <w:szCs w:val="20"/>
        </w:rPr>
      </w:pPr>
      <w:r>
        <w:drawing>
          <wp:anchor distT="0" distB="0" distL="0" distR="0" simplePos="0" relativeHeight="25199001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91040" behindDoc="0" locked="0" layoutInCell="0" allowOverlap="1">
            <wp:simplePos x="0" y="0"/>
            <wp:positionH relativeFrom="page">
              <wp:posOffset>311150</wp:posOffset>
            </wp:positionH>
            <wp:positionV relativeFrom="page">
              <wp:posOffset>0</wp:posOffset>
            </wp:positionV>
            <wp:extent cx="19050" cy="814070"/>
            <wp:effectExtent l="0" t="0" r="0" b="0"/>
            <wp:wrapNone/>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4DE5259">
      <w:pPr>
        <w:pStyle w:val="4"/>
        <w:spacing w:line="278" w:lineRule="auto"/>
      </w:pPr>
    </w:p>
    <w:p w14:paraId="307B3174">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17E7D9E">
      <w:pPr>
        <w:spacing w:before="7"/>
      </w:pPr>
    </w:p>
    <w:p w14:paraId="0E1F70F9">
      <w:pPr>
        <w:spacing w:before="6"/>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592"/>
        <w:gridCol w:w="4287"/>
        <w:gridCol w:w="552"/>
        <w:gridCol w:w="4773"/>
      </w:tblGrid>
      <w:tr w14:paraId="4B959F3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592" w:type="dxa"/>
            <w:tcBorders>
              <w:left w:val="nil"/>
            </w:tcBorders>
            <w:vAlign w:val="top"/>
          </w:tcPr>
          <w:p w14:paraId="5E813B41">
            <w:pPr>
              <w:pStyle w:val="8"/>
              <w:spacing w:before="114" w:line="183" w:lineRule="auto"/>
            </w:pPr>
            <w:r>
              <w:rPr>
                <w:b/>
                <w:bCs/>
                <w:color w:val="2A8ABF"/>
                <w:spacing w:val="-7"/>
              </w:rPr>
              <w:t>Term</w:t>
            </w:r>
          </w:p>
        </w:tc>
        <w:tc>
          <w:tcPr>
            <w:tcW w:w="4287" w:type="dxa"/>
            <w:tcBorders>
              <w:right w:val="nil"/>
            </w:tcBorders>
            <w:vAlign w:val="top"/>
          </w:tcPr>
          <w:p w14:paraId="4425CFFE">
            <w:pPr>
              <w:pStyle w:val="8"/>
              <w:spacing w:before="112" w:line="184" w:lineRule="auto"/>
              <w:ind w:left="85"/>
            </w:pPr>
            <w:r>
              <w:rPr>
                <w:b/>
                <w:bCs/>
                <w:color w:val="174174"/>
                <w:spacing w:val="-7"/>
              </w:rPr>
              <w:t>Description</w:t>
            </w:r>
          </w:p>
        </w:tc>
        <w:tc>
          <w:tcPr>
            <w:tcW w:w="552" w:type="dxa"/>
            <w:tcBorders>
              <w:left w:val="nil"/>
              <w:right w:val="nil"/>
            </w:tcBorders>
            <w:vAlign w:val="top"/>
          </w:tcPr>
          <w:p w14:paraId="6550A7B4">
            <w:pPr>
              <w:pStyle w:val="8"/>
              <w:spacing w:before="114" w:line="183" w:lineRule="auto"/>
              <w:ind w:left="72"/>
            </w:pPr>
            <w:r>
              <w:rPr>
                <w:b/>
                <w:bCs/>
                <w:color w:val="174174"/>
                <w:spacing w:val="-7"/>
              </w:rPr>
              <w:t>Term</w:t>
            </w:r>
          </w:p>
        </w:tc>
        <w:tc>
          <w:tcPr>
            <w:tcW w:w="4773" w:type="dxa"/>
            <w:tcBorders>
              <w:left w:val="nil"/>
              <w:right w:val="nil"/>
            </w:tcBorders>
            <w:vAlign w:val="top"/>
          </w:tcPr>
          <w:p w14:paraId="3832808F">
            <w:pPr>
              <w:pStyle w:val="8"/>
              <w:spacing w:before="112" w:line="184" w:lineRule="auto"/>
              <w:ind w:left="85"/>
            </w:pPr>
            <w:r>
              <w:rPr>
                <w:b/>
                <w:bCs/>
                <w:color w:val="174174"/>
                <w:spacing w:val="-7"/>
              </w:rPr>
              <w:t>Description</w:t>
            </w:r>
          </w:p>
        </w:tc>
      </w:tr>
      <w:tr w14:paraId="74BA3AD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vAlign w:val="top"/>
          </w:tcPr>
          <w:p w14:paraId="5F8260B0">
            <w:pPr>
              <w:pStyle w:val="8"/>
              <w:spacing w:before="106" w:line="183" w:lineRule="auto"/>
              <w:ind w:left="18"/>
            </w:pPr>
            <w:r>
              <w:rPr>
                <w:color w:val="2A8ABF"/>
                <w:spacing w:val="-11"/>
              </w:rPr>
              <w:t>HoA</w:t>
            </w:r>
          </w:p>
        </w:tc>
        <w:tc>
          <w:tcPr>
            <w:tcW w:w="4287" w:type="dxa"/>
            <w:tcBorders>
              <w:right w:val="nil"/>
            </w:tcBorders>
            <w:vAlign w:val="top"/>
          </w:tcPr>
          <w:p w14:paraId="1257D95F">
            <w:pPr>
              <w:pStyle w:val="8"/>
              <w:spacing w:before="64" w:line="234" w:lineRule="auto"/>
              <w:ind w:left="84"/>
            </w:pPr>
            <w:r>
              <w:rPr>
                <w:color w:val="5F6A72"/>
                <w:spacing w:val="-7"/>
              </w:rPr>
              <w:t>heads of</w:t>
            </w:r>
            <w:r>
              <w:rPr>
                <w:color w:val="5F6A72"/>
                <w:spacing w:val="-17"/>
              </w:rPr>
              <w:t xml:space="preserve"> </w:t>
            </w:r>
            <w:r>
              <w:rPr>
                <w:color w:val="5F6A72"/>
                <w:spacing w:val="-7"/>
              </w:rPr>
              <w:t>agreement</w:t>
            </w:r>
          </w:p>
        </w:tc>
        <w:tc>
          <w:tcPr>
            <w:tcW w:w="552" w:type="dxa"/>
            <w:tcBorders>
              <w:left w:val="nil"/>
              <w:right w:val="nil"/>
            </w:tcBorders>
            <w:vAlign w:val="top"/>
          </w:tcPr>
          <w:p w14:paraId="04537AE7">
            <w:pPr>
              <w:pStyle w:val="8"/>
              <w:spacing w:before="104" w:line="186" w:lineRule="auto"/>
              <w:ind w:left="85"/>
            </w:pPr>
            <w:r>
              <w:rPr>
                <w:color w:val="5F6A72"/>
                <w:spacing w:val="-21"/>
                <w:w w:val="99"/>
              </w:rPr>
              <w:t>USGS</w:t>
            </w:r>
          </w:p>
        </w:tc>
        <w:tc>
          <w:tcPr>
            <w:tcW w:w="4773" w:type="dxa"/>
            <w:tcBorders>
              <w:left w:val="nil"/>
              <w:right w:val="nil"/>
            </w:tcBorders>
            <w:vAlign w:val="top"/>
          </w:tcPr>
          <w:p w14:paraId="176E139E">
            <w:pPr>
              <w:pStyle w:val="8"/>
              <w:spacing w:before="104" w:line="184" w:lineRule="auto"/>
              <w:ind w:left="85"/>
            </w:pPr>
            <w:r>
              <w:rPr>
                <w:color w:val="5F6A72"/>
                <w:spacing w:val="-11"/>
              </w:rPr>
              <w:t>US Geological Survey</w:t>
            </w:r>
          </w:p>
        </w:tc>
      </w:tr>
      <w:tr w14:paraId="5BAB7E2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592" w:type="dxa"/>
            <w:tcBorders>
              <w:left w:val="nil"/>
            </w:tcBorders>
            <w:shd w:val="clear" w:color="auto" w:fill="EAF9FF"/>
            <w:vAlign w:val="top"/>
          </w:tcPr>
          <w:p w14:paraId="6EAE5CAB">
            <w:pPr>
              <w:pStyle w:val="8"/>
              <w:spacing w:before="65" w:line="239" w:lineRule="exact"/>
              <w:ind w:left="18"/>
            </w:pPr>
            <w:r>
              <w:rPr>
                <w:color w:val="2A8ABF"/>
                <w:spacing w:val="-17"/>
                <w:position w:val="1"/>
              </w:rPr>
              <w:t>IEA</w:t>
            </w:r>
          </w:p>
        </w:tc>
        <w:tc>
          <w:tcPr>
            <w:tcW w:w="4287" w:type="dxa"/>
            <w:tcBorders>
              <w:right w:val="nil"/>
            </w:tcBorders>
            <w:shd w:val="clear" w:color="auto" w:fill="EAF9FF"/>
            <w:vAlign w:val="top"/>
          </w:tcPr>
          <w:p w14:paraId="6BD7B5DF">
            <w:pPr>
              <w:pStyle w:val="8"/>
              <w:spacing w:before="65" w:line="234" w:lineRule="auto"/>
              <w:ind w:left="86"/>
            </w:pPr>
            <w:r>
              <w:rPr>
                <w:color w:val="5F6A72"/>
                <w:spacing w:val="-7"/>
              </w:rPr>
              <w:t>International Energy</w:t>
            </w:r>
            <w:r>
              <w:rPr>
                <w:color w:val="5F6A72"/>
                <w:spacing w:val="-5"/>
              </w:rPr>
              <w:t xml:space="preserve"> </w:t>
            </w:r>
            <w:r>
              <w:rPr>
                <w:color w:val="5F6A72"/>
                <w:spacing w:val="-7"/>
              </w:rPr>
              <w:t>Agency</w:t>
            </w:r>
          </w:p>
        </w:tc>
        <w:tc>
          <w:tcPr>
            <w:tcW w:w="552" w:type="dxa"/>
            <w:tcBorders>
              <w:left w:val="nil"/>
              <w:right w:val="nil"/>
            </w:tcBorders>
            <w:shd w:val="clear" w:color="auto" w:fill="EAF9FF"/>
            <w:vAlign w:val="top"/>
          </w:tcPr>
          <w:p w14:paraId="5BC04253">
            <w:pPr>
              <w:pStyle w:val="8"/>
              <w:spacing w:before="104" w:line="186" w:lineRule="auto"/>
              <w:ind w:left="71"/>
            </w:pPr>
            <w:r>
              <w:rPr>
                <w:color w:val="5F6A72"/>
                <w:spacing w:val="-16"/>
              </w:rPr>
              <w:t>WIPO</w:t>
            </w:r>
          </w:p>
        </w:tc>
        <w:tc>
          <w:tcPr>
            <w:tcW w:w="4773" w:type="dxa"/>
            <w:tcBorders>
              <w:left w:val="nil"/>
              <w:right w:val="nil"/>
            </w:tcBorders>
            <w:shd w:val="clear" w:color="auto" w:fill="EAF9FF"/>
            <w:vAlign w:val="top"/>
          </w:tcPr>
          <w:p w14:paraId="7AFAE255">
            <w:pPr>
              <w:pStyle w:val="8"/>
              <w:spacing w:before="65" w:line="234" w:lineRule="auto"/>
              <w:ind w:left="72"/>
            </w:pPr>
            <w:r>
              <w:rPr>
                <w:color w:val="5F6A72"/>
                <w:spacing w:val="-6"/>
              </w:rPr>
              <w:t>World Intellectual Property Organizati</w:t>
            </w:r>
            <w:r>
              <w:rPr>
                <w:color w:val="5F6A72"/>
                <w:spacing w:val="-7"/>
              </w:rPr>
              <w:t>on</w:t>
            </w:r>
          </w:p>
        </w:tc>
      </w:tr>
      <w:tr w14:paraId="105ACD8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29" w:hRule="atLeast"/>
        </w:trPr>
        <w:tc>
          <w:tcPr>
            <w:tcW w:w="592" w:type="dxa"/>
            <w:tcBorders>
              <w:left w:val="nil"/>
              <w:bottom w:val="nil"/>
            </w:tcBorders>
            <w:vAlign w:val="top"/>
          </w:tcPr>
          <w:p w14:paraId="0114119F">
            <w:pPr>
              <w:pStyle w:val="8"/>
              <w:spacing w:before="65" w:line="238" w:lineRule="exact"/>
              <w:ind w:left="18"/>
            </w:pPr>
            <w:r>
              <w:rPr>
                <w:color w:val="2A8ABF"/>
                <w:spacing w:val="-21"/>
                <w:position w:val="1"/>
              </w:rPr>
              <w:t>IGCC</w:t>
            </w:r>
          </w:p>
        </w:tc>
        <w:tc>
          <w:tcPr>
            <w:tcW w:w="4287" w:type="dxa"/>
            <w:tcBorders>
              <w:bottom w:val="nil"/>
              <w:right w:val="nil"/>
            </w:tcBorders>
            <w:vAlign w:val="top"/>
          </w:tcPr>
          <w:p w14:paraId="17F7A745">
            <w:pPr>
              <w:pStyle w:val="8"/>
              <w:spacing w:before="65" w:line="234" w:lineRule="auto"/>
              <w:ind w:left="82"/>
            </w:pPr>
            <w:r>
              <w:rPr>
                <w:color w:val="5F6A72"/>
                <w:spacing w:val="-5"/>
              </w:rPr>
              <w:t xml:space="preserve">integrated gasification </w:t>
            </w:r>
            <w:r>
              <w:rPr>
                <w:color w:val="5F6A72"/>
                <w:spacing w:val="-6"/>
              </w:rPr>
              <w:t>combined cycle</w:t>
            </w:r>
          </w:p>
        </w:tc>
        <w:tc>
          <w:tcPr>
            <w:tcW w:w="552" w:type="dxa"/>
            <w:tcBorders>
              <w:left w:val="nil"/>
              <w:bottom w:val="nil"/>
              <w:right w:val="nil"/>
            </w:tcBorders>
            <w:vAlign w:val="top"/>
          </w:tcPr>
          <w:p w14:paraId="199B167A">
            <w:pPr>
              <w:pStyle w:val="8"/>
              <w:spacing w:before="107" w:line="183" w:lineRule="auto"/>
              <w:ind w:left="71"/>
            </w:pPr>
            <w:r>
              <w:rPr>
                <w:color w:val="5F6A72"/>
                <w:spacing w:val="-14"/>
                <w:w w:val="97"/>
              </w:rPr>
              <w:t>WTI</w:t>
            </w:r>
          </w:p>
        </w:tc>
        <w:tc>
          <w:tcPr>
            <w:tcW w:w="4773" w:type="dxa"/>
            <w:tcBorders>
              <w:left w:val="nil"/>
              <w:bottom w:val="nil"/>
              <w:right w:val="nil"/>
            </w:tcBorders>
            <w:vAlign w:val="top"/>
          </w:tcPr>
          <w:p w14:paraId="4AC6749C">
            <w:pPr>
              <w:pStyle w:val="8"/>
              <w:spacing w:before="65" w:line="238" w:lineRule="exact"/>
              <w:ind w:left="72"/>
            </w:pPr>
            <w:r>
              <w:rPr>
                <w:color w:val="5F6A72"/>
                <w:spacing w:val="-9"/>
                <w:position w:val="1"/>
              </w:rPr>
              <w:t>West</w:t>
            </w:r>
            <w:r>
              <w:rPr>
                <w:color w:val="5F6A72"/>
                <w:spacing w:val="-13"/>
                <w:position w:val="1"/>
              </w:rPr>
              <w:t xml:space="preserve"> </w:t>
            </w:r>
            <w:r>
              <w:rPr>
                <w:color w:val="5F6A72"/>
                <w:spacing w:val="-9"/>
                <w:position w:val="1"/>
              </w:rPr>
              <w:t>Texas Intermediate</w:t>
            </w:r>
          </w:p>
        </w:tc>
      </w:tr>
    </w:tbl>
    <w:p w14:paraId="14CBF236">
      <w:pPr>
        <w:pStyle w:val="4"/>
        <w:spacing w:line="291" w:lineRule="auto"/>
      </w:pPr>
    </w:p>
    <w:p w14:paraId="53AF3921">
      <w:pPr>
        <w:pStyle w:val="4"/>
        <w:spacing w:before="92" w:line="241" w:lineRule="auto"/>
        <w:ind w:left="374"/>
        <w:outlineLvl w:val="0"/>
        <w:rPr>
          <w:sz w:val="32"/>
          <w:szCs w:val="32"/>
        </w:rPr>
      </w:pPr>
      <w:bookmarkStart w:id="44" w:name="bookmark48"/>
      <w:bookmarkEnd w:id="44"/>
      <w:bookmarkStart w:id="45" w:name="bookmark30"/>
      <w:bookmarkEnd w:id="45"/>
      <w:r>
        <w:rPr>
          <w:b/>
          <w:bCs/>
          <w:color w:val="174174"/>
          <w:spacing w:val="-17"/>
          <w:sz w:val="32"/>
          <w:szCs w:val="32"/>
        </w:rPr>
        <w:t>Oil &amp; Gas Methodology</w:t>
      </w:r>
    </w:p>
    <w:p w14:paraId="032F0BD8">
      <w:pPr>
        <w:pStyle w:val="4"/>
        <w:spacing w:line="311" w:lineRule="auto"/>
      </w:pPr>
    </w:p>
    <w:p w14:paraId="40BCF3E9">
      <w:pPr>
        <w:pStyle w:val="4"/>
        <w:spacing w:before="58" w:line="184" w:lineRule="auto"/>
        <w:ind w:left="368"/>
        <w:rPr>
          <w:sz w:val="20"/>
          <w:szCs w:val="20"/>
        </w:rPr>
      </w:pPr>
      <w:r>
        <w:rPr>
          <w:b/>
          <w:bCs/>
          <w:color w:val="57585A"/>
          <w:spacing w:val="-9"/>
          <w:sz w:val="20"/>
          <w:szCs w:val="20"/>
        </w:rPr>
        <w:t>Connected</w:t>
      </w:r>
      <w:r>
        <w:rPr>
          <w:b/>
          <w:bCs/>
          <w:color w:val="57585A"/>
          <w:spacing w:val="-1"/>
          <w:sz w:val="20"/>
          <w:szCs w:val="20"/>
        </w:rPr>
        <w:t xml:space="preserve"> </w:t>
      </w:r>
      <w:r>
        <w:rPr>
          <w:b/>
          <w:bCs/>
          <w:color w:val="57585A"/>
          <w:spacing w:val="-9"/>
          <w:sz w:val="20"/>
          <w:szCs w:val="20"/>
        </w:rPr>
        <w:t>Thinking</w:t>
      </w:r>
    </w:p>
    <w:p w14:paraId="46FF706E">
      <w:pPr>
        <w:pStyle w:val="4"/>
        <w:spacing w:line="290" w:lineRule="auto"/>
      </w:pPr>
    </w:p>
    <w:p w14:paraId="3E8C383F">
      <w:pPr>
        <w:pStyle w:val="4"/>
        <w:spacing w:before="57" w:line="279" w:lineRule="auto"/>
        <w:ind w:left="363" w:right="448" w:firstLine="12"/>
        <w:rPr>
          <w:sz w:val="20"/>
          <w:szCs w:val="20"/>
        </w:rPr>
      </w:pPr>
      <w:r>
        <w:rPr>
          <w:color w:val="57585A"/>
          <w:spacing w:val="-11"/>
          <w:sz w:val="20"/>
          <w:szCs w:val="20"/>
        </w:rPr>
        <w:t xml:space="preserve">BMI employs a unique methodology known </w:t>
      </w:r>
      <w:r>
        <w:rPr>
          <w:color w:val="57585A"/>
          <w:spacing w:val="-12"/>
          <w:sz w:val="20"/>
          <w:szCs w:val="20"/>
        </w:rPr>
        <w:t>as 'Connected Thinking'. This means that our analysis captures the inter-relatedness of</w:t>
      </w:r>
      <w:r>
        <w:rPr>
          <w:color w:val="57585A"/>
          <w:sz w:val="20"/>
          <w:szCs w:val="20"/>
        </w:rPr>
        <w:t xml:space="preserve"> </w:t>
      </w:r>
      <w:r>
        <w:rPr>
          <w:color w:val="57585A"/>
          <w:spacing w:val="-10"/>
          <w:sz w:val="20"/>
          <w:szCs w:val="20"/>
        </w:rPr>
        <w:t>the global economy, and takes into account all of</w:t>
      </w:r>
      <w:r>
        <w:rPr>
          <w:color w:val="57585A"/>
          <w:spacing w:val="-21"/>
          <w:sz w:val="20"/>
          <w:szCs w:val="20"/>
        </w:rPr>
        <w:t xml:space="preserve"> </w:t>
      </w:r>
      <w:r>
        <w:rPr>
          <w:color w:val="57585A"/>
          <w:spacing w:val="-10"/>
          <w:sz w:val="20"/>
          <w:szCs w:val="20"/>
        </w:rPr>
        <w:t>the relevant political, macroecon</w:t>
      </w:r>
      <w:r>
        <w:rPr>
          <w:color w:val="57585A"/>
          <w:spacing w:val="-11"/>
          <w:sz w:val="20"/>
          <w:szCs w:val="20"/>
        </w:rPr>
        <w:t>omic, financial market and industry factors that</w:t>
      </w:r>
      <w:r>
        <w:rPr>
          <w:color w:val="57585A"/>
          <w:sz w:val="20"/>
          <w:szCs w:val="20"/>
        </w:rPr>
        <w:t xml:space="preserve"> </w:t>
      </w:r>
      <w:r>
        <w:rPr>
          <w:color w:val="57585A"/>
          <w:spacing w:val="-11"/>
          <w:sz w:val="20"/>
          <w:szCs w:val="20"/>
        </w:rPr>
        <w:t>underpin a forecast and</w:t>
      </w:r>
      <w:r>
        <w:rPr>
          <w:color w:val="57585A"/>
          <w:spacing w:val="-15"/>
          <w:sz w:val="20"/>
          <w:szCs w:val="20"/>
        </w:rPr>
        <w:t xml:space="preserve"> </w:t>
      </w:r>
      <w:r>
        <w:rPr>
          <w:color w:val="57585A"/>
          <w:spacing w:val="-11"/>
          <w:sz w:val="20"/>
          <w:szCs w:val="20"/>
        </w:rPr>
        <w:t>view. We</w:t>
      </w:r>
      <w:r>
        <w:rPr>
          <w:color w:val="57585A"/>
          <w:spacing w:val="-12"/>
          <w:sz w:val="20"/>
          <w:szCs w:val="20"/>
        </w:rPr>
        <w:t xml:space="preserve"> </w:t>
      </w:r>
      <w:r>
        <w:rPr>
          <w:color w:val="57585A"/>
          <w:spacing w:val="-11"/>
          <w:sz w:val="20"/>
          <w:szCs w:val="20"/>
        </w:rPr>
        <w:t>then integrate them</w:t>
      </w:r>
      <w:r>
        <w:rPr>
          <w:color w:val="57585A"/>
          <w:spacing w:val="-9"/>
          <w:sz w:val="20"/>
          <w:szCs w:val="20"/>
        </w:rPr>
        <w:t xml:space="preserve"> </w:t>
      </w:r>
      <w:r>
        <w:rPr>
          <w:color w:val="57585A"/>
          <w:spacing w:val="-11"/>
          <w:sz w:val="20"/>
          <w:szCs w:val="20"/>
        </w:rPr>
        <w:t>so</w:t>
      </w:r>
      <w:r>
        <w:rPr>
          <w:color w:val="57585A"/>
          <w:spacing w:val="-8"/>
          <w:sz w:val="20"/>
          <w:szCs w:val="20"/>
        </w:rPr>
        <w:t xml:space="preserve"> </w:t>
      </w:r>
      <w:r>
        <w:rPr>
          <w:color w:val="57585A"/>
          <w:spacing w:val="-11"/>
          <w:sz w:val="20"/>
          <w:szCs w:val="20"/>
        </w:rPr>
        <w:t>as</w:t>
      </w:r>
      <w:r>
        <w:rPr>
          <w:color w:val="57585A"/>
          <w:spacing w:val="-12"/>
          <w:sz w:val="20"/>
          <w:szCs w:val="20"/>
        </w:rPr>
        <w:t xml:space="preserve"> </w:t>
      </w:r>
      <w:r>
        <w:rPr>
          <w:color w:val="57585A"/>
          <w:spacing w:val="-11"/>
          <w:sz w:val="20"/>
          <w:szCs w:val="20"/>
        </w:rPr>
        <w:t>to explain how t</w:t>
      </w:r>
      <w:r>
        <w:rPr>
          <w:color w:val="57585A"/>
          <w:spacing w:val="-12"/>
          <w:sz w:val="20"/>
          <w:szCs w:val="20"/>
        </w:rPr>
        <w:t>hey interact and affect each other. Our Connected</w:t>
      </w:r>
    </w:p>
    <w:p w14:paraId="79C4DBA6">
      <w:pPr>
        <w:pStyle w:val="4"/>
        <w:spacing w:before="37" w:line="273" w:lineRule="auto"/>
        <w:ind w:left="372" w:right="484" w:hanging="12"/>
        <w:rPr>
          <w:sz w:val="20"/>
          <w:szCs w:val="20"/>
        </w:rPr>
      </w:pPr>
      <w:r>
        <w:rPr>
          <w:color w:val="57585A"/>
          <w:spacing w:val="-10"/>
          <w:sz w:val="20"/>
          <w:szCs w:val="20"/>
        </w:rPr>
        <w:t>Thinking approach provides our customers</w:t>
      </w:r>
      <w:r>
        <w:rPr>
          <w:color w:val="57585A"/>
          <w:spacing w:val="-16"/>
          <w:sz w:val="20"/>
          <w:szCs w:val="20"/>
        </w:rPr>
        <w:t xml:space="preserve"> </w:t>
      </w:r>
      <w:r>
        <w:rPr>
          <w:color w:val="57585A"/>
          <w:spacing w:val="-10"/>
          <w:sz w:val="20"/>
          <w:szCs w:val="20"/>
        </w:rPr>
        <w:t>with u</w:t>
      </w:r>
      <w:r>
        <w:rPr>
          <w:color w:val="57585A"/>
          <w:spacing w:val="-11"/>
          <w:sz w:val="20"/>
          <w:szCs w:val="20"/>
        </w:rPr>
        <w:t>nique and</w:t>
      </w:r>
      <w:r>
        <w:rPr>
          <w:color w:val="57585A"/>
          <w:spacing w:val="-15"/>
          <w:sz w:val="20"/>
          <w:szCs w:val="20"/>
        </w:rPr>
        <w:t xml:space="preserve"> </w:t>
      </w:r>
      <w:r>
        <w:rPr>
          <w:color w:val="57585A"/>
          <w:spacing w:val="-11"/>
          <w:sz w:val="20"/>
          <w:szCs w:val="20"/>
        </w:rPr>
        <w:t>valuable insight on all relevant macroeconomic, political and industry</w:t>
      </w:r>
      <w:r>
        <w:rPr>
          <w:color w:val="57585A"/>
          <w:sz w:val="20"/>
          <w:szCs w:val="20"/>
        </w:rPr>
        <w:t xml:space="preserve"> </w:t>
      </w:r>
      <w:r>
        <w:rPr>
          <w:color w:val="57585A"/>
          <w:spacing w:val="-9"/>
          <w:sz w:val="20"/>
          <w:szCs w:val="20"/>
        </w:rPr>
        <w:t>risk factors that</w:t>
      </w:r>
      <w:r>
        <w:rPr>
          <w:color w:val="57585A"/>
          <w:spacing w:val="-16"/>
          <w:sz w:val="20"/>
          <w:szCs w:val="20"/>
        </w:rPr>
        <w:t xml:space="preserve"> </w:t>
      </w:r>
      <w:r>
        <w:rPr>
          <w:color w:val="57585A"/>
          <w:spacing w:val="-9"/>
          <w:sz w:val="20"/>
          <w:szCs w:val="20"/>
        </w:rPr>
        <w:t>will impact their operations and revenue-generating potential in th</w:t>
      </w:r>
      <w:r>
        <w:rPr>
          <w:color w:val="57585A"/>
          <w:spacing w:val="-10"/>
          <w:sz w:val="20"/>
          <w:szCs w:val="20"/>
        </w:rPr>
        <w:t>e industry/industries</w:t>
      </w:r>
      <w:r>
        <w:rPr>
          <w:color w:val="57585A"/>
          <w:spacing w:val="-16"/>
          <w:sz w:val="20"/>
          <w:szCs w:val="20"/>
        </w:rPr>
        <w:t xml:space="preserve"> </w:t>
      </w:r>
      <w:r>
        <w:rPr>
          <w:color w:val="57585A"/>
          <w:spacing w:val="-10"/>
          <w:sz w:val="20"/>
          <w:szCs w:val="20"/>
        </w:rPr>
        <w:t>within</w:t>
      </w:r>
      <w:r>
        <w:rPr>
          <w:color w:val="57585A"/>
          <w:spacing w:val="-15"/>
          <w:sz w:val="20"/>
          <w:szCs w:val="20"/>
        </w:rPr>
        <w:t xml:space="preserve"> </w:t>
      </w:r>
      <w:r>
        <w:rPr>
          <w:color w:val="57585A"/>
          <w:spacing w:val="-10"/>
          <w:sz w:val="20"/>
          <w:szCs w:val="20"/>
        </w:rPr>
        <w:t>which they operate.</w:t>
      </w:r>
    </w:p>
    <w:p w14:paraId="567148B7">
      <w:pPr>
        <w:pStyle w:val="4"/>
        <w:spacing w:line="265" w:lineRule="auto"/>
      </w:pPr>
    </w:p>
    <w:p w14:paraId="05C0B3DE">
      <w:pPr>
        <w:pStyle w:val="4"/>
        <w:spacing w:before="58" w:line="273" w:lineRule="auto"/>
        <w:ind w:left="369" w:right="637" w:hanging="8"/>
        <w:rPr>
          <w:sz w:val="20"/>
          <w:szCs w:val="20"/>
        </w:rPr>
      </w:pPr>
      <w:r>
        <w:rPr>
          <w:color w:val="57585A"/>
          <w:spacing w:val="-11"/>
          <w:sz w:val="20"/>
          <w:szCs w:val="20"/>
        </w:rPr>
        <w:t>We use a transparent forecasting model as a ba</w:t>
      </w:r>
      <w:r>
        <w:rPr>
          <w:color w:val="57585A"/>
          <w:spacing w:val="-12"/>
          <w:sz w:val="20"/>
          <w:szCs w:val="20"/>
        </w:rPr>
        <w:t>se for our industry forecasts, but rely heavily on our analysts' expert</w:t>
      </w:r>
      <w:r>
        <w:rPr>
          <w:color w:val="57585A"/>
          <w:spacing w:val="-18"/>
          <w:sz w:val="20"/>
          <w:szCs w:val="20"/>
        </w:rPr>
        <w:t xml:space="preserve"> </w:t>
      </w:r>
      <w:r>
        <w:rPr>
          <w:color w:val="57585A"/>
          <w:spacing w:val="-12"/>
          <w:sz w:val="20"/>
          <w:szCs w:val="20"/>
        </w:rPr>
        <w:t>judgement to</w:t>
      </w:r>
      <w:r>
        <w:rPr>
          <w:color w:val="57585A"/>
          <w:sz w:val="20"/>
          <w:szCs w:val="20"/>
        </w:rPr>
        <w:t xml:space="preserve"> </w:t>
      </w:r>
      <w:r>
        <w:rPr>
          <w:color w:val="57585A"/>
          <w:spacing w:val="-11"/>
          <w:sz w:val="20"/>
          <w:szCs w:val="20"/>
        </w:rPr>
        <w:t>ensure our forecasts capture all of</w:t>
      </w:r>
      <w:r>
        <w:rPr>
          <w:color w:val="57585A"/>
          <w:spacing w:val="-21"/>
          <w:sz w:val="20"/>
          <w:szCs w:val="20"/>
        </w:rPr>
        <w:t xml:space="preserve"> </w:t>
      </w:r>
      <w:r>
        <w:rPr>
          <w:color w:val="57585A"/>
          <w:spacing w:val="-11"/>
          <w:sz w:val="20"/>
          <w:szCs w:val="20"/>
        </w:rPr>
        <w:t>the insights</w:t>
      </w:r>
      <w:r>
        <w:rPr>
          <w:color w:val="57585A"/>
          <w:spacing w:val="-16"/>
          <w:sz w:val="20"/>
          <w:szCs w:val="20"/>
        </w:rPr>
        <w:t xml:space="preserve"> </w:t>
      </w:r>
      <w:r>
        <w:rPr>
          <w:color w:val="57585A"/>
          <w:spacing w:val="-11"/>
          <w:sz w:val="20"/>
          <w:szCs w:val="20"/>
        </w:rPr>
        <w:t>we der</w:t>
      </w:r>
      <w:r>
        <w:rPr>
          <w:color w:val="57585A"/>
          <w:spacing w:val="-12"/>
          <w:sz w:val="20"/>
          <w:szCs w:val="20"/>
        </w:rPr>
        <w:t>ive using our unique Connected Thinking approach. We believe analyst</w:t>
      </w:r>
    </w:p>
    <w:p w14:paraId="6DCFE6C7">
      <w:pPr>
        <w:pStyle w:val="4"/>
        <w:spacing w:before="37" w:line="231" w:lineRule="auto"/>
        <w:ind w:left="369"/>
        <w:rPr>
          <w:sz w:val="20"/>
          <w:szCs w:val="20"/>
        </w:rPr>
      </w:pPr>
      <w:r>
        <w:rPr>
          <w:color w:val="57585A"/>
          <w:spacing w:val="-10"/>
          <w:sz w:val="20"/>
          <w:szCs w:val="20"/>
        </w:rPr>
        <w:t>expertise and</w:t>
      </w:r>
      <w:r>
        <w:rPr>
          <w:color w:val="57585A"/>
          <w:spacing w:val="-17"/>
          <w:sz w:val="20"/>
          <w:szCs w:val="20"/>
        </w:rPr>
        <w:t xml:space="preserve"> </w:t>
      </w:r>
      <w:r>
        <w:rPr>
          <w:color w:val="57585A"/>
          <w:spacing w:val="-10"/>
          <w:sz w:val="20"/>
          <w:szCs w:val="20"/>
        </w:rPr>
        <w:t>judgement are the b</w:t>
      </w:r>
      <w:r>
        <w:rPr>
          <w:color w:val="57585A"/>
          <w:spacing w:val="-11"/>
          <w:sz w:val="20"/>
          <w:szCs w:val="20"/>
        </w:rPr>
        <w:t>est</w:t>
      </w:r>
      <w:r>
        <w:rPr>
          <w:color w:val="57585A"/>
          <w:spacing w:val="-16"/>
          <w:sz w:val="20"/>
          <w:szCs w:val="20"/>
        </w:rPr>
        <w:t xml:space="preserve"> </w:t>
      </w:r>
      <w:r>
        <w:rPr>
          <w:color w:val="57585A"/>
          <w:spacing w:val="-11"/>
          <w:sz w:val="20"/>
          <w:szCs w:val="20"/>
        </w:rPr>
        <w:t>ways to provide the most accurate, up-to-date and comprehensive insight to our customers.</w:t>
      </w:r>
    </w:p>
    <w:p w14:paraId="073498CB">
      <w:pPr>
        <w:pStyle w:val="4"/>
        <w:spacing w:line="285" w:lineRule="auto"/>
      </w:pPr>
    </w:p>
    <w:p w14:paraId="6ED37FF0">
      <w:pPr>
        <w:pStyle w:val="4"/>
        <w:spacing w:line="285" w:lineRule="auto"/>
      </w:pPr>
    </w:p>
    <w:p w14:paraId="621735C6">
      <w:pPr>
        <w:pStyle w:val="4"/>
        <w:spacing w:before="58" w:line="241" w:lineRule="auto"/>
        <w:ind w:left="368"/>
        <w:rPr>
          <w:sz w:val="20"/>
          <w:szCs w:val="20"/>
        </w:rPr>
      </w:pPr>
      <w:r>
        <w:rPr>
          <w:b/>
          <w:bCs/>
          <w:color w:val="57585A"/>
          <w:spacing w:val="-11"/>
          <w:sz w:val="20"/>
          <w:szCs w:val="20"/>
        </w:rPr>
        <w:t>Oil &amp; Gas Methodology</w:t>
      </w:r>
    </w:p>
    <w:p w14:paraId="50D05554">
      <w:pPr>
        <w:pStyle w:val="4"/>
        <w:spacing w:line="282" w:lineRule="auto"/>
      </w:pPr>
    </w:p>
    <w:p w14:paraId="4997EF5B">
      <w:pPr>
        <w:pStyle w:val="4"/>
        <w:spacing w:before="58" w:line="279" w:lineRule="auto"/>
        <w:ind w:left="373" w:right="380" w:firstLine="2"/>
        <w:jc w:val="both"/>
        <w:rPr>
          <w:sz w:val="20"/>
          <w:szCs w:val="20"/>
        </w:rPr>
      </w:pPr>
      <w:r>
        <w:rPr>
          <w:color w:val="57585A"/>
          <w:spacing w:val="-12"/>
          <w:sz w:val="20"/>
          <w:szCs w:val="20"/>
        </w:rPr>
        <w:t>For the Oil &amp; Gas industry, we have historical data and 10-year forecasts for 45 core industry variables, including oil</w:t>
      </w:r>
      <w:r>
        <w:rPr>
          <w:color w:val="57585A"/>
          <w:spacing w:val="-13"/>
          <w:sz w:val="20"/>
          <w:szCs w:val="20"/>
        </w:rPr>
        <w:t xml:space="preserve"> &amp; gas production,</w:t>
      </w:r>
      <w:r>
        <w:rPr>
          <w:color w:val="57585A"/>
          <w:sz w:val="20"/>
          <w:szCs w:val="20"/>
        </w:rPr>
        <w:t xml:space="preserve"> </w:t>
      </w:r>
      <w:r>
        <w:rPr>
          <w:color w:val="57585A"/>
          <w:spacing w:val="-11"/>
          <w:sz w:val="20"/>
          <w:szCs w:val="20"/>
        </w:rPr>
        <w:t>refined fuels production and consumption, refining capacity, refined fuels productio</w:t>
      </w:r>
      <w:r>
        <w:rPr>
          <w:color w:val="57585A"/>
          <w:spacing w:val="-12"/>
          <w:sz w:val="20"/>
          <w:szCs w:val="20"/>
        </w:rPr>
        <w:t>n, and trade of oil and natural gas. We also have</w:t>
      </w:r>
      <w:r>
        <w:rPr>
          <w:color w:val="57585A"/>
          <w:sz w:val="20"/>
          <w:szCs w:val="20"/>
        </w:rPr>
        <w:t xml:space="preserve"> </w:t>
      </w:r>
      <w:r>
        <w:rPr>
          <w:color w:val="57585A"/>
          <w:spacing w:val="-11"/>
          <w:sz w:val="20"/>
          <w:szCs w:val="20"/>
        </w:rPr>
        <w:t>historical data and 10-year forecasts for 36 energy price indicators.</w:t>
      </w:r>
    </w:p>
    <w:p w14:paraId="142EDEBF">
      <w:pPr>
        <w:pStyle w:val="4"/>
        <w:spacing w:line="265" w:lineRule="auto"/>
      </w:pPr>
    </w:p>
    <w:p w14:paraId="72DBCC32">
      <w:pPr>
        <w:pStyle w:val="4"/>
        <w:spacing w:before="58" w:line="231" w:lineRule="auto"/>
        <w:ind w:left="369"/>
        <w:rPr>
          <w:sz w:val="20"/>
          <w:szCs w:val="20"/>
        </w:rPr>
      </w:pPr>
      <w:r>
        <w:rPr>
          <w:color w:val="57585A"/>
          <w:spacing w:val="-11"/>
          <w:sz w:val="20"/>
          <w:szCs w:val="20"/>
        </w:rPr>
        <w:t>Our forecasts are a combination of</w:t>
      </w:r>
      <w:r>
        <w:rPr>
          <w:color w:val="57585A"/>
          <w:spacing w:val="-17"/>
          <w:sz w:val="20"/>
          <w:szCs w:val="20"/>
        </w:rPr>
        <w:t xml:space="preserve"> </w:t>
      </w:r>
      <w:r>
        <w:rPr>
          <w:color w:val="57585A"/>
          <w:spacing w:val="-11"/>
          <w:sz w:val="20"/>
          <w:szCs w:val="20"/>
        </w:rPr>
        <w:t>analyst expert</w:t>
      </w:r>
      <w:r>
        <w:rPr>
          <w:color w:val="57585A"/>
          <w:spacing w:val="-18"/>
          <w:sz w:val="20"/>
          <w:szCs w:val="20"/>
        </w:rPr>
        <w:t xml:space="preserve"> </w:t>
      </w:r>
      <w:r>
        <w:rPr>
          <w:color w:val="57585A"/>
          <w:spacing w:val="-11"/>
          <w:sz w:val="20"/>
          <w:szCs w:val="20"/>
        </w:rPr>
        <w:t>judgement and a market's own historica</w:t>
      </w:r>
      <w:r>
        <w:rPr>
          <w:color w:val="57585A"/>
          <w:spacing w:val="-12"/>
          <w:sz w:val="20"/>
          <w:szCs w:val="20"/>
        </w:rPr>
        <w:t>l time series.</w:t>
      </w:r>
    </w:p>
    <w:p w14:paraId="64159E18">
      <w:pPr>
        <w:pStyle w:val="4"/>
        <w:spacing w:line="287" w:lineRule="auto"/>
      </w:pPr>
    </w:p>
    <w:p w14:paraId="569FD568">
      <w:pPr>
        <w:pStyle w:val="4"/>
        <w:spacing w:before="58" w:line="273" w:lineRule="auto"/>
        <w:ind w:left="367" w:right="585" w:firstLine="2"/>
        <w:rPr>
          <w:sz w:val="20"/>
          <w:szCs w:val="20"/>
        </w:rPr>
      </w:pPr>
      <w:r>
        <w:rPr>
          <w:color w:val="57585A"/>
          <w:spacing w:val="-13"/>
          <w:sz w:val="20"/>
          <w:szCs w:val="20"/>
        </w:rPr>
        <w:t>Our Oil &amp; Gas analysts interact with other analytical teams in BMI, including Country Ri</w:t>
      </w:r>
      <w:r>
        <w:rPr>
          <w:color w:val="57585A"/>
          <w:spacing w:val="-14"/>
          <w:sz w:val="20"/>
          <w:szCs w:val="20"/>
        </w:rPr>
        <w:t>sk, Commodities, Power,</w:t>
      </w:r>
      <w:r>
        <w:rPr>
          <w:color w:val="57585A"/>
          <w:spacing w:val="1"/>
          <w:sz w:val="20"/>
          <w:szCs w:val="20"/>
        </w:rPr>
        <w:t xml:space="preserve"> </w:t>
      </w:r>
      <w:r>
        <w:rPr>
          <w:color w:val="57585A"/>
          <w:spacing w:val="-14"/>
          <w:sz w:val="20"/>
          <w:szCs w:val="20"/>
        </w:rPr>
        <w:t>Renewables, Autos</w:t>
      </w:r>
      <w:r>
        <w:rPr>
          <w:color w:val="57585A"/>
          <w:sz w:val="20"/>
          <w:szCs w:val="20"/>
        </w:rPr>
        <w:t xml:space="preserve"> </w:t>
      </w:r>
      <w:r>
        <w:rPr>
          <w:color w:val="57585A"/>
          <w:spacing w:val="-11"/>
          <w:sz w:val="20"/>
          <w:szCs w:val="20"/>
        </w:rPr>
        <w:t>and Infrastructure. This ensures that they have a comprehensive understanding of</w:t>
      </w:r>
      <w:r>
        <w:rPr>
          <w:color w:val="57585A"/>
          <w:spacing w:val="-15"/>
          <w:sz w:val="20"/>
          <w:szCs w:val="20"/>
        </w:rPr>
        <w:t xml:space="preserve"> </w:t>
      </w:r>
      <w:r>
        <w:rPr>
          <w:color w:val="57585A"/>
          <w:spacing w:val="-11"/>
          <w:sz w:val="20"/>
          <w:szCs w:val="20"/>
        </w:rPr>
        <w:t>external factors that may impact t</w:t>
      </w:r>
      <w:r>
        <w:rPr>
          <w:color w:val="57585A"/>
          <w:spacing w:val="-12"/>
          <w:sz w:val="20"/>
          <w:szCs w:val="20"/>
        </w:rPr>
        <w:t>he oil &amp; gas</w:t>
      </w:r>
    </w:p>
    <w:p w14:paraId="1722E3EE">
      <w:pPr>
        <w:pStyle w:val="4"/>
        <w:spacing w:before="37" w:line="273" w:lineRule="auto"/>
        <w:ind w:left="372" w:right="463" w:hanging="1"/>
        <w:rPr>
          <w:sz w:val="20"/>
          <w:szCs w:val="20"/>
        </w:rPr>
      </w:pPr>
      <w:r>
        <w:rPr>
          <w:color w:val="57585A"/>
          <w:spacing w:val="-11"/>
          <w:sz w:val="20"/>
          <w:szCs w:val="20"/>
        </w:rPr>
        <w:t>industry outlook on either a market, regional or global level. In addition, our oil</w:t>
      </w:r>
      <w:r>
        <w:rPr>
          <w:color w:val="57585A"/>
          <w:spacing w:val="-12"/>
          <w:sz w:val="20"/>
          <w:szCs w:val="20"/>
        </w:rPr>
        <w:t xml:space="preserve"> &amp; gas forecasts draw on assessments of political risk,</w:t>
      </w:r>
      <w:r>
        <w:rPr>
          <w:color w:val="57585A"/>
          <w:sz w:val="20"/>
          <w:szCs w:val="20"/>
        </w:rPr>
        <w:t xml:space="preserve"> </w:t>
      </w:r>
      <w:r>
        <w:rPr>
          <w:color w:val="57585A"/>
          <w:spacing w:val="-9"/>
          <w:sz w:val="20"/>
          <w:szCs w:val="20"/>
        </w:rPr>
        <w:t>regulatory outlook and outlook for c</w:t>
      </w:r>
      <w:r>
        <w:rPr>
          <w:color w:val="57585A"/>
          <w:spacing w:val="-10"/>
          <w:sz w:val="20"/>
          <w:szCs w:val="20"/>
        </w:rPr>
        <w:t>apital expenditure by the industry.</w:t>
      </w:r>
    </w:p>
    <w:p w14:paraId="18DD5D36">
      <w:pPr>
        <w:pStyle w:val="4"/>
        <w:spacing w:line="265" w:lineRule="auto"/>
      </w:pPr>
    </w:p>
    <w:p w14:paraId="5FF32508">
      <w:pPr>
        <w:pStyle w:val="4"/>
        <w:spacing w:before="58" w:line="273" w:lineRule="auto"/>
        <w:ind w:left="357" w:right="978" w:firstLine="2"/>
        <w:rPr>
          <w:sz w:val="20"/>
          <w:szCs w:val="20"/>
        </w:rPr>
      </w:pPr>
      <w:r>
        <w:rPr>
          <w:color w:val="57585A"/>
          <w:spacing w:val="-11"/>
          <w:sz w:val="20"/>
          <w:szCs w:val="20"/>
        </w:rPr>
        <w:t>There is a constant rolling cycle of data monitoring,</w:t>
      </w:r>
      <w:r>
        <w:rPr>
          <w:color w:val="57585A"/>
          <w:spacing w:val="-16"/>
          <w:sz w:val="20"/>
          <w:szCs w:val="20"/>
        </w:rPr>
        <w:t xml:space="preserve"> </w:t>
      </w:r>
      <w:r>
        <w:rPr>
          <w:color w:val="57585A"/>
          <w:spacing w:val="-11"/>
          <w:sz w:val="20"/>
          <w:szCs w:val="20"/>
        </w:rPr>
        <w:t>with databases being update</w:t>
      </w:r>
      <w:r>
        <w:rPr>
          <w:color w:val="57585A"/>
          <w:spacing w:val="-12"/>
          <w:sz w:val="20"/>
          <w:szCs w:val="20"/>
        </w:rPr>
        <w:t>d on a quarterly basis.</w:t>
      </w:r>
      <w:r>
        <w:rPr>
          <w:color w:val="57585A"/>
          <w:spacing w:val="-15"/>
          <w:sz w:val="20"/>
          <w:szCs w:val="20"/>
        </w:rPr>
        <w:t xml:space="preserve"> </w:t>
      </w:r>
      <w:r>
        <w:rPr>
          <w:color w:val="57585A"/>
          <w:spacing w:val="-12"/>
          <w:sz w:val="20"/>
          <w:szCs w:val="20"/>
        </w:rPr>
        <w:t>Analysts</w:t>
      </w:r>
      <w:r>
        <w:rPr>
          <w:color w:val="57585A"/>
          <w:spacing w:val="-16"/>
          <w:sz w:val="20"/>
          <w:szCs w:val="20"/>
        </w:rPr>
        <w:t xml:space="preserve"> </w:t>
      </w:r>
      <w:r>
        <w:rPr>
          <w:color w:val="57585A"/>
          <w:spacing w:val="-12"/>
          <w:sz w:val="20"/>
          <w:szCs w:val="20"/>
        </w:rPr>
        <w:t>will use their</w:t>
      </w:r>
      <w:r>
        <w:rPr>
          <w:color w:val="57585A"/>
          <w:sz w:val="20"/>
          <w:szCs w:val="20"/>
        </w:rPr>
        <w:t xml:space="preserve"> </w:t>
      </w:r>
      <w:r>
        <w:rPr>
          <w:color w:val="57585A"/>
          <w:spacing w:val="-10"/>
          <w:sz w:val="20"/>
          <w:szCs w:val="20"/>
        </w:rPr>
        <w:t>judgement outside of</w:t>
      </w:r>
      <w:r>
        <w:rPr>
          <w:color w:val="57585A"/>
          <w:spacing w:val="-21"/>
          <w:sz w:val="20"/>
          <w:szCs w:val="20"/>
        </w:rPr>
        <w:t xml:space="preserve"> </w:t>
      </w:r>
      <w:r>
        <w:rPr>
          <w:color w:val="57585A"/>
          <w:spacing w:val="-10"/>
          <w:sz w:val="20"/>
          <w:szCs w:val="20"/>
        </w:rPr>
        <w:t>these cycles</w:t>
      </w:r>
      <w:r>
        <w:rPr>
          <w:color w:val="57585A"/>
          <w:spacing w:val="-11"/>
          <w:sz w:val="20"/>
          <w:szCs w:val="20"/>
        </w:rPr>
        <w:t xml:space="preserve"> to implement forecast changes</w:t>
      </w:r>
      <w:r>
        <w:rPr>
          <w:color w:val="57585A"/>
          <w:spacing w:val="-16"/>
          <w:sz w:val="20"/>
          <w:szCs w:val="20"/>
        </w:rPr>
        <w:t xml:space="preserve"> </w:t>
      </w:r>
      <w:r>
        <w:rPr>
          <w:color w:val="57585A"/>
          <w:spacing w:val="-11"/>
          <w:sz w:val="20"/>
          <w:szCs w:val="20"/>
        </w:rPr>
        <w:t>when necessary.</w:t>
      </w:r>
    </w:p>
    <w:p w14:paraId="79E3DA2B">
      <w:pPr>
        <w:pStyle w:val="4"/>
        <w:spacing w:line="274" w:lineRule="auto"/>
      </w:pPr>
    </w:p>
    <w:p w14:paraId="686061C5">
      <w:pPr>
        <w:pStyle w:val="4"/>
        <w:spacing w:line="274" w:lineRule="auto"/>
      </w:pPr>
    </w:p>
    <w:p w14:paraId="037A53A3">
      <w:pPr>
        <w:pStyle w:val="4"/>
        <w:spacing w:before="58" w:line="241" w:lineRule="auto"/>
        <w:ind w:left="375"/>
        <w:rPr>
          <w:sz w:val="20"/>
          <w:szCs w:val="20"/>
        </w:rPr>
      </w:pPr>
      <w:r>
        <w:rPr>
          <w:b/>
          <w:bCs/>
          <w:color w:val="57585A"/>
          <w:spacing w:val="-8"/>
          <w:sz w:val="20"/>
          <w:szCs w:val="20"/>
        </w:rPr>
        <w:t>Industry-Specific Methodology</w:t>
      </w:r>
    </w:p>
    <w:p w14:paraId="5056A96B">
      <w:pPr>
        <w:pStyle w:val="4"/>
        <w:spacing w:line="281" w:lineRule="auto"/>
      </w:pPr>
    </w:p>
    <w:p w14:paraId="71BB5119">
      <w:pPr>
        <w:pStyle w:val="4"/>
        <w:spacing w:before="58" w:line="231" w:lineRule="auto"/>
        <w:ind w:left="369"/>
        <w:rPr>
          <w:sz w:val="20"/>
          <w:szCs w:val="20"/>
        </w:rPr>
      </w:pPr>
      <w:r>
        <w:rPr>
          <w:color w:val="57585A"/>
          <w:spacing w:val="-11"/>
          <w:sz w:val="20"/>
          <w:szCs w:val="20"/>
        </w:rPr>
        <w:t>Our approach to forecasting combines both bottom-up and top-down analyses, drawing data from a</w:t>
      </w:r>
      <w:r>
        <w:rPr>
          <w:color w:val="57585A"/>
          <w:spacing w:val="-7"/>
          <w:sz w:val="20"/>
          <w:szCs w:val="20"/>
        </w:rPr>
        <w:t xml:space="preserve"> </w:t>
      </w:r>
      <w:r>
        <w:rPr>
          <w:color w:val="57585A"/>
          <w:spacing w:val="-11"/>
          <w:sz w:val="20"/>
          <w:szCs w:val="20"/>
        </w:rPr>
        <w:t>wide range of</w:t>
      </w:r>
      <w:r>
        <w:rPr>
          <w:color w:val="57585A"/>
          <w:spacing w:val="-15"/>
          <w:sz w:val="20"/>
          <w:szCs w:val="20"/>
        </w:rPr>
        <w:t xml:space="preserve"> </w:t>
      </w:r>
      <w:r>
        <w:rPr>
          <w:color w:val="57585A"/>
          <w:spacing w:val="-11"/>
          <w:sz w:val="20"/>
          <w:szCs w:val="20"/>
        </w:rPr>
        <w:t>corporate,</w:t>
      </w:r>
    </w:p>
    <w:p w14:paraId="347ACD70">
      <w:pPr>
        <w:pStyle w:val="4"/>
        <w:spacing w:before="58" w:line="273" w:lineRule="auto"/>
        <w:ind w:left="370" w:right="527" w:hanging="3"/>
        <w:rPr>
          <w:sz w:val="20"/>
          <w:szCs w:val="20"/>
        </w:rPr>
      </w:pPr>
      <w:r>
        <w:rPr>
          <w:color w:val="57585A"/>
          <w:spacing w:val="-12"/>
          <w:sz w:val="20"/>
          <w:szCs w:val="20"/>
        </w:rPr>
        <w:t>governmental and multilateral sources. The forecasts also leverage proprietary data and analysis from across our 125 markets and</w:t>
      </w:r>
      <w:r>
        <w:rPr>
          <w:color w:val="57585A"/>
          <w:spacing w:val="3"/>
          <w:sz w:val="20"/>
          <w:szCs w:val="20"/>
        </w:rPr>
        <w:t xml:space="preserve"> </w:t>
      </w:r>
      <w:r>
        <w:rPr>
          <w:color w:val="57585A"/>
          <w:spacing w:val="-10"/>
          <w:sz w:val="20"/>
          <w:szCs w:val="20"/>
        </w:rPr>
        <w:t>25 industry</w:t>
      </w:r>
      <w:r>
        <w:rPr>
          <w:color w:val="57585A"/>
          <w:spacing w:val="-12"/>
          <w:sz w:val="20"/>
          <w:szCs w:val="20"/>
        </w:rPr>
        <w:t xml:space="preserve"> </w:t>
      </w:r>
      <w:r>
        <w:rPr>
          <w:color w:val="57585A"/>
          <w:spacing w:val="-10"/>
          <w:sz w:val="20"/>
          <w:szCs w:val="20"/>
        </w:rPr>
        <w:t>verticals.</w:t>
      </w:r>
    </w:p>
    <w:p w14:paraId="4DEF7321">
      <w:pPr>
        <w:spacing w:line="273" w:lineRule="auto"/>
        <w:rPr>
          <w:sz w:val="20"/>
          <w:szCs w:val="20"/>
        </w:rPr>
        <w:sectPr>
          <w:footerReference r:id="rId95" w:type="default"/>
          <w:pgSz w:w="11906" w:h="16838"/>
          <w:pgMar w:top="400" w:right="490" w:bottom="883" w:left="490" w:header="0" w:footer="0" w:gutter="0"/>
          <w:cols w:space="720" w:num="1"/>
        </w:sectPr>
      </w:pPr>
    </w:p>
    <w:p w14:paraId="115CD73C">
      <w:pPr>
        <w:pStyle w:val="4"/>
        <w:spacing w:before="73" w:line="241" w:lineRule="auto"/>
        <w:ind w:left="7372"/>
        <w:rPr>
          <w:sz w:val="20"/>
          <w:szCs w:val="20"/>
        </w:rPr>
      </w:pPr>
      <w:r>
        <w:drawing>
          <wp:anchor distT="0" distB="0" distL="0" distR="0" simplePos="0" relativeHeight="251992064"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93088" behindDoc="0" locked="0" layoutInCell="0" allowOverlap="1">
            <wp:simplePos x="0" y="0"/>
            <wp:positionH relativeFrom="page">
              <wp:posOffset>311150</wp:posOffset>
            </wp:positionH>
            <wp:positionV relativeFrom="page">
              <wp:posOffset>0</wp:posOffset>
            </wp:positionV>
            <wp:extent cx="19050" cy="814070"/>
            <wp:effectExtent l="0" t="0" r="0" b="0"/>
            <wp:wrapNone/>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663282D">
      <w:pPr>
        <w:pStyle w:val="4"/>
        <w:spacing w:line="278" w:lineRule="auto"/>
      </w:pPr>
    </w:p>
    <w:p w14:paraId="17A47FC0">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24D29AB4">
      <w:pPr>
        <w:pStyle w:val="4"/>
        <w:spacing w:line="251" w:lineRule="auto"/>
      </w:pPr>
    </w:p>
    <w:p w14:paraId="3D1D5BC5">
      <w:pPr>
        <w:pStyle w:val="4"/>
        <w:spacing w:line="251" w:lineRule="auto"/>
      </w:pPr>
    </w:p>
    <w:p w14:paraId="4913A305">
      <w:pPr>
        <w:pStyle w:val="4"/>
        <w:spacing w:line="251" w:lineRule="auto"/>
      </w:pPr>
    </w:p>
    <w:p w14:paraId="01D5DE45">
      <w:pPr>
        <w:pStyle w:val="4"/>
        <w:spacing w:before="58" w:line="233" w:lineRule="exact"/>
        <w:ind w:left="374"/>
        <w:rPr>
          <w:sz w:val="20"/>
          <w:szCs w:val="20"/>
        </w:rPr>
      </w:pPr>
      <w:r>
        <w:rPr>
          <w:b/>
          <w:bCs/>
          <w:color w:val="57585A"/>
          <w:spacing w:val="-8"/>
          <w:position w:val="2"/>
          <w:sz w:val="20"/>
          <w:szCs w:val="20"/>
        </w:rPr>
        <w:t>Upstream Production</w:t>
      </w:r>
    </w:p>
    <w:p w14:paraId="0203C860">
      <w:pPr>
        <w:pStyle w:val="4"/>
        <w:spacing w:line="277" w:lineRule="auto"/>
      </w:pPr>
    </w:p>
    <w:p w14:paraId="5B4EDAB2">
      <w:pPr>
        <w:pStyle w:val="4"/>
        <w:spacing w:before="58" w:line="294" w:lineRule="auto"/>
        <w:ind w:left="369" w:right="530"/>
        <w:rPr>
          <w:sz w:val="20"/>
          <w:szCs w:val="20"/>
        </w:rPr>
      </w:pPr>
      <w:r>
        <w:rPr>
          <w:color w:val="57585A"/>
          <w:spacing w:val="-10"/>
          <w:sz w:val="20"/>
          <w:szCs w:val="20"/>
        </w:rPr>
        <w:t>Our supply-side forecasts are botto</w:t>
      </w:r>
      <w:r>
        <w:rPr>
          <w:color w:val="57585A"/>
          <w:spacing w:val="-11"/>
          <w:sz w:val="20"/>
          <w:szCs w:val="20"/>
        </w:rPr>
        <w:t>m up, aggregating individual projects (both greenfield and brownfield) up to the market level to</w:t>
      </w:r>
      <w:r>
        <w:rPr>
          <w:color w:val="57585A"/>
          <w:sz w:val="20"/>
          <w:szCs w:val="20"/>
        </w:rPr>
        <w:t xml:space="preserve"> </w:t>
      </w:r>
      <w:r>
        <w:rPr>
          <w:color w:val="57585A"/>
          <w:spacing w:val="-11"/>
          <w:sz w:val="20"/>
          <w:szCs w:val="20"/>
        </w:rPr>
        <w:t>derive a</w:t>
      </w:r>
      <w:r>
        <w:rPr>
          <w:color w:val="57585A"/>
          <w:spacing w:val="5"/>
          <w:sz w:val="20"/>
          <w:szCs w:val="20"/>
        </w:rPr>
        <w:t xml:space="preserve"> </w:t>
      </w:r>
      <w:r>
        <w:rPr>
          <w:color w:val="57585A"/>
          <w:spacing w:val="-11"/>
          <w:sz w:val="20"/>
          <w:szCs w:val="20"/>
        </w:rPr>
        <w:t>total number.</w:t>
      </w:r>
    </w:p>
    <w:p w14:paraId="159CA548">
      <w:pPr>
        <w:pStyle w:val="4"/>
        <w:spacing w:before="284" w:line="234" w:lineRule="auto"/>
        <w:ind w:left="361"/>
        <w:rPr>
          <w:sz w:val="20"/>
          <w:szCs w:val="20"/>
        </w:rPr>
      </w:pPr>
      <w:r>
        <w:rPr>
          <w:color w:val="57585A"/>
          <w:spacing w:val="-12"/>
          <w:sz w:val="20"/>
          <w:szCs w:val="20"/>
        </w:rPr>
        <w:t>We define oil product</w:t>
      </w:r>
      <w:r>
        <w:rPr>
          <w:color w:val="57585A"/>
          <w:spacing w:val="-13"/>
          <w:sz w:val="20"/>
          <w:szCs w:val="20"/>
        </w:rPr>
        <w:t>ion as crude oil, NGLs and lease condensates.</w:t>
      </w:r>
    </w:p>
    <w:p w14:paraId="5EE8B3E4">
      <w:pPr>
        <w:pStyle w:val="4"/>
        <w:spacing w:line="285" w:lineRule="auto"/>
      </w:pPr>
    </w:p>
    <w:p w14:paraId="604F65FF">
      <w:pPr>
        <w:pStyle w:val="4"/>
        <w:spacing w:before="58" w:line="231" w:lineRule="auto"/>
        <w:ind w:left="361"/>
        <w:rPr>
          <w:sz w:val="20"/>
          <w:szCs w:val="20"/>
        </w:rPr>
      </w:pPr>
      <w:r>
        <w:rPr>
          <w:color w:val="57585A"/>
          <w:spacing w:val="-12"/>
          <w:sz w:val="20"/>
          <w:szCs w:val="20"/>
        </w:rPr>
        <w:t>We define natural gas as dry natural gas, and exclude NGLs</w:t>
      </w:r>
      <w:r>
        <w:rPr>
          <w:color w:val="57585A"/>
          <w:spacing w:val="-13"/>
          <w:sz w:val="20"/>
          <w:szCs w:val="20"/>
        </w:rPr>
        <w:t>, which is captured under oil production.</w:t>
      </w:r>
    </w:p>
    <w:p w14:paraId="3C810729">
      <w:pPr>
        <w:pStyle w:val="4"/>
        <w:spacing w:line="287" w:lineRule="auto"/>
      </w:pPr>
    </w:p>
    <w:p w14:paraId="75BECD3E">
      <w:pPr>
        <w:pStyle w:val="4"/>
        <w:spacing w:before="58" w:line="231" w:lineRule="auto"/>
        <w:ind w:left="360"/>
        <w:rPr>
          <w:sz w:val="20"/>
          <w:szCs w:val="20"/>
        </w:rPr>
      </w:pPr>
      <w:r>
        <w:rPr>
          <w:color w:val="57585A"/>
          <w:spacing w:val="-12"/>
          <w:sz w:val="20"/>
          <w:szCs w:val="20"/>
        </w:rPr>
        <w:t>The data are mostly sourced from companies active in the market and the relevant regulatory agencie</w:t>
      </w:r>
      <w:r>
        <w:rPr>
          <w:color w:val="57585A"/>
          <w:spacing w:val="-13"/>
          <w:sz w:val="20"/>
          <w:szCs w:val="20"/>
        </w:rPr>
        <w:t>s such as the EIA and</w:t>
      </w:r>
      <w:r>
        <w:rPr>
          <w:color w:val="57585A"/>
          <w:spacing w:val="-23"/>
          <w:sz w:val="20"/>
          <w:szCs w:val="20"/>
        </w:rPr>
        <w:t xml:space="preserve"> </w:t>
      </w:r>
      <w:r>
        <w:rPr>
          <w:color w:val="57585A"/>
          <w:spacing w:val="-13"/>
          <w:sz w:val="20"/>
          <w:szCs w:val="20"/>
        </w:rPr>
        <w:t>JODI.</w:t>
      </w:r>
    </w:p>
    <w:p w14:paraId="4A093788">
      <w:pPr>
        <w:pStyle w:val="4"/>
        <w:spacing w:line="287" w:lineRule="auto"/>
      </w:pPr>
    </w:p>
    <w:p w14:paraId="168C90E9">
      <w:pPr>
        <w:pStyle w:val="4"/>
        <w:spacing w:before="57" w:line="273" w:lineRule="auto"/>
        <w:ind w:left="373" w:right="659" w:hanging="12"/>
        <w:rPr>
          <w:sz w:val="20"/>
          <w:szCs w:val="20"/>
        </w:rPr>
      </w:pPr>
      <w:r>
        <w:rPr>
          <w:color w:val="57585A"/>
          <w:spacing w:val="-11"/>
          <w:sz w:val="20"/>
          <w:szCs w:val="20"/>
        </w:rPr>
        <w:t>We factor in the production capacity as reported by the given company or agency, but</w:t>
      </w:r>
      <w:r>
        <w:rPr>
          <w:color w:val="57585A"/>
          <w:spacing w:val="-16"/>
          <w:sz w:val="20"/>
          <w:szCs w:val="20"/>
        </w:rPr>
        <w:t xml:space="preserve"> </w:t>
      </w:r>
      <w:r>
        <w:rPr>
          <w:color w:val="57585A"/>
          <w:spacing w:val="-11"/>
          <w:sz w:val="20"/>
          <w:szCs w:val="20"/>
        </w:rPr>
        <w:t>will make informed assumptions as to the</w:t>
      </w:r>
      <w:r>
        <w:rPr>
          <w:color w:val="57585A"/>
          <w:sz w:val="20"/>
          <w:szCs w:val="20"/>
        </w:rPr>
        <w:t xml:space="preserve"> </w:t>
      </w:r>
      <w:r>
        <w:rPr>
          <w:color w:val="57585A"/>
          <w:spacing w:val="-10"/>
          <w:sz w:val="20"/>
          <w:szCs w:val="20"/>
        </w:rPr>
        <w:t>project start-up date and commissio</w:t>
      </w:r>
      <w:r>
        <w:rPr>
          <w:color w:val="57585A"/>
          <w:spacing w:val="-11"/>
          <w:sz w:val="20"/>
          <w:szCs w:val="20"/>
        </w:rPr>
        <w:t>ning periods.</w:t>
      </w:r>
    </w:p>
    <w:p w14:paraId="150B589C">
      <w:pPr>
        <w:pStyle w:val="4"/>
        <w:spacing w:line="265" w:lineRule="auto"/>
      </w:pPr>
    </w:p>
    <w:p w14:paraId="659CA5FE">
      <w:pPr>
        <w:pStyle w:val="4"/>
        <w:spacing w:before="59" w:line="273" w:lineRule="auto"/>
        <w:ind w:left="373" w:right="752" w:firstLine="2"/>
        <w:rPr>
          <w:sz w:val="20"/>
          <w:szCs w:val="20"/>
        </w:rPr>
      </w:pPr>
      <w:r>
        <w:rPr>
          <w:color w:val="57585A"/>
          <w:spacing w:val="-11"/>
          <w:sz w:val="20"/>
          <w:szCs w:val="20"/>
        </w:rPr>
        <w:t xml:space="preserve">In general, we include only those </w:t>
      </w:r>
      <w:r>
        <w:rPr>
          <w:color w:val="57585A"/>
          <w:spacing w:val="-12"/>
          <w:sz w:val="20"/>
          <w:szCs w:val="20"/>
        </w:rPr>
        <w:t>projects that are post-FID. However, pre-FID projects that</w:t>
      </w:r>
      <w:r>
        <w:rPr>
          <w:color w:val="57585A"/>
          <w:spacing w:val="-15"/>
          <w:sz w:val="20"/>
          <w:szCs w:val="20"/>
        </w:rPr>
        <w:t xml:space="preserve"> </w:t>
      </w:r>
      <w:r>
        <w:rPr>
          <w:color w:val="57585A"/>
          <w:spacing w:val="-12"/>
          <w:sz w:val="20"/>
          <w:szCs w:val="20"/>
        </w:rPr>
        <w:t>we</w:t>
      </w:r>
      <w:r>
        <w:rPr>
          <w:color w:val="57585A"/>
          <w:spacing w:val="-16"/>
          <w:sz w:val="20"/>
          <w:szCs w:val="20"/>
        </w:rPr>
        <w:t xml:space="preserve"> </w:t>
      </w:r>
      <w:r>
        <w:rPr>
          <w:color w:val="57585A"/>
          <w:spacing w:val="-12"/>
          <w:sz w:val="20"/>
          <w:szCs w:val="20"/>
        </w:rPr>
        <w:t>view to have a high probability of</w:t>
      </w:r>
      <w:r>
        <w:rPr>
          <w:color w:val="57585A"/>
          <w:sz w:val="20"/>
          <w:szCs w:val="20"/>
        </w:rPr>
        <w:t xml:space="preserve"> </w:t>
      </w:r>
      <w:r>
        <w:rPr>
          <w:color w:val="57585A"/>
          <w:spacing w:val="-10"/>
          <w:sz w:val="20"/>
          <w:szCs w:val="20"/>
        </w:rPr>
        <w:t>progressing</w:t>
      </w:r>
      <w:r>
        <w:rPr>
          <w:color w:val="57585A"/>
          <w:spacing w:val="-16"/>
          <w:sz w:val="20"/>
          <w:szCs w:val="20"/>
        </w:rPr>
        <w:t xml:space="preserve"> </w:t>
      </w:r>
      <w:r>
        <w:rPr>
          <w:color w:val="57585A"/>
          <w:spacing w:val="-10"/>
          <w:sz w:val="20"/>
          <w:szCs w:val="20"/>
        </w:rPr>
        <w:t>will also be included. The li</w:t>
      </w:r>
      <w:r>
        <w:rPr>
          <w:color w:val="57585A"/>
          <w:spacing w:val="-11"/>
          <w:sz w:val="20"/>
          <w:szCs w:val="20"/>
        </w:rPr>
        <w:t>kelihood of</w:t>
      </w:r>
      <w:r>
        <w:rPr>
          <w:color w:val="57585A"/>
          <w:spacing w:val="-16"/>
          <w:sz w:val="20"/>
          <w:szCs w:val="20"/>
        </w:rPr>
        <w:t xml:space="preserve"> </w:t>
      </w:r>
      <w:r>
        <w:rPr>
          <w:color w:val="57585A"/>
          <w:spacing w:val="-11"/>
          <w:sz w:val="20"/>
          <w:szCs w:val="20"/>
        </w:rPr>
        <w:t>a project progressing</w:t>
      </w:r>
      <w:r>
        <w:rPr>
          <w:color w:val="57585A"/>
          <w:spacing w:val="-16"/>
          <w:sz w:val="20"/>
          <w:szCs w:val="20"/>
        </w:rPr>
        <w:t xml:space="preserve"> </w:t>
      </w:r>
      <w:r>
        <w:rPr>
          <w:color w:val="57585A"/>
          <w:spacing w:val="-11"/>
          <w:sz w:val="20"/>
          <w:szCs w:val="20"/>
        </w:rPr>
        <w:t>will be decided on a number offactors, including:</w:t>
      </w:r>
    </w:p>
    <w:p w14:paraId="675403EF">
      <w:pPr>
        <w:pStyle w:val="4"/>
        <w:spacing w:line="265" w:lineRule="auto"/>
      </w:pPr>
    </w:p>
    <w:p w14:paraId="563CF324">
      <w:pPr>
        <w:pStyle w:val="4"/>
        <w:spacing w:before="57" w:line="234" w:lineRule="auto"/>
        <w:ind w:left="357"/>
        <w:rPr>
          <w:sz w:val="20"/>
          <w:szCs w:val="20"/>
        </w:rPr>
      </w:pPr>
      <w:r>
        <w:rPr>
          <w:color w:val="33CCFF"/>
          <w:spacing w:val="-9"/>
          <w:sz w:val="20"/>
          <w:szCs w:val="20"/>
        </w:rPr>
        <w:t xml:space="preserve">•   </w:t>
      </w:r>
      <w:r>
        <w:rPr>
          <w:color w:val="57585A"/>
          <w:spacing w:val="-9"/>
          <w:sz w:val="20"/>
          <w:szCs w:val="20"/>
        </w:rPr>
        <w:t>The economics of</w:t>
      </w:r>
      <w:r>
        <w:rPr>
          <w:color w:val="57585A"/>
          <w:spacing w:val="-17"/>
          <w:sz w:val="20"/>
          <w:szCs w:val="20"/>
        </w:rPr>
        <w:t xml:space="preserve"> </w:t>
      </w:r>
      <w:r>
        <w:rPr>
          <w:color w:val="57585A"/>
          <w:spacing w:val="-9"/>
          <w:sz w:val="20"/>
          <w:szCs w:val="20"/>
        </w:rPr>
        <w:t>a give</w:t>
      </w:r>
      <w:r>
        <w:rPr>
          <w:color w:val="57585A"/>
          <w:spacing w:val="-10"/>
          <w:sz w:val="20"/>
          <w:szCs w:val="20"/>
        </w:rPr>
        <w:t>n project</w:t>
      </w:r>
    </w:p>
    <w:p w14:paraId="61EE2EA9">
      <w:pPr>
        <w:pStyle w:val="4"/>
        <w:spacing w:before="56" w:line="234" w:lineRule="auto"/>
        <w:ind w:left="357"/>
        <w:rPr>
          <w:sz w:val="20"/>
          <w:szCs w:val="20"/>
        </w:rPr>
      </w:pPr>
      <w:r>
        <w:rPr>
          <w:color w:val="33CCFF"/>
          <w:spacing w:val="-10"/>
          <w:sz w:val="20"/>
          <w:szCs w:val="20"/>
        </w:rPr>
        <w:t xml:space="preserve">•   </w:t>
      </w:r>
      <w:r>
        <w:rPr>
          <w:color w:val="57585A"/>
          <w:spacing w:val="-10"/>
          <w:sz w:val="20"/>
          <w:szCs w:val="20"/>
        </w:rPr>
        <w:t>The prevailing oil or natural gas</w:t>
      </w:r>
      <w:r>
        <w:rPr>
          <w:color w:val="57585A"/>
          <w:spacing w:val="-1"/>
          <w:sz w:val="20"/>
          <w:szCs w:val="20"/>
        </w:rPr>
        <w:t xml:space="preserve"> </w:t>
      </w:r>
      <w:r>
        <w:rPr>
          <w:color w:val="57585A"/>
          <w:spacing w:val="-10"/>
          <w:sz w:val="20"/>
          <w:szCs w:val="20"/>
        </w:rPr>
        <w:t>p</w:t>
      </w:r>
      <w:r>
        <w:rPr>
          <w:color w:val="57585A"/>
          <w:spacing w:val="-11"/>
          <w:sz w:val="20"/>
          <w:szCs w:val="20"/>
        </w:rPr>
        <w:t>rice</w:t>
      </w:r>
    </w:p>
    <w:p w14:paraId="64917097">
      <w:pPr>
        <w:pStyle w:val="4"/>
        <w:spacing w:before="56" w:line="234" w:lineRule="auto"/>
        <w:ind w:left="357"/>
        <w:rPr>
          <w:sz w:val="20"/>
          <w:szCs w:val="20"/>
        </w:rPr>
      </w:pPr>
      <w:r>
        <w:rPr>
          <w:color w:val="33CCFF"/>
          <w:spacing w:val="-9"/>
          <w:sz w:val="20"/>
          <w:szCs w:val="20"/>
        </w:rPr>
        <w:t xml:space="preserve">•   </w:t>
      </w:r>
      <w:r>
        <w:rPr>
          <w:color w:val="57585A"/>
          <w:spacing w:val="-9"/>
          <w:sz w:val="20"/>
          <w:szCs w:val="20"/>
        </w:rPr>
        <w:t>The political and regulatory environment</w:t>
      </w:r>
    </w:p>
    <w:p w14:paraId="7975BBAB">
      <w:pPr>
        <w:pStyle w:val="4"/>
        <w:spacing w:before="56" w:line="234" w:lineRule="auto"/>
        <w:ind w:left="357"/>
        <w:rPr>
          <w:sz w:val="20"/>
          <w:szCs w:val="20"/>
        </w:rPr>
      </w:pPr>
      <w:r>
        <w:rPr>
          <w:color w:val="33CCFF"/>
          <w:spacing w:val="-9"/>
          <w:sz w:val="20"/>
          <w:szCs w:val="20"/>
        </w:rPr>
        <w:t xml:space="preserve">•   </w:t>
      </w:r>
      <w:r>
        <w:rPr>
          <w:color w:val="57585A"/>
          <w:spacing w:val="-9"/>
          <w:sz w:val="20"/>
          <w:szCs w:val="20"/>
        </w:rPr>
        <w:t>Assumptions as to the capital</w:t>
      </w:r>
      <w:r>
        <w:rPr>
          <w:color w:val="57585A"/>
          <w:spacing w:val="-10"/>
          <w:sz w:val="20"/>
          <w:szCs w:val="20"/>
        </w:rPr>
        <w:t xml:space="preserve"> allocation process of</w:t>
      </w:r>
      <w:r>
        <w:rPr>
          <w:color w:val="57585A"/>
          <w:spacing w:val="-21"/>
          <w:sz w:val="20"/>
          <w:szCs w:val="20"/>
        </w:rPr>
        <w:t xml:space="preserve"> </w:t>
      </w:r>
      <w:r>
        <w:rPr>
          <w:color w:val="57585A"/>
          <w:spacing w:val="-10"/>
          <w:sz w:val="20"/>
          <w:szCs w:val="20"/>
        </w:rPr>
        <w:t>the equity partners</w:t>
      </w:r>
    </w:p>
    <w:p w14:paraId="6B58C929">
      <w:pPr>
        <w:pStyle w:val="4"/>
        <w:spacing w:line="286" w:lineRule="auto"/>
      </w:pPr>
    </w:p>
    <w:p w14:paraId="47635BFB">
      <w:pPr>
        <w:pStyle w:val="4"/>
        <w:spacing w:before="57" w:line="279" w:lineRule="auto"/>
        <w:ind w:left="359" w:right="371" w:firstLine="16"/>
        <w:rPr>
          <w:sz w:val="20"/>
          <w:szCs w:val="20"/>
        </w:rPr>
      </w:pPr>
      <w:r>
        <w:rPr>
          <w:color w:val="57585A"/>
          <w:spacing w:val="-11"/>
          <w:sz w:val="20"/>
          <w:szCs w:val="20"/>
        </w:rPr>
        <w:t>Legacy production (production beginning in any</w:t>
      </w:r>
      <w:r>
        <w:rPr>
          <w:color w:val="57585A"/>
          <w:spacing w:val="-16"/>
          <w:sz w:val="20"/>
          <w:szCs w:val="20"/>
        </w:rPr>
        <w:t xml:space="preserve"> </w:t>
      </w:r>
      <w:r>
        <w:rPr>
          <w:color w:val="57585A"/>
          <w:spacing w:val="-11"/>
          <w:sz w:val="20"/>
          <w:szCs w:val="20"/>
        </w:rPr>
        <w:t>year prior to the forecast period) is forecast out, as per historical trends. How</w:t>
      </w:r>
      <w:r>
        <w:rPr>
          <w:color w:val="57585A"/>
          <w:spacing w:val="-12"/>
          <w:sz w:val="20"/>
          <w:szCs w:val="20"/>
        </w:rPr>
        <w:t>ever,</w:t>
      </w:r>
      <w:r>
        <w:rPr>
          <w:color w:val="57585A"/>
          <w:sz w:val="20"/>
          <w:szCs w:val="20"/>
        </w:rPr>
        <w:t xml:space="preserve"> </w:t>
      </w:r>
      <w:r>
        <w:rPr>
          <w:color w:val="57585A"/>
          <w:spacing w:val="-11"/>
          <w:sz w:val="20"/>
          <w:szCs w:val="20"/>
        </w:rPr>
        <w:t>we make adjustments to the assumed decline rate, based on historical decline rates, forecast investme</w:t>
      </w:r>
      <w:r>
        <w:rPr>
          <w:color w:val="57585A"/>
          <w:spacing w:val="-12"/>
          <w:sz w:val="20"/>
          <w:szCs w:val="20"/>
        </w:rPr>
        <w:t>nt into enhanced oil recovery</w:t>
      </w:r>
      <w:r>
        <w:rPr>
          <w:color w:val="57585A"/>
          <w:sz w:val="20"/>
          <w:szCs w:val="20"/>
        </w:rPr>
        <w:t xml:space="preserve"> </w:t>
      </w:r>
      <w:r>
        <w:rPr>
          <w:color w:val="57585A"/>
          <w:spacing w:val="-10"/>
          <w:sz w:val="20"/>
          <w:szCs w:val="20"/>
        </w:rPr>
        <w:t>or legacy field redevelopment, technological developmen</w:t>
      </w:r>
      <w:r>
        <w:rPr>
          <w:color w:val="57585A"/>
          <w:spacing w:val="-11"/>
          <w:sz w:val="20"/>
          <w:szCs w:val="20"/>
        </w:rPr>
        <w:t>ts and other relevant factors.</w:t>
      </w:r>
    </w:p>
    <w:p w14:paraId="1795BF34">
      <w:pPr>
        <w:pStyle w:val="4"/>
        <w:spacing w:line="265" w:lineRule="auto"/>
      </w:pPr>
    </w:p>
    <w:p w14:paraId="49252323">
      <w:pPr>
        <w:pStyle w:val="4"/>
        <w:spacing w:before="59" w:line="231" w:lineRule="auto"/>
        <w:ind w:left="376"/>
        <w:rPr>
          <w:sz w:val="20"/>
          <w:szCs w:val="20"/>
        </w:rPr>
      </w:pPr>
      <w:r>
        <w:rPr>
          <w:color w:val="57585A"/>
          <w:spacing w:val="-11"/>
          <w:sz w:val="20"/>
          <w:szCs w:val="20"/>
        </w:rPr>
        <w:t>Production is expressed in b/d for oil and cubic metres for natur</w:t>
      </w:r>
      <w:r>
        <w:rPr>
          <w:color w:val="57585A"/>
          <w:spacing w:val="-12"/>
          <w:sz w:val="20"/>
          <w:szCs w:val="20"/>
        </w:rPr>
        <w:t>al gas.</w:t>
      </w:r>
    </w:p>
    <w:p w14:paraId="397EE1A3">
      <w:pPr>
        <w:pStyle w:val="4"/>
        <w:spacing w:line="285" w:lineRule="auto"/>
      </w:pPr>
    </w:p>
    <w:p w14:paraId="29F1466F">
      <w:pPr>
        <w:pStyle w:val="4"/>
        <w:spacing w:line="285" w:lineRule="auto"/>
      </w:pPr>
    </w:p>
    <w:p w14:paraId="735DFCF3">
      <w:pPr>
        <w:pStyle w:val="4"/>
        <w:spacing w:before="57" w:line="241" w:lineRule="auto"/>
        <w:ind w:left="375"/>
        <w:rPr>
          <w:sz w:val="20"/>
          <w:szCs w:val="20"/>
        </w:rPr>
      </w:pPr>
      <w:r>
        <w:rPr>
          <w:b/>
          <w:bCs/>
          <w:color w:val="57585A"/>
          <w:spacing w:val="-10"/>
          <w:sz w:val="20"/>
          <w:szCs w:val="20"/>
        </w:rPr>
        <w:t>Refining Capacity</w:t>
      </w:r>
    </w:p>
    <w:p w14:paraId="209E23E2">
      <w:pPr>
        <w:pStyle w:val="4"/>
        <w:spacing w:line="281" w:lineRule="auto"/>
      </w:pPr>
    </w:p>
    <w:p w14:paraId="765F489A">
      <w:pPr>
        <w:pStyle w:val="4"/>
        <w:spacing w:before="58" w:line="273" w:lineRule="auto"/>
        <w:ind w:left="372" w:right="724" w:hanging="3"/>
        <w:rPr>
          <w:sz w:val="20"/>
          <w:szCs w:val="20"/>
        </w:rPr>
      </w:pPr>
      <w:r>
        <w:rPr>
          <w:color w:val="57585A"/>
          <w:spacing w:val="-10"/>
          <w:sz w:val="20"/>
          <w:szCs w:val="20"/>
        </w:rPr>
        <w:t>Our refining capacity forecasts are bottom up, aggregating indiv</w:t>
      </w:r>
      <w:r>
        <w:rPr>
          <w:color w:val="57585A"/>
          <w:spacing w:val="-11"/>
          <w:sz w:val="20"/>
          <w:szCs w:val="20"/>
        </w:rPr>
        <w:t>idual projects (both greenfield and brownfield) up to the market</w:t>
      </w:r>
      <w:r>
        <w:rPr>
          <w:color w:val="57585A"/>
          <w:sz w:val="20"/>
          <w:szCs w:val="20"/>
        </w:rPr>
        <w:t xml:space="preserve"> </w:t>
      </w:r>
      <w:r>
        <w:rPr>
          <w:color w:val="57585A"/>
          <w:spacing w:val="-12"/>
          <w:sz w:val="20"/>
          <w:szCs w:val="20"/>
        </w:rPr>
        <w:t>level and consider nameplate capacity.</w:t>
      </w:r>
    </w:p>
    <w:p w14:paraId="3FBF3A9D">
      <w:pPr>
        <w:pStyle w:val="4"/>
        <w:spacing w:line="265" w:lineRule="auto"/>
      </w:pPr>
    </w:p>
    <w:p w14:paraId="664162C4">
      <w:pPr>
        <w:pStyle w:val="4"/>
        <w:spacing w:before="58" w:line="231" w:lineRule="auto"/>
        <w:ind w:left="360"/>
        <w:rPr>
          <w:sz w:val="20"/>
          <w:szCs w:val="20"/>
        </w:rPr>
      </w:pPr>
      <w:r>
        <w:rPr>
          <w:color w:val="57585A"/>
          <w:spacing w:val="-11"/>
          <w:sz w:val="20"/>
          <w:szCs w:val="20"/>
        </w:rPr>
        <w:t>The data are mostly sourced from companies active in the market and the relevant regulatory</w:t>
      </w:r>
      <w:r>
        <w:rPr>
          <w:color w:val="57585A"/>
          <w:spacing w:val="-12"/>
          <w:sz w:val="20"/>
          <w:szCs w:val="20"/>
        </w:rPr>
        <w:t xml:space="preserve"> agencies.</w:t>
      </w:r>
    </w:p>
    <w:p w14:paraId="381EFF51">
      <w:pPr>
        <w:pStyle w:val="4"/>
        <w:spacing w:line="287" w:lineRule="auto"/>
      </w:pPr>
    </w:p>
    <w:p w14:paraId="62C7F249">
      <w:pPr>
        <w:pStyle w:val="4"/>
        <w:spacing w:before="58" w:line="273" w:lineRule="auto"/>
        <w:ind w:left="363" w:right="434" w:hanging="2"/>
        <w:rPr>
          <w:sz w:val="20"/>
          <w:szCs w:val="20"/>
        </w:rPr>
      </w:pPr>
      <w:r>
        <w:rPr>
          <w:color w:val="57585A"/>
          <w:spacing w:val="-11"/>
          <w:sz w:val="20"/>
          <w:szCs w:val="20"/>
        </w:rPr>
        <w:t>We factor in the crude throughput capacity as reported by the given company or agency, but</w:t>
      </w:r>
      <w:r>
        <w:rPr>
          <w:color w:val="57585A"/>
          <w:spacing w:val="-14"/>
          <w:sz w:val="20"/>
          <w:szCs w:val="20"/>
        </w:rPr>
        <w:t xml:space="preserve"> </w:t>
      </w:r>
      <w:r>
        <w:rPr>
          <w:color w:val="57585A"/>
          <w:spacing w:val="-11"/>
          <w:sz w:val="20"/>
          <w:szCs w:val="20"/>
        </w:rPr>
        <w:t>will make informed assumptions as to</w:t>
      </w:r>
      <w:r>
        <w:rPr>
          <w:color w:val="57585A"/>
          <w:sz w:val="20"/>
          <w:szCs w:val="20"/>
        </w:rPr>
        <w:t xml:space="preserve"> </w:t>
      </w:r>
      <w:r>
        <w:rPr>
          <w:color w:val="57585A"/>
          <w:spacing w:val="-10"/>
          <w:sz w:val="20"/>
          <w:szCs w:val="20"/>
        </w:rPr>
        <w:t>the project start-up date and commissioning periods. Th</w:t>
      </w:r>
      <w:r>
        <w:rPr>
          <w:color w:val="57585A"/>
          <w:spacing w:val="-11"/>
          <w:sz w:val="20"/>
          <w:szCs w:val="20"/>
        </w:rPr>
        <w:t>e capacity forecasts cover crude distillation units (otherwise known as</w:t>
      </w:r>
    </w:p>
    <w:p w14:paraId="7F5A9CA0">
      <w:pPr>
        <w:pStyle w:val="4"/>
        <w:spacing w:before="37" w:line="231" w:lineRule="auto"/>
        <w:ind w:left="367"/>
        <w:rPr>
          <w:sz w:val="20"/>
          <w:szCs w:val="20"/>
        </w:rPr>
      </w:pPr>
      <w:r>
        <w:rPr>
          <w:color w:val="57585A"/>
          <w:spacing w:val="-11"/>
          <w:sz w:val="20"/>
          <w:szCs w:val="20"/>
        </w:rPr>
        <w:t>atmospheric distillation units). They do not cover secondary processing capacity.</w:t>
      </w:r>
    </w:p>
    <w:p w14:paraId="0A6D45B7">
      <w:pPr>
        <w:pStyle w:val="4"/>
        <w:spacing w:line="287" w:lineRule="auto"/>
      </w:pPr>
    </w:p>
    <w:p w14:paraId="64F3E6EE">
      <w:pPr>
        <w:pStyle w:val="4"/>
        <w:spacing w:before="58" w:line="273" w:lineRule="auto"/>
        <w:ind w:left="373" w:right="752" w:firstLine="2"/>
        <w:rPr>
          <w:sz w:val="20"/>
          <w:szCs w:val="20"/>
        </w:rPr>
      </w:pPr>
      <w:r>
        <w:rPr>
          <w:color w:val="57585A"/>
          <w:spacing w:val="-11"/>
          <w:sz w:val="20"/>
          <w:szCs w:val="20"/>
        </w:rPr>
        <w:t xml:space="preserve">In general, we include only those </w:t>
      </w:r>
      <w:r>
        <w:rPr>
          <w:color w:val="57585A"/>
          <w:spacing w:val="-12"/>
          <w:sz w:val="20"/>
          <w:szCs w:val="20"/>
        </w:rPr>
        <w:t>projects that are post-FID. However, pre-FID projects that</w:t>
      </w:r>
      <w:r>
        <w:rPr>
          <w:color w:val="57585A"/>
          <w:spacing w:val="-15"/>
          <w:sz w:val="20"/>
          <w:szCs w:val="20"/>
        </w:rPr>
        <w:t xml:space="preserve"> </w:t>
      </w:r>
      <w:r>
        <w:rPr>
          <w:color w:val="57585A"/>
          <w:spacing w:val="-12"/>
          <w:sz w:val="20"/>
          <w:szCs w:val="20"/>
        </w:rPr>
        <w:t>we</w:t>
      </w:r>
      <w:r>
        <w:rPr>
          <w:color w:val="57585A"/>
          <w:spacing w:val="-16"/>
          <w:sz w:val="20"/>
          <w:szCs w:val="20"/>
        </w:rPr>
        <w:t xml:space="preserve"> </w:t>
      </w:r>
      <w:r>
        <w:rPr>
          <w:color w:val="57585A"/>
          <w:spacing w:val="-12"/>
          <w:sz w:val="20"/>
          <w:szCs w:val="20"/>
        </w:rPr>
        <w:t>view to have a high probability of</w:t>
      </w:r>
      <w:r>
        <w:rPr>
          <w:color w:val="57585A"/>
          <w:sz w:val="20"/>
          <w:szCs w:val="20"/>
        </w:rPr>
        <w:t xml:space="preserve"> </w:t>
      </w:r>
      <w:r>
        <w:rPr>
          <w:color w:val="57585A"/>
          <w:spacing w:val="-11"/>
          <w:sz w:val="20"/>
          <w:szCs w:val="20"/>
        </w:rPr>
        <w:t>progressing</w:t>
      </w:r>
      <w:r>
        <w:rPr>
          <w:color w:val="57585A"/>
          <w:spacing w:val="-15"/>
          <w:sz w:val="20"/>
          <w:szCs w:val="20"/>
        </w:rPr>
        <w:t xml:space="preserve"> </w:t>
      </w:r>
      <w:r>
        <w:rPr>
          <w:color w:val="57585A"/>
          <w:spacing w:val="-11"/>
          <w:sz w:val="20"/>
          <w:szCs w:val="20"/>
        </w:rPr>
        <w:t>will also b</w:t>
      </w:r>
      <w:r>
        <w:rPr>
          <w:color w:val="57585A"/>
          <w:spacing w:val="-12"/>
          <w:sz w:val="20"/>
          <w:szCs w:val="20"/>
        </w:rPr>
        <w:t>e included.</w:t>
      </w:r>
    </w:p>
    <w:p w14:paraId="6617C13F">
      <w:pPr>
        <w:pStyle w:val="4"/>
        <w:spacing w:line="265" w:lineRule="auto"/>
      </w:pPr>
    </w:p>
    <w:p w14:paraId="0374BF92">
      <w:pPr>
        <w:pStyle w:val="4"/>
        <w:spacing w:before="57" w:line="234" w:lineRule="auto"/>
        <w:ind w:left="376"/>
        <w:rPr>
          <w:sz w:val="20"/>
          <w:szCs w:val="20"/>
        </w:rPr>
      </w:pPr>
      <w:r>
        <w:rPr>
          <w:color w:val="57585A"/>
          <w:spacing w:val="-11"/>
          <w:sz w:val="20"/>
          <w:szCs w:val="20"/>
        </w:rPr>
        <w:t>It is expressed in b/d.</w:t>
      </w:r>
    </w:p>
    <w:p w14:paraId="2B2F097B">
      <w:pPr>
        <w:spacing w:line="234" w:lineRule="auto"/>
        <w:rPr>
          <w:sz w:val="20"/>
          <w:szCs w:val="20"/>
        </w:rPr>
        <w:sectPr>
          <w:footerReference r:id="rId96" w:type="default"/>
          <w:pgSz w:w="11906" w:h="16838"/>
          <w:pgMar w:top="400" w:right="490" w:bottom="883" w:left="490" w:header="0" w:footer="0" w:gutter="0"/>
          <w:cols w:space="720" w:num="1"/>
        </w:sectPr>
      </w:pPr>
    </w:p>
    <w:p w14:paraId="60389B1E">
      <w:pPr>
        <w:pStyle w:val="4"/>
        <w:spacing w:before="73" w:line="241" w:lineRule="auto"/>
        <w:ind w:left="7372"/>
        <w:rPr>
          <w:sz w:val="20"/>
          <w:szCs w:val="20"/>
        </w:rPr>
      </w:pPr>
      <w:r>
        <w:drawing>
          <wp:anchor distT="0" distB="0" distL="0" distR="0" simplePos="0" relativeHeight="25199411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95136" behindDoc="0" locked="0" layoutInCell="0" allowOverlap="1">
            <wp:simplePos x="0" y="0"/>
            <wp:positionH relativeFrom="page">
              <wp:posOffset>311150</wp:posOffset>
            </wp:positionH>
            <wp:positionV relativeFrom="page">
              <wp:posOffset>0</wp:posOffset>
            </wp:positionV>
            <wp:extent cx="19050" cy="814070"/>
            <wp:effectExtent l="0" t="0" r="0" b="0"/>
            <wp:wrapNone/>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08B5FB54">
      <w:pPr>
        <w:pStyle w:val="4"/>
        <w:spacing w:line="278" w:lineRule="auto"/>
      </w:pPr>
    </w:p>
    <w:p w14:paraId="355D801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A433DAD">
      <w:pPr>
        <w:pStyle w:val="4"/>
        <w:spacing w:line="251" w:lineRule="auto"/>
      </w:pPr>
    </w:p>
    <w:p w14:paraId="7B4BBB62">
      <w:pPr>
        <w:pStyle w:val="4"/>
        <w:spacing w:line="251" w:lineRule="auto"/>
      </w:pPr>
    </w:p>
    <w:p w14:paraId="5138AFEC">
      <w:pPr>
        <w:pStyle w:val="4"/>
        <w:spacing w:line="251" w:lineRule="auto"/>
      </w:pPr>
    </w:p>
    <w:p w14:paraId="7168E805">
      <w:pPr>
        <w:pStyle w:val="4"/>
        <w:spacing w:before="58" w:line="241" w:lineRule="auto"/>
        <w:ind w:left="375"/>
        <w:rPr>
          <w:sz w:val="20"/>
          <w:szCs w:val="20"/>
        </w:rPr>
      </w:pPr>
      <w:r>
        <w:rPr>
          <w:b/>
          <w:bCs/>
          <w:color w:val="57585A"/>
          <w:spacing w:val="-8"/>
          <w:sz w:val="20"/>
          <w:szCs w:val="20"/>
        </w:rPr>
        <w:t>Refining Capacity Utilisation</w:t>
      </w:r>
    </w:p>
    <w:p w14:paraId="0BDE32CB">
      <w:pPr>
        <w:pStyle w:val="4"/>
        <w:spacing w:line="281" w:lineRule="auto"/>
      </w:pPr>
    </w:p>
    <w:p w14:paraId="78C042B6">
      <w:pPr>
        <w:pStyle w:val="4"/>
        <w:spacing w:before="57" w:line="273" w:lineRule="auto"/>
        <w:ind w:left="362" w:right="581" w:hanging="2"/>
        <w:rPr>
          <w:sz w:val="20"/>
          <w:szCs w:val="20"/>
        </w:rPr>
      </w:pPr>
      <w:r>
        <w:rPr>
          <w:color w:val="57585A"/>
          <w:spacing w:val="-11"/>
          <w:sz w:val="20"/>
          <w:szCs w:val="20"/>
        </w:rPr>
        <w:t>This is a derived indicator. The value</w:t>
      </w:r>
      <w:r>
        <w:rPr>
          <w:color w:val="57585A"/>
          <w:spacing w:val="-12"/>
          <w:sz w:val="20"/>
          <w:szCs w:val="20"/>
        </w:rPr>
        <w:t xml:space="preserve"> is calculated as refined fuels production as a proportion of nameplate refining capacity. Given</w:t>
      </w:r>
      <w:r>
        <w:rPr>
          <w:color w:val="57585A"/>
          <w:sz w:val="20"/>
          <w:szCs w:val="20"/>
        </w:rPr>
        <w:t xml:space="preserve"> </w:t>
      </w:r>
      <w:r>
        <w:rPr>
          <w:color w:val="57585A"/>
          <w:spacing w:val="-11"/>
          <w:sz w:val="20"/>
          <w:szCs w:val="20"/>
        </w:rPr>
        <w:t>the lower density of refined fuels, a refinery running at 100% of its nameplate (crude) capacity</w:t>
      </w:r>
      <w:r>
        <w:rPr>
          <w:color w:val="57585A"/>
          <w:spacing w:val="-15"/>
          <w:sz w:val="20"/>
          <w:szCs w:val="20"/>
        </w:rPr>
        <w:t xml:space="preserve"> </w:t>
      </w:r>
      <w:r>
        <w:rPr>
          <w:color w:val="57585A"/>
          <w:spacing w:val="-11"/>
          <w:sz w:val="20"/>
          <w:szCs w:val="20"/>
        </w:rPr>
        <w:t xml:space="preserve">will operate </w:t>
      </w:r>
      <w:r>
        <w:rPr>
          <w:color w:val="57585A"/>
          <w:spacing w:val="-12"/>
          <w:sz w:val="20"/>
          <w:szCs w:val="20"/>
        </w:rPr>
        <w:t>at above 100%,</w:t>
      </w:r>
    </w:p>
    <w:p w14:paraId="778A7087">
      <w:pPr>
        <w:pStyle w:val="4"/>
        <w:spacing w:before="36" w:line="273" w:lineRule="auto"/>
        <w:ind w:left="372" w:right="625" w:hanging="5"/>
        <w:rPr>
          <w:sz w:val="20"/>
          <w:szCs w:val="20"/>
        </w:rPr>
      </w:pPr>
      <w:r>
        <w:rPr>
          <w:color w:val="57585A"/>
          <w:spacing w:val="-10"/>
          <w:sz w:val="20"/>
          <w:szCs w:val="20"/>
        </w:rPr>
        <w:t>according to this indicator. Process optimisation and debottlenecking,</w:t>
      </w:r>
      <w:r>
        <w:rPr>
          <w:color w:val="57585A"/>
          <w:spacing w:val="-16"/>
          <w:sz w:val="20"/>
          <w:szCs w:val="20"/>
        </w:rPr>
        <w:t xml:space="preserve"> </w:t>
      </w:r>
      <w:r>
        <w:rPr>
          <w:color w:val="57585A"/>
          <w:spacing w:val="-10"/>
          <w:sz w:val="20"/>
          <w:szCs w:val="20"/>
        </w:rPr>
        <w:t>which</w:t>
      </w:r>
      <w:r>
        <w:rPr>
          <w:color w:val="57585A"/>
          <w:spacing w:val="-15"/>
          <w:sz w:val="20"/>
          <w:szCs w:val="20"/>
        </w:rPr>
        <w:t xml:space="preserve"> </w:t>
      </w:r>
      <w:r>
        <w:rPr>
          <w:color w:val="57585A"/>
          <w:spacing w:val="-10"/>
          <w:sz w:val="20"/>
          <w:szCs w:val="20"/>
        </w:rPr>
        <w:t>will increase the crude throughp</w:t>
      </w:r>
      <w:r>
        <w:rPr>
          <w:color w:val="57585A"/>
          <w:spacing w:val="-11"/>
          <w:sz w:val="20"/>
          <w:szCs w:val="20"/>
        </w:rPr>
        <w:t>ut at a given facility</w:t>
      </w:r>
      <w:r>
        <w:rPr>
          <w:color w:val="57585A"/>
          <w:sz w:val="20"/>
          <w:szCs w:val="20"/>
        </w:rPr>
        <w:t xml:space="preserve"> </w:t>
      </w:r>
      <w:r>
        <w:rPr>
          <w:color w:val="57585A"/>
          <w:spacing w:val="-10"/>
          <w:sz w:val="20"/>
          <w:szCs w:val="20"/>
        </w:rPr>
        <w:t>but</w:t>
      </w:r>
      <w:r>
        <w:rPr>
          <w:color w:val="57585A"/>
          <w:spacing w:val="-15"/>
          <w:sz w:val="20"/>
          <w:szCs w:val="20"/>
        </w:rPr>
        <w:t xml:space="preserve"> </w:t>
      </w:r>
      <w:r>
        <w:rPr>
          <w:color w:val="57585A"/>
          <w:spacing w:val="-10"/>
          <w:sz w:val="20"/>
          <w:szCs w:val="20"/>
        </w:rPr>
        <w:t>will not be reflected i</w:t>
      </w:r>
      <w:r>
        <w:rPr>
          <w:color w:val="57585A"/>
          <w:spacing w:val="-11"/>
          <w:sz w:val="20"/>
          <w:szCs w:val="20"/>
        </w:rPr>
        <w:t>n our headline refining capacity forecast, can also lead to over-utilisation. In general, new and</w:t>
      </w:r>
      <w:r>
        <w:rPr>
          <w:color w:val="57585A"/>
          <w:spacing w:val="-2"/>
          <w:sz w:val="20"/>
          <w:szCs w:val="20"/>
        </w:rPr>
        <w:t xml:space="preserve"> </w:t>
      </w:r>
      <w:r>
        <w:rPr>
          <w:color w:val="57585A"/>
          <w:spacing w:val="-11"/>
          <w:sz w:val="20"/>
          <w:szCs w:val="20"/>
        </w:rPr>
        <w:t>more</w:t>
      </w:r>
    </w:p>
    <w:p w14:paraId="21DC88EC">
      <w:pPr>
        <w:pStyle w:val="4"/>
        <w:spacing w:before="37" w:line="231" w:lineRule="auto"/>
        <w:ind w:left="369"/>
        <w:rPr>
          <w:sz w:val="20"/>
          <w:szCs w:val="20"/>
        </w:rPr>
      </w:pPr>
      <w:r>
        <w:rPr>
          <w:color w:val="57585A"/>
          <w:spacing w:val="-10"/>
          <w:sz w:val="20"/>
          <w:szCs w:val="20"/>
        </w:rPr>
        <w:t>complex facilities</w:t>
      </w:r>
      <w:r>
        <w:rPr>
          <w:color w:val="57585A"/>
          <w:spacing w:val="-16"/>
          <w:sz w:val="20"/>
          <w:szCs w:val="20"/>
        </w:rPr>
        <w:t xml:space="preserve"> </w:t>
      </w:r>
      <w:r>
        <w:rPr>
          <w:color w:val="57585A"/>
          <w:spacing w:val="-10"/>
          <w:sz w:val="20"/>
          <w:szCs w:val="20"/>
        </w:rPr>
        <w:t>will run at higher utilisation rates than legacy fa</w:t>
      </w:r>
      <w:r>
        <w:rPr>
          <w:color w:val="57585A"/>
          <w:spacing w:val="-11"/>
          <w:sz w:val="20"/>
          <w:szCs w:val="20"/>
        </w:rPr>
        <w:t>cilities.</w:t>
      </w:r>
    </w:p>
    <w:p w14:paraId="1278295C">
      <w:pPr>
        <w:pStyle w:val="4"/>
        <w:spacing w:line="286" w:lineRule="auto"/>
      </w:pPr>
    </w:p>
    <w:p w14:paraId="615924B7">
      <w:pPr>
        <w:pStyle w:val="4"/>
        <w:spacing w:before="58" w:line="234" w:lineRule="auto"/>
        <w:ind w:left="376"/>
        <w:rPr>
          <w:sz w:val="20"/>
          <w:szCs w:val="20"/>
        </w:rPr>
      </w:pPr>
      <w:r>
        <w:rPr>
          <w:color w:val="57585A"/>
          <w:spacing w:val="-11"/>
          <w:sz w:val="20"/>
          <w:szCs w:val="20"/>
        </w:rPr>
        <w:t>It is expressed in b/d.</w:t>
      </w:r>
    </w:p>
    <w:p w14:paraId="65776BE6">
      <w:pPr>
        <w:pStyle w:val="4"/>
        <w:spacing w:line="284" w:lineRule="auto"/>
      </w:pPr>
    </w:p>
    <w:p w14:paraId="60F575BB">
      <w:pPr>
        <w:pStyle w:val="4"/>
        <w:spacing w:line="284" w:lineRule="auto"/>
      </w:pPr>
    </w:p>
    <w:p w14:paraId="1E691A7A">
      <w:pPr>
        <w:pStyle w:val="4"/>
        <w:spacing w:before="58" w:line="270" w:lineRule="exact"/>
        <w:ind w:left="375"/>
        <w:rPr>
          <w:sz w:val="20"/>
          <w:szCs w:val="20"/>
        </w:rPr>
      </w:pPr>
      <w:r>
        <w:rPr>
          <w:b/>
          <w:bCs/>
          <w:color w:val="57585A"/>
          <w:spacing w:val="-9"/>
          <w:position w:val="1"/>
          <w:sz w:val="20"/>
          <w:szCs w:val="20"/>
        </w:rPr>
        <w:t>Refined Products Produc</w:t>
      </w:r>
      <w:r>
        <w:rPr>
          <w:b/>
          <w:bCs/>
          <w:color w:val="57585A"/>
          <w:spacing w:val="-10"/>
          <w:position w:val="1"/>
          <w:sz w:val="20"/>
          <w:szCs w:val="20"/>
        </w:rPr>
        <w:t>tion</w:t>
      </w:r>
    </w:p>
    <w:p w14:paraId="355F2D66">
      <w:pPr>
        <w:pStyle w:val="4"/>
        <w:spacing w:line="242" w:lineRule="auto"/>
      </w:pPr>
    </w:p>
    <w:p w14:paraId="3EA6DEC8">
      <w:pPr>
        <w:pStyle w:val="4"/>
        <w:spacing w:before="58" w:line="293" w:lineRule="auto"/>
        <w:ind w:left="369" w:right="649" w:firstLine="7"/>
        <w:rPr>
          <w:sz w:val="20"/>
          <w:szCs w:val="20"/>
        </w:rPr>
      </w:pPr>
      <w:r>
        <w:rPr>
          <w:color w:val="57585A"/>
          <w:spacing w:val="-10"/>
          <w:sz w:val="20"/>
          <w:szCs w:val="20"/>
        </w:rPr>
        <w:t>Headline refined fuels pr</w:t>
      </w:r>
      <w:r>
        <w:rPr>
          <w:color w:val="57585A"/>
          <w:spacing w:val="-11"/>
          <w:sz w:val="20"/>
          <w:szCs w:val="20"/>
        </w:rPr>
        <w:t>oduction is a function of</w:t>
      </w:r>
      <w:r>
        <w:rPr>
          <w:color w:val="57585A"/>
          <w:spacing w:val="-17"/>
          <w:sz w:val="20"/>
          <w:szCs w:val="20"/>
        </w:rPr>
        <w:t xml:space="preserve"> </w:t>
      </w:r>
      <w:r>
        <w:rPr>
          <w:color w:val="57585A"/>
          <w:spacing w:val="-11"/>
          <w:sz w:val="20"/>
          <w:szCs w:val="20"/>
        </w:rPr>
        <w:t>a market’s refining capacity and its forecast utilisation rates. We further break</w:t>
      </w:r>
      <w:r>
        <w:rPr>
          <w:color w:val="57585A"/>
          <w:sz w:val="20"/>
          <w:szCs w:val="20"/>
        </w:rPr>
        <w:t xml:space="preserve">  </w:t>
      </w:r>
      <w:r>
        <w:rPr>
          <w:color w:val="57585A"/>
          <w:spacing w:val="-11"/>
          <w:sz w:val="20"/>
          <w:szCs w:val="20"/>
        </w:rPr>
        <w:t>down production into gas oil/diesel, gasoline,</w:t>
      </w:r>
      <w:r>
        <w:rPr>
          <w:color w:val="57585A"/>
          <w:spacing w:val="-17"/>
          <w:sz w:val="20"/>
          <w:szCs w:val="20"/>
        </w:rPr>
        <w:t xml:space="preserve"> </w:t>
      </w:r>
      <w:r>
        <w:rPr>
          <w:color w:val="57585A"/>
          <w:spacing w:val="-11"/>
          <w:sz w:val="20"/>
          <w:szCs w:val="20"/>
        </w:rPr>
        <w:t>jet fuel, kerosene, fuel oil, LPG and other products. The brea</w:t>
      </w:r>
      <w:r>
        <w:rPr>
          <w:color w:val="57585A"/>
          <w:spacing w:val="-12"/>
          <w:sz w:val="20"/>
          <w:szCs w:val="20"/>
        </w:rPr>
        <w:t>kdown of production is</w:t>
      </w:r>
      <w:r>
        <w:rPr>
          <w:color w:val="57585A"/>
          <w:sz w:val="20"/>
          <w:szCs w:val="20"/>
        </w:rPr>
        <w:t xml:space="preserve"> </w:t>
      </w:r>
      <w:r>
        <w:rPr>
          <w:color w:val="57585A"/>
          <w:spacing w:val="-10"/>
          <w:sz w:val="20"/>
          <w:szCs w:val="20"/>
        </w:rPr>
        <w:t>modelled on historical trends.</w:t>
      </w:r>
    </w:p>
    <w:p w14:paraId="04D47FAE">
      <w:pPr>
        <w:pStyle w:val="4"/>
        <w:spacing w:before="285" w:line="234" w:lineRule="auto"/>
        <w:ind w:left="376"/>
        <w:rPr>
          <w:sz w:val="20"/>
          <w:szCs w:val="20"/>
        </w:rPr>
      </w:pPr>
      <w:r>
        <w:rPr>
          <w:color w:val="57585A"/>
          <w:spacing w:val="-11"/>
          <w:sz w:val="20"/>
          <w:szCs w:val="20"/>
        </w:rPr>
        <w:t>It is expressed in b/d.</w:t>
      </w:r>
    </w:p>
    <w:p w14:paraId="4AEF52FE">
      <w:pPr>
        <w:pStyle w:val="4"/>
        <w:spacing w:line="284" w:lineRule="auto"/>
      </w:pPr>
    </w:p>
    <w:p w14:paraId="79883182">
      <w:pPr>
        <w:pStyle w:val="4"/>
        <w:spacing w:line="284" w:lineRule="auto"/>
      </w:pPr>
    </w:p>
    <w:p w14:paraId="40E99069">
      <w:pPr>
        <w:pStyle w:val="4"/>
        <w:spacing w:before="57" w:line="234" w:lineRule="exact"/>
        <w:ind w:left="375"/>
        <w:rPr>
          <w:sz w:val="20"/>
          <w:szCs w:val="20"/>
        </w:rPr>
      </w:pPr>
      <w:r>
        <w:rPr>
          <w:b/>
          <w:bCs/>
          <w:color w:val="57585A"/>
          <w:spacing w:val="-9"/>
          <w:position w:val="2"/>
          <w:sz w:val="20"/>
          <w:szCs w:val="20"/>
        </w:rPr>
        <w:t>Refined Products</w:t>
      </w:r>
      <w:r>
        <w:rPr>
          <w:b/>
          <w:bCs/>
          <w:color w:val="57585A"/>
          <w:spacing w:val="-15"/>
          <w:position w:val="2"/>
          <w:sz w:val="20"/>
          <w:szCs w:val="20"/>
        </w:rPr>
        <w:t xml:space="preserve"> </w:t>
      </w:r>
      <w:r>
        <w:rPr>
          <w:b/>
          <w:bCs/>
          <w:color w:val="57585A"/>
          <w:spacing w:val="-9"/>
          <w:position w:val="2"/>
          <w:sz w:val="20"/>
          <w:szCs w:val="20"/>
        </w:rPr>
        <w:t>And Natura</w:t>
      </w:r>
      <w:r>
        <w:rPr>
          <w:b/>
          <w:bCs/>
          <w:color w:val="57585A"/>
          <w:spacing w:val="-10"/>
          <w:position w:val="2"/>
          <w:sz w:val="20"/>
          <w:szCs w:val="20"/>
        </w:rPr>
        <w:t>l Gas Consumption</w:t>
      </w:r>
    </w:p>
    <w:p w14:paraId="1B19355E">
      <w:pPr>
        <w:pStyle w:val="4"/>
        <w:spacing w:line="278" w:lineRule="auto"/>
      </w:pPr>
    </w:p>
    <w:p w14:paraId="7F9C5397">
      <w:pPr>
        <w:pStyle w:val="4"/>
        <w:spacing w:before="58" w:line="231" w:lineRule="auto"/>
        <w:ind w:left="369"/>
        <w:rPr>
          <w:sz w:val="20"/>
          <w:szCs w:val="20"/>
        </w:rPr>
      </w:pPr>
      <w:r>
        <w:rPr>
          <w:color w:val="57585A"/>
          <w:spacing w:val="-11"/>
          <w:sz w:val="20"/>
          <w:szCs w:val="20"/>
        </w:rPr>
        <w:t>Our refined products as</w:t>
      </w:r>
      <w:r>
        <w:rPr>
          <w:color w:val="57585A"/>
          <w:spacing w:val="-16"/>
          <w:sz w:val="20"/>
          <w:szCs w:val="20"/>
        </w:rPr>
        <w:t xml:space="preserve"> </w:t>
      </w:r>
      <w:r>
        <w:rPr>
          <w:color w:val="57585A"/>
          <w:spacing w:val="-11"/>
          <w:sz w:val="20"/>
          <w:szCs w:val="20"/>
        </w:rPr>
        <w:t>well as natural gas c</w:t>
      </w:r>
      <w:r>
        <w:rPr>
          <w:color w:val="57585A"/>
          <w:spacing w:val="-12"/>
          <w:sz w:val="20"/>
          <w:szCs w:val="20"/>
        </w:rPr>
        <w:t>onsumption forecasts are top-down and leverage a range of market-level forecasts</w:t>
      </w:r>
    </w:p>
    <w:p w14:paraId="50A5FE0E">
      <w:pPr>
        <w:pStyle w:val="4"/>
        <w:spacing w:before="59" w:line="279" w:lineRule="auto"/>
        <w:ind w:left="367" w:right="407" w:hanging="4"/>
        <w:rPr>
          <w:sz w:val="20"/>
          <w:szCs w:val="20"/>
        </w:rPr>
      </w:pPr>
      <w:r>
        <w:rPr>
          <w:color w:val="57585A"/>
          <w:spacing w:val="-11"/>
          <w:sz w:val="20"/>
          <w:szCs w:val="20"/>
        </w:rPr>
        <w:t>from other analytical teams in BMI, in addition to a market's own historical time series. Common drivers of</w:t>
      </w:r>
      <w:r>
        <w:rPr>
          <w:color w:val="57585A"/>
          <w:spacing w:val="-22"/>
          <w:sz w:val="20"/>
          <w:szCs w:val="20"/>
        </w:rPr>
        <w:t xml:space="preserve"> </w:t>
      </w:r>
      <w:r>
        <w:rPr>
          <w:color w:val="57585A"/>
          <w:spacing w:val="-11"/>
          <w:sz w:val="20"/>
          <w:szCs w:val="20"/>
        </w:rPr>
        <w:t>fuels demand include the</w:t>
      </w:r>
      <w:r>
        <w:rPr>
          <w:color w:val="57585A"/>
          <w:sz w:val="20"/>
          <w:szCs w:val="20"/>
        </w:rPr>
        <w:t xml:space="preserve"> </w:t>
      </w:r>
      <w:r>
        <w:rPr>
          <w:color w:val="57585A"/>
          <w:spacing w:val="-10"/>
          <w:sz w:val="20"/>
          <w:szCs w:val="20"/>
        </w:rPr>
        <w:t>domestic economic and political environment, demographic trends and developments in energy-inte</w:t>
      </w:r>
      <w:r>
        <w:rPr>
          <w:color w:val="57585A"/>
          <w:spacing w:val="-11"/>
          <w:sz w:val="20"/>
          <w:szCs w:val="20"/>
        </w:rPr>
        <w:t>nsive sectors ofthe economy,</w:t>
      </w:r>
      <w:r>
        <w:rPr>
          <w:color w:val="57585A"/>
          <w:sz w:val="20"/>
          <w:szCs w:val="20"/>
        </w:rPr>
        <w:t xml:space="preserve"> </w:t>
      </w:r>
      <w:r>
        <w:rPr>
          <w:color w:val="57585A"/>
          <w:spacing w:val="-11"/>
          <w:sz w:val="20"/>
          <w:szCs w:val="20"/>
        </w:rPr>
        <w:t>as</w:t>
      </w:r>
      <w:r>
        <w:rPr>
          <w:color w:val="57585A"/>
          <w:spacing w:val="-2"/>
          <w:sz w:val="20"/>
          <w:szCs w:val="20"/>
        </w:rPr>
        <w:t xml:space="preserve"> </w:t>
      </w:r>
      <w:r>
        <w:rPr>
          <w:color w:val="57585A"/>
          <w:spacing w:val="-11"/>
          <w:sz w:val="20"/>
          <w:szCs w:val="20"/>
        </w:rPr>
        <w:t>well as infrastructure build out and availability.</w:t>
      </w:r>
    </w:p>
    <w:p w14:paraId="1BFCFD9C">
      <w:pPr>
        <w:pStyle w:val="4"/>
        <w:spacing w:line="266" w:lineRule="auto"/>
      </w:pPr>
    </w:p>
    <w:p w14:paraId="4C675D71">
      <w:pPr>
        <w:pStyle w:val="4"/>
        <w:spacing w:before="58" w:line="274" w:lineRule="auto"/>
        <w:ind w:left="372" w:right="1101" w:hanging="13"/>
        <w:rPr>
          <w:sz w:val="20"/>
          <w:szCs w:val="20"/>
        </w:rPr>
      </w:pPr>
      <w:r>
        <w:rPr>
          <w:color w:val="57585A"/>
          <w:spacing w:val="-10"/>
          <w:sz w:val="20"/>
          <w:szCs w:val="20"/>
        </w:rPr>
        <w:t>As</w:t>
      </w:r>
      <w:r>
        <w:rPr>
          <w:color w:val="57585A"/>
          <w:spacing w:val="-15"/>
          <w:sz w:val="20"/>
          <w:szCs w:val="20"/>
        </w:rPr>
        <w:t xml:space="preserve"> </w:t>
      </w:r>
      <w:r>
        <w:rPr>
          <w:color w:val="57585A"/>
          <w:spacing w:val="-10"/>
          <w:sz w:val="20"/>
          <w:szCs w:val="20"/>
        </w:rPr>
        <w:t>with refined fuels production,</w:t>
      </w:r>
      <w:r>
        <w:rPr>
          <w:color w:val="57585A"/>
          <w:spacing w:val="-16"/>
          <w:sz w:val="20"/>
          <w:szCs w:val="20"/>
        </w:rPr>
        <w:t xml:space="preserve"> </w:t>
      </w:r>
      <w:r>
        <w:rPr>
          <w:color w:val="57585A"/>
          <w:spacing w:val="-10"/>
          <w:sz w:val="20"/>
          <w:szCs w:val="20"/>
        </w:rPr>
        <w:t>we further break down refined products consumption into gas oil/diesel</w:t>
      </w:r>
      <w:r>
        <w:rPr>
          <w:color w:val="57585A"/>
          <w:spacing w:val="-11"/>
          <w:sz w:val="20"/>
          <w:szCs w:val="20"/>
        </w:rPr>
        <w:t>, gasoline,</w:t>
      </w:r>
      <w:r>
        <w:rPr>
          <w:color w:val="57585A"/>
          <w:spacing w:val="-17"/>
          <w:sz w:val="20"/>
          <w:szCs w:val="20"/>
        </w:rPr>
        <w:t xml:space="preserve"> </w:t>
      </w:r>
      <w:r>
        <w:rPr>
          <w:color w:val="57585A"/>
          <w:spacing w:val="-11"/>
          <w:sz w:val="20"/>
          <w:szCs w:val="20"/>
        </w:rPr>
        <w:t>jet fuel,</w:t>
      </w:r>
      <w:r>
        <w:rPr>
          <w:color w:val="57585A"/>
          <w:sz w:val="20"/>
          <w:szCs w:val="20"/>
        </w:rPr>
        <w:t xml:space="preserve"> </w:t>
      </w:r>
      <w:r>
        <w:rPr>
          <w:color w:val="57585A"/>
          <w:spacing w:val="-12"/>
          <w:sz w:val="20"/>
          <w:szCs w:val="20"/>
        </w:rPr>
        <w:t xml:space="preserve">kerosene, fuel oil, LPG </w:t>
      </w:r>
      <w:r>
        <w:rPr>
          <w:color w:val="57585A"/>
          <w:spacing w:val="-13"/>
          <w:sz w:val="20"/>
          <w:szCs w:val="20"/>
        </w:rPr>
        <w:t>and other products.</w:t>
      </w:r>
    </w:p>
    <w:p w14:paraId="1E2C1174">
      <w:pPr>
        <w:pStyle w:val="4"/>
        <w:spacing w:line="263" w:lineRule="auto"/>
      </w:pPr>
    </w:p>
    <w:p w14:paraId="5E711769">
      <w:pPr>
        <w:pStyle w:val="4"/>
        <w:spacing w:before="58" w:line="231" w:lineRule="auto"/>
        <w:ind w:left="376"/>
        <w:rPr>
          <w:sz w:val="20"/>
          <w:szCs w:val="20"/>
        </w:rPr>
      </w:pPr>
      <w:r>
        <w:rPr>
          <w:color w:val="57585A"/>
          <w:spacing w:val="-11"/>
          <w:sz w:val="20"/>
          <w:szCs w:val="20"/>
        </w:rPr>
        <w:t>It is expressed in b/d for oil and billion cubic metres per</w:t>
      </w:r>
      <w:r>
        <w:rPr>
          <w:color w:val="57585A"/>
          <w:spacing w:val="-15"/>
          <w:sz w:val="20"/>
          <w:szCs w:val="20"/>
        </w:rPr>
        <w:t xml:space="preserve"> </w:t>
      </w:r>
      <w:r>
        <w:rPr>
          <w:color w:val="57585A"/>
          <w:spacing w:val="-11"/>
          <w:sz w:val="20"/>
          <w:szCs w:val="20"/>
        </w:rPr>
        <w:t>year for natural</w:t>
      </w:r>
      <w:r>
        <w:rPr>
          <w:color w:val="57585A"/>
          <w:spacing w:val="-12"/>
          <w:sz w:val="20"/>
          <w:szCs w:val="20"/>
        </w:rPr>
        <w:t xml:space="preserve"> gas.</w:t>
      </w:r>
    </w:p>
    <w:p w14:paraId="78891FE1">
      <w:pPr>
        <w:pStyle w:val="4"/>
        <w:spacing w:line="285" w:lineRule="auto"/>
      </w:pPr>
    </w:p>
    <w:p w14:paraId="7A2809FC">
      <w:pPr>
        <w:pStyle w:val="4"/>
        <w:spacing w:line="285" w:lineRule="auto"/>
      </w:pPr>
    </w:p>
    <w:p w14:paraId="38373BA7">
      <w:pPr>
        <w:pStyle w:val="4"/>
        <w:spacing w:before="58" w:line="270" w:lineRule="exact"/>
        <w:ind w:left="368"/>
        <w:rPr>
          <w:sz w:val="20"/>
          <w:szCs w:val="20"/>
        </w:rPr>
      </w:pPr>
      <w:r>
        <w:rPr>
          <w:b/>
          <w:bCs/>
          <w:color w:val="57585A"/>
          <w:spacing w:val="-11"/>
          <w:position w:val="1"/>
          <w:sz w:val="20"/>
          <w:szCs w:val="20"/>
        </w:rPr>
        <w:t>Oil Trade</w:t>
      </w:r>
    </w:p>
    <w:p w14:paraId="6FB721E9">
      <w:pPr>
        <w:pStyle w:val="4"/>
        <w:spacing w:line="241" w:lineRule="auto"/>
      </w:pPr>
    </w:p>
    <w:p w14:paraId="522CB4B5">
      <w:pPr>
        <w:pStyle w:val="4"/>
        <w:spacing w:before="58" w:line="262" w:lineRule="exact"/>
        <w:ind w:left="360"/>
        <w:rPr>
          <w:sz w:val="20"/>
          <w:szCs w:val="20"/>
        </w:rPr>
      </w:pPr>
      <w:r>
        <w:rPr>
          <w:color w:val="57585A"/>
          <w:spacing w:val="-12"/>
          <w:position w:val="1"/>
          <w:sz w:val="20"/>
          <w:szCs w:val="20"/>
        </w:rPr>
        <w:t>This is a derived indicator.</w:t>
      </w:r>
    </w:p>
    <w:p w14:paraId="6553FCE6">
      <w:pPr>
        <w:pStyle w:val="4"/>
        <w:spacing w:line="248" w:lineRule="auto"/>
      </w:pPr>
    </w:p>
    <w:p w14:paraId="791E6732">
      <w:pPr>
        <w:pStyle w:val="4"/>
        <w:spacing w:before="57" w:line="274" w:lineRule="auto"/>
        <w:ind w:left="373" w:right="850" w:hanging="12"/>
        <w:rPr>
          <w:sz w:val="20"/>
          <w:szCs w:val="20"/>
        </w:rPr>
      </w:pPr>
      <w:r>
        <w:rPr>
          <w:color w:val="57585A"/>
          <w:spacing w:val="-12"/>
          <w:sz w:val="20"/>
          <w:szCs w:val="20"/>
        </w:rPr>
        <w:t>We calculate crude and other liquids net exports as crude, NGPL and other liquids production,</w:t>
      </w:r>
      <w:r>
        <w:rPr>
          <w:color w:val="57585A"/>
          <w:spacing w:val="-2"/>
          <w:sz w:val="20"/>
          <w:szCs w:val="20"/>
        </w:rPr>
        <w:t xml:space="preserve"> </w:t>
      </w:r>
      <w:r>
        <w:rPr>
          <w:color w:val="57585A"/>
          <w:spacing w:val="-12"/>
          <w:sz w:val="20"/>
          <w:szCs w:val="20"/>
        </w:rPr>
        <w:t>plus</w:t>
      </w:r>
      <w:r>
        <w:rPr>
          <w:color w:val="57585A"/>
          <w:spacing w:val="-1"/>
          <w:sz w:val="20"/>
          <w:szCs w:val="20"/>
        </w:rPr>
        <w:t xml:space="preserve"> </w:t>
      </w:r>
      <w:r>
        <w:rPr>
          <w:color w:val="57585A"/>
          <w:spacing w:val="-12"/>
          <w:sz w:val="20"/>
          <w:szCs w:val="20"/>
        </w:rPr>
        <w:t>refin</w:t>
      </w:r>
      <w:r>
        <w:rPr>
          <w:color w:val="57585A"/>
          <w:spacing w:val="-13"/>
          <w:sz w:val="20"/>
          <w:szCs w:val="20"/>
        </w:rPr>
        <w:t>ing capacity gains,</w:t>
      </w:r>
      <w:r>
        <w:rPr>
          <w:color w:val="57585A"/>
          <w:spacing w:val="-2"/>
          <w:sz w:val="20"/>
          <w:szCs w:val="20"/>
        </w:rPr>
        <w:t xml:space="preserve"> </w:t>
      </w:r>
      <w:r>
        <w:rPr>
          <w:color w:val="57585A"/>
          <w:spacing w:val="-13"/>
          <w:sz w:val="20"/>
          <w:szCs w:val="20"/>
        </w:rPr>
        <w:t>less</w:t>
      </w:r>
      <w:r>
        <w:rPr>
          <w:color w:val="57585A"/>
          <w:sz w:val="20"/>
          <w:szCs w:val="20"/>
        </w:rPr>
        <w:t xml:space="preserve"> </w:t>
      </w:r>
      <w:r>
        <w:rPr>
          <w:color w:val="57585A"/>
          <w:spacing w:val="-9"/>
          <w:sz w:val="20"/>
          <w:szCs w:val="20"/>
        </w:rPr>
        <w:t>refined products production.</w:t>
      </w:r>
    </w:p>
    <w:p w14:paraId="705B8D28">
      <w:pPr>
        <w:pStyle w:val="4"/>
        <w:spacing w:line="264" w:lineRule="auto"/>
      </w:pPr>
    </w:p>
    <w:p w14:paraId="05F7CE28">
      <w:pPr>
        <w:pStyle w:val="4"/>
        <w:spacing w:before="58" w:line="279" w:lineRule="auto"/>
        <w:ind w:left="367" w:right="455" w:firstLine="8"/>
        <w:rPr>
          <w:sz w:val="20"/>
          <w:szCs w:val="20"/>
        </w:rPr>
      </w:pPr>
      <w:r>
        <w:rPr>
          <w:color w:val="57585A"/>
          <w:spacing w:val="-11"/>
          <w:sz w:val="20"/>
          <w:szCs w:val="20"/>
        </w:rPr>
        <w:t>For refined products net exports, the</w:t>
      </w:r>
      <w:r>
        <w:rPr>
          <w:color w:val="57585A"/>
          <w:spacing w:val="-10"/>
          <w:sz w:val="20"/>
          <w:szCs w:val="20"/>
        </w:rPr>
        <w:t xml:space="preserve"> </w:t>
      </w:r>
      <w:r>
        <w:rPr>
          <w:color w:val="57585A"/>
          <w:spacing w:val="-11"/>
          <w:sz w:val="20"/>
          <w:szCs w:val="20"/>
        </w:rPr>
        <w:t>value is calculated as refined products production less refined products consumption.</w:t>
      </w:r>
      <w:r>
        <w:rPr>
          <w:color w:val="57585A"/>
          <w:spacing w:val="-15"/>
          <w:sz w:val="20"/>
          <w:szCs w:val="20"/>
        </w:rPr>
        <w:t xml:space="preserve"> </w:t>
      </w:r>
      <w:r>
        <w:rPr>
          <w:color w:val="57585A"/>
          <w:spacing w:val="-11"/>
          <w:sz w:val="20"/>
          <w:szCs w:val="20"/>
        </w:rPr>
        <w:t>As</w:t>
      </w:r>
      <w:r>
        <w:rPr>
          <w:color w:val="57585A"/>
          <w:spacing w:val="-16"/>
          <w:sz w:val="20"/>
          <w:szCs w:val="20"/>
        </w:rPr>
        <w:t xml:space="preserve"> </w:t>
      </w:r>
      <w:r>
        <w:rPr>
          <w:color w:val="57585A"/>
          <w:spacing w:val="-11"/>
          <w:sz w:val="20"/>
          <w:szCs w:val="20"/>
        </w:rPr>
        <w:t>with</w:t>
      </w:r>
      <w:r>
        <w:rPr>
          <w:color w:val="57585A"/>
          <w:sz w:val="20"/>
          <w:szCs w:val="20"/>
        </w:rPr>
        <w:t xml:space="preserve"> </w:t>
      </w:r>
      <w:r>
        <w:rPr>
          <w:color w:val="57585A"/>
          <w:spacing w:val="-11"/>
          <w:sz w:val="20"/>
          <w:szCs w:val="20"/>
        </w:rPr>
        <w:t>our production and consumption forecasts,</w:t>
      </w:r>
      <w:r>
        <w:rPr>
          <w:color w:val="57585A"/>
          <w:spacing w:val="-16"/>
          <w:sz w:val="20"/>
          <w:szCs w:val="20"/>
        </w:rPr>
        <w:t xml:space="preserve"> </w:t>
      </w:r>
      <w:r>
        <w:rPr>
          <w:color w:val="57585A"/>
          <w:spacing w:val="-11"/>
          <w:sz w:val="20"/>
          <w:szCs w:val="20"/>
        </w:rPr>
        <w:t>we further break down trade into gas oil/diesel, gasoline,</w:t>
      </w:r>
      <w:r>
        <w:rPr>
          <w:color w:val="57585A"/>
          <w:spacing w:val="-18"/>
          <w:sz w:val="20"/>
          <w:szCs w:val="20"/>
        </w:rPr>
        <w:t xml:space="preserve"> </w:t>
      </w:r>
      <w:r>
        <w:rPr>
          <w:color w:val="57585A"/>
          <w:spacing w:val="-11"/>
          <w:sz w:val="20"/>
          <w:szCs w:val="20"/>
        </w:rPr>
        <w:t>jet fuel, ke</w:t>
      </w:r>
      <w:r>
        <w:rPr>
          <w:color w:val="57585A"/>
          <w:spacing w:val="-12"/>
          <w:sz w:val="20"/>
          <w:szCs w:val="20"/>
        </w:rPr>
        <w:t>rosene, fuel oil, LPG</w:t>
      </w:r>
      <w:r>
        <w:rPr>
          <w:color w:val="57585A"/>
          <w:sz w:val="20"/>
          <w:szCs w:val="20"/>
        </w:rPr>
        <w:t xml:space="preserve"> </w:t>
      </w:r>
      <w:r>
        <w:rPr>
          <w:color w:val="57585A"/>
          <w:spacing w:val="-12"/>
          <w:sz w:val="20"/>
          <w:szCs w:val="20"/>
        </w:rPr>
        <w:t>and other products. For total net oil exports (crude, plus, products), the value is calculated as crude, NGPL and other liquids</w:t>
      </w:r>
    </w:p>
    <w:p w14:paraId="0AD4130D">
      <w:pPr>
        <w:pStyle w:val="4"/>
        <w:spacing w:before="37" w:line="231" w:lineRule="auto"/>
        <w:ind w:left="373"/>
        <w:rPr>
          <w:sz w:val="20"/>
          <w:szCs w:val="20"/>
        </w:rPr>
      </w:pPr>
      <w:r>
        <w:rPr>
          <w:color w:val="57585A"/>
          <w:spacing w:val="-10"/>
          <w:sz w:val="20"/>
          <w:szCs w:val="20"/>
        </w:rPr>
        <w:t xml:space="preserve">production, plus refining </w:t>
      </w:r>
      <w:r>
        <w:rPr>
          <w:color w:val="57585A"/>
          <w:spacing w:val="-11"/>
          <w:sz w:val="20"/>
          <w:szCs w:val="20"/>
        </w:rPr>
        <w:t>capacity gains, less refined products consumption.</w:t>
      </w:r>
    </w:p>
    <w:p w14:paraId="13231E98">
      <w:pPr>
        <w:pStyle w:val="4"/>
        <w:spacing w:line="287" w:lineRule="auto"/>
      </w:pPr>
    </w:p>
    <w:p w14:paraId="464B359A">
      <w:pPr>
        <w:pStyle w:val="4"/>
        <w:spacing w:before="59" w:line="274" w:lineRule="auto"/>
        <w:ind w:left="368" w:right="1363" w:hanging="9"/>
        <w:rPr>
          <w:sz w:val="20"/>
          <w:szCs w:val="20"/>
        </w:rPr>
      </w:pPr>
      <w:r>
        <w:rPr>
          <w:color w:val="57585A"/>
          <w:spacing w:val="-11"/>
          <w:sz w:val="20"/>
          <w:szCs w:val="20"/>
        </w:rPr>
        <w:t xml:space="preserve">As derived indicators, our net export forecasts do not take </w:t>
      </w:r>
      <w:r>
        <w:rPr>
          <w:color w:val="57585A"/>
          <w:spacing w:val="-12"/>
          <w:sz w:val="20"/>
          <w:szCs w:val="20"/>
        </w:rPr>
        <w:t>account of</w:t>
      </w:r>
      <w:r>
        <w:rPr>
          <w:color w:val="57585A"/>
          <w:spacing w:val="-16"/>
          <w:sz w:val="20"/>
          <w:szCs w:val="20"/>
        </w:rPr>
        <w:t xml:space="preserve"> </w:t>
      </w:r>
      <w:r>
        <w:rPr>
          <w:color w:val="57585A"/>
          <w:spacing w:val="-12"/>
          <w:sz w:val="20"/>
          <w:szCs w:val="20"/>
        </w:rPr>
        <w:t>annual stock change. This can lead to some small</w:t>
      </w:r>
      <w:r>
        <w:rPr>
          <w:color w:val="57585A"/>
          <w:sz w:val="20"/>
          <w:szCs w:val="20"/>
        </w:rPr>
        <w:t xml:space="preserve"> </w:t>
      </w:r>
      <w:r>
        <w:rPr>
          <w:color w:val="57585A"/>
          <w:spacing w:val="-11"/>
          <w:sz w:val="20"/>
          <w:szCs w:val="20"/>
        </w:rPr>
        <w:t>discrepancies between our historical data se</w:t>
      </w:r>
      <w:r>
        <w:rPr>
          <w:color w:val="57585A"/>
          <w:spacing w:val="-12"/>
          <w:sz w:val="20"/>
          <w:szCs w:val="20"/>
        </w:rPr>
        <w:t>t and observed trade flows.</w:t>
      </w:r>
    </w:p>
    <w:p w14:paraId="31229339">
      <w:pPr>
        <w:spacing w:line="274" w:lineRule="auto"/>
        <w:rPr>
          <w:sz w:val="20"/>
          <w:szCs w:val="20"/>
        </w:rPr>
        <w:sectPr>
          <w:footerReference r:id="rId97" w:type="default"/>
          <w:pgSz w:w="11906" w:h="16838"/>
          <w:pgMar w:top="400" w:right="490" w:bottom="883" w:left="490" w:header="0" w:footer="0" w:gutter="0"/>
          <w:cols w:space="720" w:num="1"/>
        </w:sectPr>
      </w:pPr>
    </w:p>
    <w:p w14:paraId="71F9930C">
      <w:pPr>
        <w:pStyle w:val="4"/>
        <w:spacing w:before="73" w:line="241" w:lineRule="auto"/>
        <w:ind w:left="7372"/>
        <w:rPr>
          <w:sz w:val="20"/>
          <w:szCs w:val="20"/>
        </w:rPr>
      </w:pPr>
      <w:r>
        <w:drawing>
          <wp:anchor distT="0" distB="0" distL="0" distR="0" simplePos="0" relativeHeight="25199616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1997184" behindDoc="0" locked="0" layoutInCell="0" allowOverlap="1">
            <wp:simplePos x="0" y="0"/>
            <wp:positionH relativeFrom="page">
              <wp:posOffset>311150</wp:posOffset>
            </wp:positionH>
            <wp:positionV relativeFrom="page">
              <wp:posOffset>0</wp:posOffset>
            </wp:positionV>
            <wp:extent cx="19050" cy="814070"/>
            <wp:effectExtent l="0" t="0" r="0" b="0"/>
            <wp:wrapNone/>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382A077">
      <w:pPr>
        <w:pStyle w:val="4"/>
        <w:spacing w:line="278" w:lineRule="auto"/>
      </w:pPr>
    </w:p>
    <w:p w14:paraId="789C058A">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01EF4ED9">
      <w:pPr>
        <w:pStyle w:val="4"/>
        <w:spacing w:line="470" w:lineRule="auto"/>
      </w:pPr>
    </w:p>
    <w:p w14:paraId="285AAF00">
      <w:pPr>
        <w:pStyle w:val="4"/>
        <w:spacing w:before="57" w:line="234" w:lineRule="auto"/>
        <w:ind w:left="376"/>
        <w:rPr>
          <w:sz w:val="20"/>
          <w:szCs w:val="20"/>
        </w:rPr>
      </w:pPr>
      <w:r>
        <w:rPr>
          <w:color w:val="57585A"/>
          <w:spacing w:val="-11"/>
          <w:sz w:val="20"/>
          <w:szCs w:val="20"/>
        </w:rPr>
        <w:t>It is expressed in b/d.</w:t>
      </w:r>
    </w:p>
    <w:p w14:paraId="1473CEED">
      <w:pPr>
        <w:pStyle w:val="4"/>
        <w:spacing w:line="284" w:lineRule="auto"/>
      </w:pPr>
    </w:p>
    <w:p w14:paraId="373C413B">
      <w:pPr>
        <w:pStyle w:val="4"/>
        <w:spacing w:line="284" w:lineRule="auto"/>
      </w:pPr>
    </w:p>
    <w:p w14:paraId="6441A910">
      <w:pPr>
        <w:pStyle w:val="4"/>
        <w:spacing w:before="57" w:line="271" w:lineRule="exact"/>
        <w:ind w:left="368"/>
        <w:rPr>
          <w:sz w:val="20"/>
          <w:szCs w:val="20"/>
        </w:rPr>
      </w:pPr>
      <w:r>
        <w:rPr>
          <w:b/>
          <w:bCs/>
          <w:color w:val="57585A"/>
          <w:spacing w:val="-13"/>
          <w:position w:val="1"/>
          <w:sz w:val="20"/>
          <w:szCs w:val="20"/>
        </w:rPr>
        <w:t>Gas Forecasts</w:t>
      </w:r>
    </w:p>
    <w:p w14:paraId="3E0A5749">
      <w:pPr>
        <w:pStyle w:val="4"/>
        <w:spacing w:before="297" w:line="270" w:lineRule="exact"/>
        <w:ind w:left="383"/>
        <w:rPr>
          <w:sz w:val="20"/>
          <w:szCs w:val="20"/>
        </w:rPr>
      </w:pPr>
      <w:r>
        <w:rPr>
          <w:b/>
          <w:bCs/>
          <w:i/>
          <w:iCs/>
          <w:color w:val="57585A"/>
          <w:spacing w:val="-6"/>
          <w:w w:val="93"/>
          <w:position w:val="1"/>
          <w:sz w:val="20"/>
          <w:szCs w:val="20"/>
        </w:rPr>
        <w:t>Gas</w:t>
      </w:r>
      <w:r>
        <w:rPr>
          <w:b/>
          <w:bCs/>
          <w:i/>
          <w:iCs/>
          <w:color w:val="57585A"/>
          <w:spacing w:val="-17"/>
          <w:position w:val="1"/>
          <w:sz w:val="20"/>
          <w:szCs w:val="20"/>
        </w:rPr>
        <w:t xml:space="preserve"> </w:t>
      </w:r>
      <w:r>
        <w:rPr>
          <w:b/>
          <w:bCs/>
          <w:i/>
          <w:iCs/>
          <w:color w:val="57585A"/>
          <w:spacing w:val="-6"/>
          <w:w w:val="93"/>
          <w:position w:val="1"/>
          <w:sz w:val="20"/>
          <w:szCs w:val="20"/>
        </w:rPr>
        <w:t>Trade</w:t>
      </w:r>
    </w:p>
    <w:p w14:paraId="16E52617">
      <w:pPr>
        <w:pStyle w:val="4"/>
        <w:spacing w:line="242" w:lineRule="auto"/>
      </w:pPr>
    </w:p>
    <w:p w14:paraId="6C239750">
      <w:pPr>
        <w:pStyle w:val="4"/>
        <w:spacing w:before="58" w:line="274" w:lineRule="auto"/>
        <w:ind w:left="368" w:right="1363" w:hanging="9"/>
        <w:rPr>
          <w:sz w:val="20"/>
          <w:szCs w:val="20"/>
        </w:rPr>
      </w:pPr>
      <w:r>
        <w:rPr>
          <w:color w:val="57585A"/>
          <w:spacing w:val="-11"/>
          <w:sz w:val="20"/>
          <w:szCs w:val="20"/>
        </w:rPr>
        <w:t xml:space="preserve">As derived indicators, our net export forecasts do not take </w:t>
      </w:r>
      <w:r>
        <w:rPr>
          <w:color w:val="57585A"/>
          <w:spacing w:val="-12"/>
          <w:sz w:val="20"/>
          <w:szCs w:val="20"/>
        </w:rPr>
        <w:t>account of</w:t>
      </w:r>
      <w:r>
        <w:rPr>
          <w:color w:val="57585A"/>
          <w:spacing w:val="-16"/>
          <w:sz w:val="20"/>
          <w:szCs w:val="20"/>
        </w:rPr>
        <w:t xml:space="preserve"> </w:t>
      </w:r>
      <w:r>
        <w:rPr>
          <w:color w:val="57585A"/>
          <w:spacing w:val="-12"/>
          <w:sz w:val="20"/>
          <w:szCs w:val="20"/>
        </w:rPr>
        <w:t>annual stock change. This can lead to some small</w:t>
      </w:r>
      <w:r>
        <w:rPr>
          <w:color w:val="57585A"/>
          <w:sz w:val="20"/>
          <w:szCs w:val="20"/>
        </w:rPr>
        <w:t xml:space="preserve"> </w:t>
      </w:r>
      <w:r>
        <w:rPr>
          <w:color w:val="57585A"/>
          <w:spacing w:val="-11"/>
          <w:sz w:val="20"/>
          <w:szCs w:val="20"/>
        </w:rPr>
        <w:t>discrepancies between our historical data se</w:t>
      </w:r>
      <w:r>
        <w:rPr>
          <w:color w:val="57585A"/>
          <w:spacing w:val="-12"/>
          <w:sz w:val="20"/>
          <w:szCs w:val="20"/>
        </w:rPr>
        <w:t>t and observed trade flows.</w:t>
      </w:r>
    </w:p>
    <w:p w14:paraId="017A7A4A">
      <w:pPr>
        <w:pStyle w:val="4"/>
        <w:spacing w:line="260" w:lineRule="auto"/>
      </w:pPr>
    </w:p>
    <w:p w14:paraId="56C4DE6D">
      <w:pPr>
        <w:pStyle w:val="4"/>
        <w:spacing w:before="57" w:line="241" w:lineRule="auto"/>
        <w:ind w:left="387"/>
        <w:rPr>
          <w:sz w:val="20"/>
          <w:szCs w:val="20"/>
        </w:rPr>
      </w:pPr>
      <w:r>
        <w:rPr>
          <w:b/>
          <w:bCs/>
          <w:i/>
          <w:iCs/>
          <w:color w:val="57585A"/>
          <w:spacing w:val="-6"/>
          <w:w w:val="96"/>
          <w:sz w:val="20"/>
          <w:szCs w:val="20"/>
        </w:rPr>
        <w:t>Dry</w:t>
      </w:r>
      <w:r>
        <w:rPr>
          <w:b/>
          <w:bCs/>
          <w:i/>
          <w:iCs/>
          <w:color w:val="57585A"/>
          <w:spacing w:val="21"/>
          <w:sz w:val="20"/>
          <w:szCs w:val="20"/>
        </w:rPr>
        <w:t xml:space="preserve"> </w:t>
      </w:r>
      <w:r>
        <w:rPr>
          <w:b/>
          <w:bCs/>
          <w:i/>
          <w:iCs/>
          <w:color w:val="57585A"/>
          <w:spacing w:val="-6"/>
          <w:w w:val="96"/>
          <w:sz w:val="20"/>
          <w:szCs w:val="20"/>
        </w:rPr>
        <w:t>Natural Gas Net Exports</w:t>
      </w:r>
    </w:p>
    <w:p w14:paraId="0F32A718">
      <w:pPr>
        <w:pStyle w:val="4"/>
        <w:spacing w:line="281" w:lineRule="auto"/>
      </w:pPr>
    </w:p>
    <w:p w14:paraId="2106D063">
      <w:pPr>
        <w:pStyle w:val="4"/>
        <w:spacing w:before="58" w:line="231" w:lineRule="auto"/>
        <w:ind w:left="360"/>
        <w:rPr>
          <w:sz w:val="20"/>
          <w:szCs w:val="20"/>
        </w:rPr>
      </w:pPr>
      <w:r>
        <w:rPr>
          <w:color w:val="57585A"/>
          <w:spacing w:val="-11"/>
          <w:sz w:val="20"/>
          <w:szCs w:val="20"/>
        </w:rPr>
        <w:t>This is a derived indicator. It is calculated</w:t>
      </w:r>
      <w:r>
        <w:rPr>
          <w:color w:val="57585A"/>
          <w:spacing w:val="-12"/>
          <w:sz w:val="20"/>
          <w:szCs w:val="20"/>
        </w:rPr>
        <w:t xml:space="preserve"> as dry natural gas production less dry</w:t>
      </w:r>
      <w:r>
        <w:rPr>
          <w:color w:val="57585A"/>
          <w:spacing w:val="-2"/>
          <w:sz w:val="20"/>
          <w:szCs w:val="20"/>
        </w:rPr>
        <w:t xml:space="preserve"> </w:t>
      </w:r>
      <w:r>
        <w:rPr>
          <w:color w:val="57585A"/>
          <w:spacing w:val="-12"/>
          <w:sz w:val="20"/>
          <w:szCs w:val="20"/>
        </w:rPr>
        <w:t>natural gas consumption.</w:t>
      </w:r>
    </w:p>
    <w:p w14:paraId="3C216850">
      <w:pPr>
        <w:pStyle w:val="4"/>
        <w:spacing w:line="287" w:lineRule="auto"/>
      </w:pPr>
    </w:p>
    <w:p w14:paraId="64A6F85E">
      <w:pPr>
        <w:pStyle w:val="4"/>
        <w:spacing w:before="58" w:line="235" w:lineRule="auto"/>
        <w:ind w:left="383"/>
        <w:rPr>
          <w:sz w:val="20"/>
          <w:szCs w:val="20"/>
        </w:rPr>
      </w:pPr>
      <w:r>
        <w:rPr>
          <w:i/>
          <w:iCs/>
          <w:color w:val="57585A"/>
          <w:spacing w:val="-7"/>
          <w:w w:val="93"/>
          <w:sz w:val="20"/>
          <w:szCs w:val="20"/>
        </w:rPr>
        <w:t>Of</w:t>
      </w:r>
      <w:r>
        <w:rPr>
          <w:i/>
          <w:iCs/>
          <w:color w:val="57585A"/>
          <w:spacing w:val="-18"/>
          <w:sz w:val="20"/>
          <w:szCs w:val="20"/>
        </w:rPr>
        <w:t xml:space="preserve"> </w:t>
      </w:r>
      <w:r>
        <w:rPr>
          <w:i/>
          <w:iCs/>
          <w:color w:val="57585A"/>
          <w:spacing w:val="-7"/>
          <w:w w:val="93"/>
          <w:sz w:val="20"/>
          <w:szCs w:val="20"/>
        </w:rPr>
        <w:t>which, LNG Net</w:t>
      </w:r>
      <w:r>
        <w:rPr>
          <w:i/>
          <w:iCs/>
          <w:color w:val="57585A"/>
          <w:spacing w:val="-16"/>
          <w:sz w:val="20"/>
          <w:szCs w:val="20"/>
        </w:rPr>
        <w:t xml:space="preserve"> </w:t>
      </w:r>
      <w:r>
        <w:rPr>
          <w:i/>
          <w:iCs/>
          <w:color w:val="57585A"/>
          <w:spacing w:val="-7"/>
          <w:w w:val="93"/>
          <w:sz w:val="20"/>
          <w:szCs w:val="20"/>
        </w:rPr>
        <w:t>Exports</w:t>
      </w:r>
    </w:p>
    <w:p w14:paraId="1D18AD57">
      <w:pPr>
        <w:pStyle w:val="4"/>
        <w:spacing w:line="283" w:lineRule="auto"/>
      </w:pPr>
    </w:p>
    <w:p w14:paraId="6BF32EE0">
      <w:pPr>
        <w:pStyle w:val="4"/>
        <w:spacing w:before="58" w:line="231" w:lineRule="auto"/>
        <w:ind w:left="376"/>
        <w:rPr>
          <w:sz w:val="20"/>
          <w:szCs w:val="20"/>
        </w:rPr>
      </w:pPr>
      <w:r>
        <w:rPr>
          <w:color w:val="57585A"/>
          <w:spacing w:val="-14"/>
          <w:sz w:val="20"/>
          <w:szCs w:val="20"/>
        </w:rPr>
        <w:t>LNG net exports are derived based on gross LNG e</w:t>
      </w:r>
      <w:r>
        <w:rPr>
          <w:color w:val="57585A"/>
          <w:spacing w:val="-15"/>
          <w:sz w:val="20"/>
          <w:szCs w:val="20"/>
        </w:rPr>
        <w:t>xports, less gross</w:t>
      </w:r>
      <w:r>
        <w:rPr>
          <w:color w:val="57585A"/>
          <w:spacing w:val="1"/>
          <w:sz w:val="20"/>
          <w:szCs w:val="20"/>
        </w:rPr>
        <w:t xml:space="preserve"> </w:t>
      </w:r>
      <w:r>
        <w:rPr>
          <w:color w:val="57585A"/>
          <w:spacing w:val="-15"/>
          <w:sz w:val="20"/>
          <w:szCs w:val="20"/>
        </w:rPr>
        <w:t>LNG</w:t>
      </w:r>
      <w:r>
        <w:rPr>
          <w:color w:val="57585A"/>
          <w:spacing w:val="-4"/>
          <w:sz w:val="20"/>
          <w:szCs w:val="20"/>
        </w:rPr>
        <w:t xml:space="preserve"> </w:t>
      </w:r>
      <w:r>
        <w:rPr>
          <w:color w:val="57585A"/>
          <w:spacing w:val="-15"/>
          <w:sz w:val="20"/>
          <w:szCs w:val="20"/>
        </w:rPr>
        <w:t>imports.</w:t>
      </w:r>
    </w:p>
    <w:p w14:paraId="725CCD86">
      <w:pPr>
        <w:pStyle w:val="4"/>
        <w:spacing w:line="288" w:lineRule="auto"/>
      </w:pPr>
    </w:p>
    <w:p w14:paraId="1731246A">
      <w:pPr>
        <w:pStyle w:val="4"/>
        <w:spacing w:before="58" w:line="279" w:lineRule="auto"/>
        <w:ind w:left="367" w:right="537" w:firstLine="2"/>
        <w:rPr>
          <w:sz w:val="20"/>
          <w:szCs w:val="20"/>
        </w:rPr>
      </w:pPr>
      <w:r>
        <w:rPr>
          <w:color w:val="57585A"/>
          <w:spacing w:val="-10"/>
          <w:sz w:val="20"/>
          <w:szCs w:val="20"/>
        </w:rPr>
        <w:t>Gross export and import forecasts ar</w:t>
      </w:r>
      <w:r>
        <w:rPr>
          <w:color w:val="57585A"/>
          <w:spacing w:val="-11"/>
          <w:sz w:val="20"/>
          <w:szCs w:val="20"/>
        </w:rPr>
        <w:t>e bottom up, aggregating individual liquefaction and regasification projects (both greenfield</w:t>
      </w:r>
      <w:r>
        <w:rPr>
          <w:color w:val="57585A"/>
          <w:sz w:val="20"/>
          <w:szCs w:val="20"/>
        </w:rPr>
        <w:t xml:space="preserve"> </w:t>
      </w:r>
      <w:r>
        <w:rPr>
          <w:color w:val="57585A"/>
          <w:spacing w:val="-12"/>
          <w:sz w:val="20"/>
          <w:szCs w:val="20"/>
        </w:rPr>
        <w:t>and brownfield) up to the market level. We rely on our LNG Projects Database,</w:t>
      </w:r>
      <w:r>
        <w:rPr>
          <w:color w:val="57585A"/>
          <w:spacing w:val="-16"/>
          <w:sz w:val="20"/>
          <w:szCs w:val="20"/>
        </w:rPr>
        <w:t xml:space="preserve"> </w:t>
      </w:r>
      <w:r>
        <w:rPr>
          <w:color w:val="57585A"/>
          <w:spacing w:val="-12"/>
          <w:sz w:val="20"/>
          <w:szCs w:val="20"/>
        </w:rPr>
        <w:t>which is a comprehensive catalogue</w:t>
      </w:r>
      <w:r>
        <w:rPr>
          <w:color w:val="57585A"/>
          <w:spacing w:val="-6"/>
          <w:sz w:val="20"/>
          <w:szCs w:val="20"/>
        </w:rPr>
        <w:t xml:space="preserve"> </w:t>
      </w:r>
      <w:r>
        <w:rPr>
          <w:color w:val="57585A"/>
          <w:spacing w:val="-12"/>
          <w:sz w:val="20"/>
          <w:szCs w:val="20"/>
        </w:rPr>
        <w:t>of liqu</w:t>
      </w:r>
      <w:r>
        <w:rPr>
          <w:color w:val="57585A"/>
          <w:spacing w:val="-13"/>
          <w:sz w:val="20"/>
          <w:szCs w:val="20"/>
        </w:rPr>
        <w:t>efaction,</w:t>
      </w:r>
      <w:r>
        <w:rPr>
          <w:color w:val="57585A"/>
          <w:sz w:val="20"/>
          <w:szCs w:val="20"/>
        </w:rPr>
        <w:t xml:space="preserve"> </w:t>
      </w:r>
      <w:r>
        <w:rPr>
          <w:color w:val="57585A"/>
          <w:spacing w:val="-10"/>
          <w:sz w:val="20"/>
          <w:szCs w:val="20"/>
        </w:rPr>
        <w:t>regasification</w:t>
      </w:r>
      <w:r>
        <w:rPr>
          <w:color w:val="57585A"/>
          <w:spacing w:val="-12"/>
          <w:sz w:val="20"/>
          <w:szCs w:val="20"/>
        </w:rPr>
        <w:t xml:space="preserve"> </w:t>
      </w:r>
      <w:r>
        <w:rPr>
          <w:color w:val="57585A"/>
          <w:spacing w:val="-10"/>
          <w:sz w:val="20"/>
          <w:szCs w:val="20"/>
        </w:rPr>
        <w:t>facilities in e</w:t>
      </w:r>
      <w:r>
        <w:rPr>
          <w:color w:val="57585A"/>
          <w:spacing w:val="-11"/>
          <w:sz w:val="20"/>
          <w:szCs w:val="20"/>
        </w:rPr>
        <w:t>ach market.</w:t>
      </w:r>
    </w:p>
    <w:p w14:paraId="07EC4B50">
      <w:pPr>
        <w:pStyle w:val="4"/>
        <w:spacing w:line="265" w:lineRule="auto"/>
      </w:pPr>
    </w:p>
    <w:p w14:paraId="59C5BFBF">
      <w:pPr>
        <w:pStyle w:val="4"/>
        <w:spacing w:before="58" w:line="235" w:lineRule="auto"/>
        <w:ind w:left="383"/>
        <w:rPr>
          <w:sz w:val="20"/>
          <w:szCs w:val="20"/>
        </w:rPr>
      </w:pPr>
      <w:r>
        <w:rPr>
          <w:i/>
          <w:iCs/>
          <w:color w:val="57585A"/>
          <w:spacing w:val="-6"/>
          <w:w w:val="94"/>
          <w:sz w:val="20"/>
          <w:szCs w:val="20"/>
        </w:rPr>
        <w:t>Of</w:t>
      </w:r>
      <w:r>
        <w:rPr>
          <w:i/>
          <w:iCs/>
          <w:color w:val="57585A"/>
          <w:spacing w:val="-26"/>
          <w:sz w:val="20"/>
          <w:szCs w:val="20"/>
        </w:rPr>
        <w:t xml:space="preserve"> </w:t>
      </w:r>
      <w:r>
        <w:rPr>
          <w:i/>
          <w:iCs/>
          <w:color w:val="57585A"/>
          <w:spacing w:val="-6"/>
          <w:w w:val="94"/>
          <w:sz w:val="20"/>
          <w:szCs w:val="20"/>
        </w:rPr>
        <w:t>which Pipeline Net</w:t>
      </w:r>
      <w:r>
        <w:rPr>
          <w:i/>
          <w:iCs/>
          <w:color w:val="57585A"/>
          <w:spacing w:val="-16"/>
          <w:sz w:val="20"/>
          <w:szCs w:val="20"/>
        </w:rPr>
        <w:t xml:space="preserve"> </w:t>
      </w:r>
      <w:r>
        <w:rPr>
          <w:i/>
          <w:iCs/>
          <w:color w:val="57585A"/>
          <w:spacing w:val="-6"/>
          <w:w w:val="94"/>
          <w:sz w:val="20"/>
          <w:szCs w:val="20"/>
        </w:rPr>
        <w:t>Exports</w:t>
      </w:r>
    </w:p>
    <w:p w14:paraId="3674BCA4">
      <w:pPr>
        <w:pStyle w:val="4"/>
        <w:spacing w:line="283" w:lineRule="auto"/>
      </w:pPr>
    </w:p>
    <w:p w14:paraId="6FFDD8B7">
      <w:pPr>
        <w:pStyle w:val="4"/>
        <w:spacing w:before="58" w:line="273" w:lineRule="auto"/>
        <w:ind w:left="370" w:right="608" w:hanging="10"/>
        <w:rPr>
          <w:sz w:val="20"/>
          <w:szCs w:val="20"/>
        </w:rPr>
      </w:pPr>
      <w:r>
        <w:rPr>
          <w:color w:val="57585A"/>
          <w:spacing w:val="-12"/>
          <w:sz w:val="20"/>
          <w:szCs w:val="20"/>
        </w:rPr>
        <w:t>This is a derived indicator. It is calculated as theoretical natural ga</w:t>
      </w:r>
      <w:r>
        <w:rPr>
          <w:color w:val="57585A"/>
          <w:spacing w:val="-13"/>
          <w:sz w:val="20"/>
          <w:szCs w:val="20"/>
        </w:rPr>
        <w:t>s net exports less</w:t>
      </w:r>
      <w:r>
        <w:rPr>
          <w:color w:val="57585A"/>
          <w:spacing w:val="1"/>
          <w:sz w:val="20"/>
          <w:szCs w:val="20"/>
        </w:rPr>
        <w:t xml:space="preserve"> </w:t>
      </w:r>
      <w:r>
        <w:rPr>
          <w:color w:val="57585A"/>
          <w:spacing w:val="-13"/>
          <w:sz w:val="20"/>
          <w:szCs w:val="20"/>
        </w:rPr>
        <w:t>LNG</w:t>
      </w:r>
      <w:r>
        <w:rPr>
          <w:color w:val="57585A"/>
          <w:spacing w:val="-2"/>
          <w:sz w:val="20"/>
          <w:szCs w:val="20"/>
        </w:rPr>
        <w:t xml:space="preserve"> </w:t>
      </w:r>
      <w:r>
        <w:rPr>
          <w:color w:val="57585A"/>
          <w:spacing w:val="-13"/>
          <w:sz w:val="20"/>
          <w:szCs w:val="20"/>
        </w:rPr>
        <w:t>net exports.</w:t>
      </w:r>
      <w:r>
        <w:rPr>
          <w:color w:val="57585A"/>
          <w:spacing w:val="-6"/>
          <w:sz w:val="20"/>
          <w:szCs w:val="20"/>
        </w:rPr>
        <w:t xml:space="preserve"> </w:t>
      </w:r>
      <w:r>
        <w:rPr>
          <w:color w:val="57585A"/>
          <w:spacing w:val="-13"/>
          <w:sz w:val="20"/>
          <w:szCs w:val="20"/>
        </w:rPr>
        <w:t>Given that stock changes are</w:t>
      </w:r>
      <w:r>
        <w:rPr>
          <w:color w:val="57585A"/>
          <w:sz w:val="20"/>
          <w:szCs w:val="20"/>
        </w:rPr>
        <w:t xml:space="preserve"> </w:t>
      </w:r>
      <w:r>
        <w:rPr>
          <w:color w:val="57585A"/>
          <w:spacing w:val="-10"/>
          <w:sz w:val="20"/>
          <w:szCs w:val="20"/>
        </w:rPr>
        <w:t>implicitly captured in the pipeline net ex</w:t>
      </w:r>
      <w:r>
        <w:rPr>
          <w:color w:val="57585A"/>
          <w:spacing w:val="-11"/>
          <w:sz w:val="20"/>
          <w:szCs w:val="20"/>
        </w:rPr>
        <w:t>port forecast, there may be small discrepancies between our historical data set and</w:t>
      </w:r>
    </w:p>
    <w:p w14:paraId="532B7B12">
      <w:pPr>
        <w:pStyle w:val="4"/>
        <w:spacing w:before="37" w:line="261" w:lineRule="exact"/>
        <w:ind w:left="369"/>
        <w:rPr>
          <w:sz w:val="20"/>
          <w:szCs w:val="20"/>
        </w:rPr>
      </w:pPr>
      <w:r>
        <w:rPr>
          <w:color w:val="57585A"/>
          <w:spacing w:val="-12"/>
          <w:position w:val="1"/>
          <w:sz w:val="20"/>
          <w:szCs w:val="20"/>
        </w:rPr>
        <w:t>observed</w:t>
      </w:r>
      <w:r>
        <w:rPr>
          <w:color w:val="57585A"/>
          <w:spacing w:val="-3"/>
          <w:position w:val="1"/>
          <w:sz w:val="20"/>
          <w:szCs w:val="20"/>
        </w:rPr>
        <w:t xml:space="preserve"> </w:t>
      </w:r>
      <w:r>
        <w:rPr>
          <w:color w:val="57585A"/>
          <w:spacing w:val="-12"/>
          <w:position w:val="1"/>
          <w:sz w:val="20"/>
          <w:szCs w:val="20"/>
        </w:rPr>
        <w:t>trade flows.</w:t>
      </w:r>
    </w:p>
    <w:p w14:paraId="24138A72">
      <w:pPr>
        <w:pStyle w:val="4"/>
        <w:spacing w:line="265" w:lineRule="auto"/>
      </w:pPr>
    </w:p>
    <w:p w14:paraId="0CA2DD54">
      <w:pPr>
        <w:pStyle w:val="4"/>
        <w:spacing w:line="265" w:lineRule="auto"/>
      </w:pPr>
    </w:p>
    <w:p w14:paraId="546D2E3D">
      <w:pPr>
        <w:pStyle w:val="4"/>
        <w:spacing w:before="59" w:line="233" w:lineRule="exact"/>
        <w:ind w:left="374"/>
        <w:rPr>
          <w:sz w:val="20"/>
          <w:szCs w:val="20"/>
        </w:rPr>
      </w:pPr>
      <w:r>
        <w:rPr>
          <w:b/>
          <w:bCs/>
          <w:color w:val="57585A"/>
          <w:spacing w:val="-9"/>
          <w:position w:val="2"/>
          <w:sz w:val="20"/>
          <w:szCs w:val="20"/>
        </w:rPr>
        <w:t>Upstream Oil &amp; Gas Risk/Reward Index</w:t>
      </w:r>
    </w:p>
    <w:p w14:paraId="69943B64">
      <w:pPr>
        <w:pStyle w:val="4"/>
        <w:spacing w:line="277" w:lineRule="auto"/>
      </w:pPr>
    </w:p>
    <w:p w14:paraId="35D6FD15">
      <w:pPr>
        <w:pStyle w:val="4"/>
        <w:spacing w:before="58" w:line="274" w:lineRule="auto"/>
        <w:ind w:left="372" w:right="436" w:hanging="3"/>
        <w:rPr>
          <w:sz w:val="20"/>
          <w:szCs w:val="20"/>
        </w:rPr>
      </w:pPr>
      <w:r>
        <w:rPr>
          <w:color w:val="57585A"/>
          <w:spacing w:val="-12"/>
          <w:sz w:val="20"/>
          <w:szCs w:val="20"/>
        </w:rPr>
        <w:t>Our Upstream Oil &amp; Gas Risk/Reward Index (RRI) quantifies and ranks a market's attractive</w:t>
      </w:r>
      <w:r>
        <w:rPr>
          <w:color w:val="57585A"/>
          <w:spacing w:val="-13"/>
          <w:sz w:val="20"/>
          <w:szCs w:val="20"/>
        </w:rPr>
        <w:t>ness within the context of</w:t>
      </w:r>
      <w:r>
        <w:rPr>
          <w:color w:val="57585A"/>
          <w:spacing w:val="-21"/>
          <w:sz w:val="20"/>
          <w:szCs w:val="20"/>
        </w:rPr>
        <w:t xml:space="preserve"> </w:t>
      </w:r>
      <w:r>
        <w:rPr>
          <w:color w:val="57585A"/>
          <w:spacing w:val="-13"/>
          <w:sz w:val="20"/>
          <w:szCs w:val="20"/>
        </w:rPr>
        <w:t>the oil industry,</w:t>
      </w:r>
      <w:r>
        <w:rPr>
          <w:color w:val="57585A"/>
          <w:sz w:val="20"/>
          <w:szCs w:val="20"/>
        </w:rPr>
        <w:t xml:space="preserve"> </w:t>
      </w:r>
      <w:r>
        <w:rPr>
          <w:color w:val="57585A"/>
          <w:spacing w:val="-10"/>
          <w:sz w:val="20"/>
          <w:szCs w:val="20"/>
        </w:rPr>
        <w:t xml:space="preserve">based on the balance between the </w:t>
      </w:r>
      <w:r>
        <w:rPr>
          <w:b/>
          <w:bCs/>
          <w:color w:val="57585A"/>
          <w:spacing w:val="-10"/>
          <w:sz w:val="20"/>
          <w:szCs w:val="20"/>
        </w:rPr>
        <w:t xml:space="preserve">risks </w:t>
      </w:r>
      <w:r>
        <w:rPr>
          <w:color w:val="57585A"/>
          <w:spacing w:val="-10"/>
          <w:sz w:val="20"/>
          <w:szCs w:val="20"/>
        </w:rPr>
        <w:t xml:space="preserve">and </w:t>
      </w:r>
      <w:r>
        <w:rPr>
          <w:b/>
          <w:bCs/>
          <w:color w:val="57585A"/>
          <w:spacing w:val="-10"/>
          <w:sz w:val="20"/>
          <w:szCs w:val="20"/>
        </w:rPr>
        <w:t xml:space="preserve">rewards </w:t>
      </w:r>
      <w:r>
        <w:rPr>
          <w:color w:val="57585A"/>
          <w:spacing w:val="-10"/>
          <w:sz w:val="20"/>
          <w:szCs w:val="20"/>
        </w:rPr>
        <w:t>of</w:t>
      </w:r>
      <w:r>
        <w:rPr>
          <w:color w:val="57585A"/>
          <w:spacing w:val="-15"/>
          <w:sz w:val="20"/>
          <w:szCs w:val="20"/>
        </w:rPr>
        <w:t xml:space="preserve"> </w:t>
      </w:r>
      <w:r>
        <w:rPr>
          <w:color w:val="57585A"/>
          <w:spacing w:val="-10"/>
          <w:sz w:val="20"/>
          <w:szCs w:val="20"/>
        </w:rPr>
        <w:t>ente</w:t>
      </w:r>
      <w:r>
        <w:rPr>
          <w:color w:val="57585A"/>
          <w:spacing w:val="-11"/>
          <w:sz w:val="20"/>
          <w:szCs w:val="20"/>
        </w:rPr>
        <w:t>ring and operating in different markets.</w:t>
      </w:r>
    </w:p>
    <w:p w14:paraId="02427AB1">
      <w:pPr>
        <w:pStyle w:val="4"/>
        <w:spacing w:line="264" w:lineRule="auto"/>
      </w:pPr>
    </w:p>
    <w:p w14:paraId="1C215321">
      <w:pPr>
        <w:pStyle w:val="4"/>
        <w:spacing w:before="58" w:line="231" w:lineRule="auto"/>
        <w:ind w:left="361"/>
        <w:rPr>
          <w:sz w:val="20"/>
          <w:szCs w:val="20"/>
        </w:rPr>
      </w:pPr>
      <w:r>
        <w:rPr>
          <w:color w:val="57585A"/>
          <w:spacing w:val="-10"/>
          <w:sz w:val="20"/>
          <w:szCs w:val="20"/>
        </w:rPr>
        <w:t>We combine industry-specifi</w:t>
      </w:r>
      <w:r>
        <w:rPr>
          <w:color w:val="57585A"/>
          <w:spacing w:val="-11"/>
          <w:sz w:val="20"/>
          <w:szCs w:val="20"/>
        </w:rPr>
        <w:t>c characteristics</w:t>
      </w:r>
      <w:r>
        <w:rPr>
          <w:color w:val="57585A"/>
          <w:spacing w:val="-16"/>
          <w:sz w:val="20"/>
          <w:szCs w:val="20"/>
        </w:rPr>
        <w:t xml:space="preserve"> </w:t>
      </w:r>
      <w:r>
        <w:rPr>
          <w:color w:val="57585A"/>
          <w:spacing w:val="-11"/>
          <w:sz w:val="20"/>
          <w:szCs w:val="20"/>
        </w:rPr>
        <w:t>with broader economic, political and operational market characteristics. We</w:t>
      </w:r>
      <w:r>
        <w:rPr>
          <w:color w:val="57585A"/>
          <w:spacing w:val="-16"/>
          <w:sz w:val="20"/>
          <w:szCs w:val="20"/>
        </w:rPr>
        <w:t xml:space="preserve"> </w:t>
      </w:r>
      <w:r>
        <w:rPr>
          <w:color w:val="57585A"/>
          <w:spacing w:val="-11"/>
          <w:sz w:val="20"/>
          <w:szCs w:val="20"/>
        </w:rPr>
        <w:t>weight</w:t>
      </w:r>
    </w:p>
    <w:p w14:paraId="0897C987">
      <w:pPr>
        <w:pStyle w:val="4"/>
        <w:spacing w:before="59" w:line="231" w:lineRule="auto"/>
        <w:ind w:left="363"/>
        <w:rPr>
          <w:sz w:val="20"/>
          <w:szCs w:val="20"/>
        </w:rPr>
      </w:pPr>
      <w:r>
        <w:rPr>
          <w:color w:val="57585A"/>
          <w:spacing w:val="-10"/>
          <w:sz w:val="20"/>
          <w:szCs w:val="20"/>
        </w:rPr>
        <w:t>these inputs in terms of</w:t>
      </w:r>
      <w:r>
        <w:rPr>
          <w:color w:val="57585A"/>
          <w:spacing w:val="-21"/>
          <w:sz w:val="20"/>
          <w:szCs w:val="20"/>
        </w:rPr>
        <w:t xml:space="preserve"> </w:t>
      </w:r>
      <w:r>
        <w:rPr>
          <w:color w:val="57585A"/>
          <w:spacing w:val="-10"/>
          <w:sz w:val="20"/>
          <w:szCs w:val="20"/>
        </w:rPr>
        <w:t xml:space="preserve">their importance to </w:t>
      </w:r>
      <w:r>
        <w:rPr>
          <w:color w:val="57585A"/>
          <w:spacing w:val="-11"/>
          <w:sz w:val="20"/>
          <w:szCs w:val="20"/>
        </w:rPr>
        <w:t>investor decision-making in a given industry. The result is a nuanced and accurate</w:t>
      </w:r>
    </w:p>
    <w:p w14:paraId="7F5AF5BB">
      <w:pPr>
        <w:pStyle w:val="4"/>
        <w:spacing w:before="59" w:line="273" w:lineRule="auto"/>
        <w:ind w:left="373" w:right="477"/>
        <w:rPr>
          <w:sz w:val="20"/>
          <w:szCs w:val="20"/>
        </w:rPr>
      </w:pPr>
      <w:r>
        <w:rPr>
          <w:color w:val="57585A"/>
          <w:spacing w:val="-10"/>
          <w:sz w:val="20"/>
          <w:szCs w:val="20"/>
        </w:rPr>
        <w:t>reflection of</w:t>
      </w:r>
      <w:r>
        <w:rPr>
          <w:color w:val="57585A"/>
          <w:spacing w:val="-21"/>
          <w:sz w:val="20"/>
          <w:szCs w:val="20"/>
        </w:rPr>
        <w:t xml:space="preserve"> </w:t>
      </w:r>
      <w:r>
        <w:rPr>
          <w:color w:val="57585A"/>
          <w:spacing w:val="-10"/>
          <w:sz w:val="20"/>
          <w:szCs w:val="20"/>
        </w:rPr>
        <w:t>the realities facing investors in terms of</w:t>
      </w:r>
      <w:r>
        <w:rPr>
          <w:color w:val="57585A"/>
          <w:spacing w:val="-21"/>
          <w:sz w:val="20"/>
          <w:szCs w:val="20"/>
        </w:rPr>
        <w:t xml:space="preserve"> </w:t>
      </w:r>
      <w:r>
        <w:rPr>
          <w:color w:val="57585A"/>
          <w:spacing w:val="-10"/>
          <w:sz w:val="20"/>
          <w:szCs w:val="20"/>
        </w:rPr>
        <w:t>the balance betw</w:t>
      </w:r>
      <w:r>
        <w:rPr>
          <w:color w:val="57585A"/>
          <w:spacing w:val="-11"/>
          <w:sz w:val="20"/>
          <w:szCs w:val="20"/>
        </w:rPr>
        <w:t>een opportunities and risks, and between sector-specific and</w:t>
      </w:r>
      <w:r>
        <w:rPr>
          <w:color w:val="57585A"/>
          <w:sz w:val="20"/>
          <w:szCs w:val="20"/>
        </w:rPr>
        <w:t xml:space="preserve"> </w:t>
      </w:r>
      <w:r>
        <w:rPr>
          <w:color w:val="57585A"/>
          <w:spacing w:val="-12"/>
          <w:sz w:val="20"/>
          <w:szCs w:val="20"/>
        </w:rPr>
        <w:t>broader market traits. This enables users of</w:t>
      </w:r>
      <w:r>
        <w:rPr>
          <w:color w:val="57585A"/>
          <w:spacing w:val="-16"/>
          <w:sz w:val="20"/>
          <w:szCs w:val="20"/>
        </w:rPr>
        <w:t xml:space="preserve"> </w:t>
      </w:r>
      <w:r>
        <w:rPr>
          <w:color w:val="57585A"/>
          <w:spacing w:val="-12"/>
          <w:sz w:val="20"/>
          <w:szCs w:val="20"/>
        </w:rPr>
        <w:t>the index to assess a market's attractiveness in a regional and global context.</w:t>
      </w:r>
    </w:p>
    <w:p w14:paraId="2D62C02F">
      <w:pPr>
        <w:pStyle w:val="4"/>
        <w:spacing w:line="265" w:lineRule="auto"/>
      </w:pPr>
    </w:p>
    <w:p w14:paraId="5337EAEC">
      <w:pPr>
        <w:pStyle w:val="4"/>
        <w:spacing w:before="58" w:line="273" w:lineRule="auto"/>
        <w:ind w:left="368" w:right="966" w:hanging="8"/>
        <w:rPr>
          <w:sz w:val="20"/>
          <w:szCs w:val="20"/>
        </w:rPr>
      </w:pPr>
      <w:r>
        <w:rPr>
          <w:color w:val="57585A"/>
          <w:spacing w:val="-11"/>
          <w:sz w:val="20"/>
          <w:szCs w:val="20"/>
        </w:rPr>
        <w:t>The index combines our proprietary forecasts a</w:t>
      </w:r>
      <w:r>
        <w:rPr>
          <w:color w:val="57585A"/>
          <w:spacing w:val="-12"/>
          <w:sz w:val="20"/>
          <w:szCs w:val="20"/>
        </w:rPr>
        <w:t>nd analyst assessment of</w:t>
      </w:r>
      <w:r>
        <w:rPr>
          <w:color w:val="57585A"/>
          <w:spacing w:val="-21"/>
          <w:sz w:val="20"/>
          <w:szCs w:val="20"/>
        </w:rPr>
        <w:t xml:space="preserve"> </w:t>
      </w:r>
      <w:r>
        <w:rPr>
          <w:color w:val="57585A"/>
          <w:spacing w:val="-12"/>
          <w:sz w:val="20"/>
          <w:szCs w:val="20"/>
        </w:rPr>
        <w:t>the regulatory climate.</w:t>
      </w:r>
      <w:r>
        <w:rPr>
          <w:color w:val="57585A"/>
          <w:spacing w:val="-16"/>
          <w:sz w:val="20"/>
          <w:szCs w:val="20"/>
        </w:rPr>
        <w:t xml:space="preserve"> </w:t>
      </w:r>
      <w:r>
        <w:rPr>
          <w:color w:val="57585A"/>
          <w:spacing w:val="-12"/>
          <w:sz w:val="20"/>
          <w:szCs w:val="20"/>
        </w:rPr>
        <w:t>As regulations and forecasts</w:t>
      </w:r>
      <w:r>
        <w:rPr>
          <w:color w:val="57585A"/>
          <w:sz w:val="20"/>
          <w:szCs w:val="20"/>
        </w:rPr>
        <w:t xml:space="preserve"> </w:t>
      </w:r>
      <w:r>
        <w:rPr>
          <w:color w:val="57585A"/>
          <w:spacing w:val="-11"/>
          <w:sz w:val="20"/>
          <w:szCs w:val="20"/>
        </w:rPr>
        <w:t>change, so the index scores cha</w:t>
      </w:r>
      <w:r>
        <w:rPr>
          <w:color w:val="57585A"/>
          <w:spacing w:val="-12"/>
          <w:sz w:val="20"/>
          <w:szCs w:val="20"/>
        </w:rPr>
        <w:t>nge, providing a dynamic and forward-looking result.</w:t>
      </w:r>
    </w:p>
    <w:p w14:paraId="2F8E26D5">
      <w:pPr>
        <w:pStyle w:val="4"/>
        <w:spacing w:line="262" w:lineRule="auto"/>
      </w:pPr>
    </w:p>
    <w:p w14:paraId="08459A29">
      <w:pPr>
        <w:pStyle w:val="4"/>
        <w:spacing w:before="58" w:line="233" w:lineRule="exact"/>
        <w:ind w:left="360"/>
        <w:rPr>
          <w:sz w:val="20"/>
          <w:szCs w:val="20"/>
        </w:rPr>
      </w:pPr>
      <w:r>
        <w:rPr>
          <w:color w:val="57585A"/>
          <w:spacing w:val="-13"/>
          <w:position w:val="2"/>
          <w:sz w:val="20"/>
          <w:szCs w:val="20"/>
        </w:rPr>
        <w:t xml:space="preserve">The Upstream Oil &amp; Gas Risk/Reward Index comprises </w:t>
      </w:r>
      <w:r>
        <w:rPr>
          <w:b/>
          <w:bCs/>
          <w:color w:val="57585A"/>
          <w:spacing w:val="-13"/>
          <w:position w:val="2"/>
          <w:sz w:val="20"/>
          <w:szCs w:val="20"/>
        </w:rPr>
        <w:t>72 markets</w:t>
      </w:r>
      <w:r>
        <w:rPr>
          <w:color w:val="57585A"/>
          <w:spacing w:val="-13"/>
          <w:position w:val="2"/>
          <w:sz w:val="20"/>
          <w:szCs w:val="20"/>
        </w:rPr>
        <w:t>.</w:t>
      </w:r>
    </w:p>
    <w:p w14:paraId="75ADAC9A">
      <w:pPr>
        <w:pStyle w:val="4"/>
        <w:spacing w:line="275" w:lineRule="auto"/>
      </w:pPr>
    </w:p>
    <w:p w14:paraId="067B999C">
      <w:pPr>
        <w:pStyle w:val="4"/>
        <w:spacing w:before="58" w:line="241" w:lineRule="auto"/>
        <w:ind w:left="375"/>
        <w:rPr>
          <w:sz w:val="20"/>
          <w:szCs w:val="20"/>
        </w:rPr>
      </w:pPr>
      <w:r>
        <w:rPr>
          <w:b/>
          <w:bCs/>
          <w:color w:val="57585A"/>
          <w:spacing w:val="-10"/>
          <w:sz w:val="20"/>
          <w:szCs w:val="20"/>
        </w:rPr>
        <w:t>Benefits Of Using Our Upstream</w:t>
      </w:r>
      <w:r>
        <w:rPr>
          <w:b/>
          <w:bCs/>
          <w:color w:val="57585A"/>
          <w:spacing w:val="-11"/>
          <w:sz w:val="20"/>
          <w:szCs w:val="20"/>
        </w:rPr>
        <w:t xml:space="preserve"> Oil &amp; Gas RRIs</w:t>
      </w:r>
    </w:p>
    <w:p w14:paraId="1AF1BB51">
      <w:pPr>
        <w:pStyle w:val="4"/>
        <w:spacing w:line="278" w:lineRule="auto"/>
      </w:pPr>
    </w:p>
    <w:p w14:paraId="3D948E92">
      <w:pPr>
        <w:pStyle w:val="4"/>
        <w:spacing w:before="58" w:line="263" w:lineRule="auto"/>
        <w:ind w:left="607" w:right="455" w:hanging="250"/>
        <w:rPr>
          <w:sz w:val="20"/>
          <w:szCs w:val="20"/>
        </w:rPr>
      </w:pPr>
      <w:r>
        <w:rPr>
          <w:color w:val="33CCFF"/>
          <w:spacing w:val="-10"/>
          <w:sz w:val="20"/>
          <w:szCs w:val="20"/>
        </w:rPr>
        <w:t xml:space="preserve">•   </w:t>
      </w:r>
      <w:r>
        <w:rPr>
          <w:b/>
          <w:bCs/>
          <w:color w:val="57585A"/>
          <w:spacing w:val="-10"/>
          <w:sz w:val="20"/>
          <w:szCs w:val="20"/>
        </w:rPr>
        <w:t>Global Index:</w:t>
      </w:r>
      <w:r>
        <w:rPr>
          <w:b/>
          <w:bCs/>
          <w:color w:val="57585A"/>
          <w:spacing w:val="-15"/>
          <w:sz w:val="20"/>
          <w:szCs w:val="20"/>
        </w:rPr>
        <w:t xml:space="preserve"> </w:t>
      </w:r>
      <w:r>
        <w:rPr>
          <w:color w:val="57585A"/>
          <w:spacing w:val="-10"/>
          <w:sz w:val="20"/>
          <w:szCs w:val="20"/>
        </w:rPr>
        <w:t>A global table, ranking all th</w:t>
      </w:r>
      <w:r>
        <w:rPr>
          <w:color w:val="57585A"/>
          <w:spacing w:val="-11"/>
          <w:sz w:val="20"/>
          <w:szCs w:val="20"/>
        </w:rPr>
        <w:t>e markets in our universe for upstream oil &amp; gas from most attractive (closest to zero)</w:t>
      </w:r>
      <w:r>
        <w:rPr>
          <w:color w:val="57585A"/>
          <w:sz w:val="20"/>
          <w:szCs w:val="20"/>
        </w:rPr>
        <w:t xml:space="preserve"> </w:t>
      </w:r>
      <w:r>
        <w:rPr>
          <w:color w:val="57585A"/>
          <w:spacing w:val="-10"/>
          <w:sz w:val="20"/>
          <w:szCs w:val="20"/>
        </w:rPr>
        <w:t>to most risk (closest to 100).</w:t>
      </w:r>
    </w:p>
    <w:p w14:paraId="6CD6D37F">
      <w:pPr>
        <w:pStyle w:val="4"/>
        <w:spacing w:before="55" w:line="241" w:lineRule="auto"/>
        <w:ind w:left="357"/>
        <w:rPr>
          <w:sz w:val="20"/>
          <w:szCs w:val="20"/>
        </w:rPr>
      </w:pPr>
      <w:r>
        <w:rPr>
          <w:color w:val="33CCFF"/>
          <w:spacing w:val="-10"/>
          <w:sz w:val="20"/>
          <w:szCs w:val="20"/>
        </w:rPr>
        <w:t xml:space="preserve">•   </w:t>
      </w:r>
      <w:r>
        <w:rPr>
          <w:b/>
          <w:bCs/>
          <w:color w:val="57585A"/>
          <w:spacing w:val="-10"/>
          <w:sz w:val="20"/>
          <w:szCs w:val="20"/>
        </w:rPr>
        <w:t xml:space="preserve">Accessibility: </w:t>
      </w:r>
      <w:r>
        <w:rPr>
          <w:color w:val="57585A"/>
          <w:spacing w:val="-10"/>
          <w:sz w:val="20"/>
          <w:szCs w:val="20"/>
        </w:rPr>
        <w:t>Easily accessible, top-down</w:t>
      </w:r>
      <w:r>
        <w:rPr>
          <w:color w:val="57585A"/>
          <w:spacing w:val="-16"/>
          <w:sz w:val="20"/>
          <w:szCs w:val="20"/>
        </w:rPr>
        <w:t xml:space="preserve"> </w:t>
      </w:r>
      <w:r>
        <w:rPr>
          <w:color w:val="57585A"/>
          <w:spacing w:val="-10"/>
          <w:sz w:val="20"/>
          <w:szCs w:val="20"/>
        </w:rPr>
        <w:t>view of</w:t>
      </w:r>
      <w:r>
        <w:rPr>
          <w:color w:val="57585A"/>
          <w:spacing w:val="-21"/>
          <w:sz w:val="20"/>
          <w:szCs w:val="20"/>
        </w:rPr>
        <w:t xml:space="preserve"> </w:t>
      </w:r>
      <w:r>
        <w:rPr>
          <w:color w:val="57585A"/>
          <w:spacing w:val="-10"/>
          <w:sz w:val="20"/>
          <w:szCs w:val="20"/>
        </w:rPr>
        <w:t xml:space="preserve">the global, regional or </w:t>
      </w:r>
      <w:r>
        <w:rPr>
          <w:color w:val="57585A"/>
          <w:spacing w:val="-11"/>
          <w:sz w:val="20"/>
          <w:szCs w:val="20"/>
        </w:rPr>
        <w:t>sub-regional risk/reward profiles.</w:t>
      </w:r>
    </w:p>
    <w:p w14:paraId="417C0099">
      <w:pPr>
        <w:spacing w:line="241" w:lineRule="auto"/>
        <w:rPr>
          <w:sz w:val="20"/>
          <w:szCs w:val="20"/>
        </w:rPr>
        <w:sectPr>
          <w:footerReference r:id="rId98" w:type="default"/>
          <w:pgSz w:w="11906" w:h="16838"/>
          <w:pgMar w:top="400" w:right="490" w:bottom="883" w:left="490" w:header="0" w:footer="0" w:gutter="0"/>
          <w:cols w:space="720" w:num="1"/>
        </w:sectPr>
      </w:pPr>
    </w:p>
    <w:p w14:paraId="5AD6C1EA">
      <w:pPr>
        <w:pStyle w:val="4"/>
        <w:spacing w:before="73" w:line="241" w:lineRule="auto"/>
        <w:ind w:left="7372"/>
        <w:rPr>
          <w:sz w:val="20"/>
          <w:szCs w:val="20"/>
        </w:rPr>
      </w:pPr>
      <w:r>
        <w:drawing>
          <wp:anchor distT="0" distB="0" distL="0" distR="0" simplePos="0" relativeHeight="25199820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2000256" behindDoc="0" locked="0" layoutInCell="0" allowOverlap="1">
            <wp:simplePos x="0" y="0"/>
            <wp:positionH relativeFrom="page">
              <wp:posOffset>311150</wp:posOffset>
            </wp:positionH>
            <wp:positionV relativeFrom="page">
              <wp:posOffset>0</wp:posOffset>
            </wp:positionV>
            <wp:extent cx="19050" cy="814070"/>
            <wp:effectExtent l="0" t="0" r="0" b="0"/>
            <wp:wrapNone/>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3E8DA52E">
      <w:pPr>
        <w:pStyle w:val="4"/>
        <w:spacing w:line="278" w:lineRule="auto"/>
      </w:pPr>
    </w:p>
    <w:p w14:paraId="340F901B">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DE6560B">
      <w:pPr>
        <w:pStyle w:val="4"/>
        <w:spacing w:line="468" w:lineRule="auto"/>
      </w:pPr>
    </w:p>
    <w:p w14:paraId="1E5DF54E">
      <w:pPr>
        <w:pStyle w:val="4"/>
        <w:spacing w:before="57" w:line="263" w:lineRule="auto"/>
        <w:ind w:left="607" w:right="474" w:hanging="250"/>
        <w:rPr>
          <w:sz w:val="20"/>
          <w:szCs w:val="20"/>
        </w:rPr>
      </w:pPr>
      <w:r>
        <w:rPr>
          <w:color w:val="33CCFF"/>
          <w:spacing w:val="-10"/>
          <w:sz w:val="20"/>
          <w:szCs w:val="20"/>
        </w:rPr>
        <w:t xml:space="preserve">•   </w:t>
      </w:r>
      <w:r>
        <w:rPr>
          <w:b/>
          <w:bCs/>
          <w:color w:val="57585A"/>
          <w:spacing w:val="-10"/>
          <w:sz w:val="20"/>
          <w:szCs w:val="20"/>
        </w:rPr>
        <w:t xml:space="preserve">Comparability: </w:t>
      </w:r>
      <w:r>
        <w:rPr>
          <w:color w:val="57585A"/>
          <w:spacing w:val="-10"/>
          <w:sz w:val="20"/>
          <w:szCs w:val="20"/>
        </w:rPr>
        <w:t>Identical methodology across 72 markets for</w:t>
      </w:r>
      <w:r>
        <w:rPr>
          <w:color w:val="57585A"/>
          <w:spacing w:val="-11"/>
          <w:sz w:val="20"/>
          <w:szCs w:val="20"/>
        </w:rPr>
        <w:t xml:space="preserve"> upstream oil &amp; gas allows users to build lists of markets they</w:t>
      </w:r>
      <w:r>
        <w:rPr>
          <w:color w:val="57585A"/>
          <w:spacing w:val="-15"/>
          <w:sz w:val="20"/>
          <w:szCs w:val="20"/>
        </w:rPr>
        <w:t xml:space="preserve"> </w:t>
      </w:r>
      <w:r>
        <w:rPr>
          <w:color w:val="57585A"/>
          <w:spacing w:val="-11"/>
          <w:sz w:val="20"/>
          <w:szCs w:val="20"/>
        </w:rPr>
        <w:t>wish</w:t>
      </w:r>
      <w:r>
        <w:rPr>
          <w:color w:val="57585A"/>
          <w:sz w:val="20"/>
          <w:szCs w:val="20"/>
        </w:rPr>
        <w:t xml:space="preserve"> </w:t>
      </w:r>
      <w:r>
        <w:rPr>
          <w:color w:val="57585A"/>
          <w:spacing w:val="-10"/>
          <w:sz w:val="20"/>
          <w:szCs w:val="20"/>
        </w:rPr>
        <w:t>to compare, beyond the confines of</w:t>
      </w:r>
      <w:r>
        <w:rPr>
          <w:color w:val="57585A"/>
          <w:spacing w:val="-17"/>
          <w:sz w:val="20"/>
          <w:szCs w:val="20"/>
        </w:rPr>
        <w:t xml:space="preserve"> </w:t>
      </w:r>
      <w:r>
        <w:rPr>
          <w:color w:val="57585A"/>
          <w:spacing w:val="-10"/>
          <w:sz w:val="20"/>
          <w:szCs w:val="20"/>
        </w:rPr>
        <w:t>a gl</w:t>
      </w:r>
      <w:r>
        <w:rPr>
          <w:color w:val="57585A"/>
          <w:spacing w:val="-11"/>
          <w:sz w:val="20"/>
          <w:szCs w:val="20"/>
        </w:rPr>
        <w:t>obal or regional grouping.</w:t>
      </w:r>
    </w:p>
    <w:p w14:paraId="34F9F5E6">
      <w:pPr>
        <w:pStyle w:val="4"/>
        <w:spacing w:before="56" w:line="264" w:lineRule="auto"/>
        <w:ind w:left="607" w:right="688" w:hanging="250"/>
        <w:rPr>
          <w:sz w:val="20"/>
          <w:szCs w:val="20"/>
        </w:rPr>
      </w:pPr>
      <w:r>
        <w:rPr>
          <w:color w:val="33CCFF"/>
          <w:spacing w:val="-10"/>
          <w:sz w:val="20"/>
          <w:szCs w:val="20"/>
        </w:rPr>
        <w:t xml:space="preserve">•   </w:t>
      </w:r>
      <w:r>
        <w:rPr>
          <w:b/>
          <w:bCs/>
          <w:color w:val="57585A"/>
          <w:spacing w:val="-10"/>
          <w:sz w:val="20"/>
          <w:szCs w:val="20"/>
        </w:rPr>
        <w:t xml:space="preserve">Scoring: </w:t>
      </w:r>
      <w:r>
        <w:rPr>
          <w:color w:val="57585A"/>
          <w:spacing w:val="-10"/>
          <w:sz w:val="20"/>
          <w:szCs w:val="20"/>
        </w:rPr>
        <w:t>Scores out of 100</w:t>
      </w:r>
      <w:r>
        <w:rPr>
          <w:color w:val="57585A"/>
          <w:spacing w:val="-15"/>
          <w:sz w:val="20"/>
          <w:szCs w:val="20"/>
        </w:rPr>
        <w:t xml:space="preserve"> </w:t>
      </w:r>
      <w:r>
        <w:rPr>
          <w:color w:val="57585A"/>
          <w:spacing w:val="-10"/>
          <w:sz w:val="20"/>
          <w:szCs w:val="20"/>
        </w:rPr>
        <w:t>with a</w:t>
      </w:r>
      <w:r>
        <w:rPr>
          <w:color w:val="57585A"/>
          <w:spacing w:val="-16"/>
          <w:sz w:val="20"/>
          <w:szCs w:val="20"/>
        </w:rPr>
        <w:t xml:space="preserve"> </w:t>
      </w:r>
      <w:r>
        <w:rPr>
          <w:color w:val="57585A"/>
          <w:spacing w:val="-10"/>
          <w:sz w:val="20"/>
          <w:szCs w:val="20"/>
        </w:rPr>
        <w:t>wide dist</w:t>
      </w:r>
      <w:r>
        <w:rPr>
          <w:color w:val="57585A"/>
          <w:spacing w:val="-11"/>
          <w:sz w:val="20"/>
          <w:szCs w:val="20"/>
        </w:rPr>
        <w:t>ribution provide nuanced investment comparisons.</w:t>
      </w:r>
      <w:r>
        <w:rPr>
          <w:color w:val="57585A"/>
          <w:spacing w:val="-15"/>
          <w:sz w:val="20"/>
          <w:szCs w:val="20"/>
        </w:rPr>
        <w:t xml:space="preserve"> </w:t>
      </w:r>
      <w:r>
        <w:rPr>
          <w:color w:val="57585A"/>
          <w:spacing w:val="-11"/>
          <w:sz w:val="20"/>
          <w:szCs w:val="20"/>
        </w:rPr>
        <w:t>The higher the score, the less</w:t>
      </w:r>
      <w:r>
        <w:rPr>
          <w:color w:val="57585A"/>
          <w:sz w:val="20"/>
          <w:szCs w:val="20"/>
        </w:rPr>
        <w:t xml:space="preserve"> </w:t>
      </w:r>
      <w:r>
        <w:rPr>
          <w:color w:val="57585A"/>
          <w:spacing w:val="-10"/>
          <w:sz w:val="20"/>
          <w:szCs w:val="20"/>
        </w:rPr>
        <w:t>favourable</w:t>
      </w:r>
      <w:r>
        <w:rPr>
          <w:color w:val="57585A"/>
          <w:spacing w:val="-6"/>
          <w:sz w:val="20"/>
          <w:szCs w:val="20"/>
        </w:rPr>
        <w:t xml:space="preserve"> </w:t>
      </w:r>
      <w:r>
        <w:rPr>
          <w:color w:val="57585A"/>
          <w:spacing w:val="-10"/>
          <w:sz w:val="20"/>
          <w:szCs w:val="20"/>
        </w:rPr>
        <w:t>the profile.</w:t>
      </w:r>
    </w:p>
    <w:p w14:paraId="08504419">
      <w:pPr>
        <w:pStyle w:val="4"/>
        <w:spacing w:before="55" w:line="262" w:lineRule="auto"/>
        <w:ind w:left="612" w:right="411" w:hanging="255"/>
        <w:rPr>
          <w:sz w:val="20"/>
          <w:szCs w:val="20"/>
        </w:rPr>
      </w:pPr>
      <w:r>
        <w:rPr>
          <w:color w:val="33CCFF"/>
          <w:spacing w:val="-10"/>
          <w:sz w:val="20"/>
          <w:szCs w:val="20"/>
        </w:rPr>
        <w:t xml:space="preserve">•   </w:t>
      </w:r>
      <w:r>
        <w:rPr>
          <w:b/>
          <w:bCs/>
          <w:color w:val="57585A"/>
          <w:spacing w:val="-10"/>
          <w:sz w:val="20"/>
          <w:szCs w:val="20"/>
        </w:rPr>
        <w:t xml:space="preserve">Quantifiable: </w:t>
      </w:r>
      <w:r>
        <w:rPr>
          <w:color w:val="57585A"/>
          <w:spacing w:val="-10"/>
          <w:sz w:val="20"/>
          <w:szCs w:val="20"/>
        </w:rPr>
        <w:t>Quantifies the rewards and risks of</w:t>
      </w:r>
      <w:r>
        <w:rPr>
          <w:color w:val="57585A"/>
          <w:spacing w:val="-16"/>
          <w:sz w:val="20"/>
          <w:szCs w:val="20"/>
        </w:rPr>
        <w:t xml:space="preserve"> </w:t>
      </w:r>
      <w:r>
        <w:rPr>
          <w:color w:val="57585A"/>
          <w:spacing w:val="-10"/>
          <w:sz w:val="20"/>
          <w:szCs w:val="20"/>
        </w:rPr>
        <w:t>doing business in the upstream industry in different markets around the</w:t>
      </w:r>
      <w:r>
        <w:rPr>
          <w:color w:val="57585A"/>
          <w:spacing w:val="-15"/>
          <w:sz w:val="20"/>
          <w:szCs w:val="20"/>
        </w:rPr>
        <w:t xml:space="preserve"> </w:t>
      </w:r>
      <w:r>
        <w:rPr>
          <w:color w:val="57585A"/>
          <w:spacing w:val="-10"/>
          <w:sz w:val="20"/>
          <w:szCs w:val="20"/>
        </w:rPr>
        <w:t>world</w:t>
      </w:r>
      <w:r>
        <w:rPr>
          <w:color w:val="57585A"/>
          <w:sz w:val="20"/>
          <w:szCs w:val="20"/>
        </w:rPr>
        <w:t xml:space="preserve"> </w:t>
      </w:r>
      <w:r>
        <w:rPr>
          <w:color w:val="57585A"/>
          <w:spacing w:val="-10"/>
          <w:sz w:val="20"/>
          <w:szCs w:val="20"/>
        </w:rPr>
        <w:t>and helps identify flashpoints</w:t>
      </w:r>
      <w:r>
        <w:rPr>
          <w:color w:val="57585A"/>
          <w:spacing w:val="-11"/>
          <w:sz w:val="20"/>
          <w:szCs w:val="20"/>
        </w:rPr>
        <w:t xml:space="preserve"> in the overall business environment.</w:t>
      </w:r>
    </w:p>
    <w:p w14:paraId="0F0B6BCC">
      <w:pPr>
        <w:pStyle w:val="4"/>
        <w:spacing w:before="56" w:line="263" w:lineRule="auto"/>
        <w:ind w:left="612" w:right="579" w:hanging="255"/>
        <w:rPr>
          <w:sz w:val="20"/>
          <w:szCs w:val="20"/>
        </w:rPr>
      </w:pPr>
      <w:r>
        <w:rPr>
          <w:color w:val="33CCFF"/>
          <w:spacing w:val="-11"/>
          <w:sz w:val="20"/>
          <w:szCs w:val="20"/>
        </w:rPr>
        <w:t xml:space="preserve">•   </w:t>
      </w:r>
      <w:r>
        <w:rPr>
          <w:b/>
          <w:bCs/>
          <w:color w:val="57585A"/>
          <w:spacing w:val="-11"/>
          <w:sz w:val="20"/>
          <w:szCs w:val="20"/>
        </w:rPr>
        <w:t xml:space="preserve">Comprehensive: </w:t>
      </w:r>
      <w:r>
        <w:rPr>
          <w:color w:val="57585A"/>
          <w:spacing w:val="-11"/>
          <w:sz w:val="20"/>
          <w:szCs w:val="20"/>
        </w:rPr>
        <w:t>Comprehensive set of indicators assessing industry-specific risks and rewards alongside political, econo</w:t>
      </w:r>
      <w:r>
        <w:rPr>
          <w:color w:val="57585A"/>
          <w:spacing w:val="-12"/>
          <w:sz w:val="20"/>
          <w:szCs w:val="20"/>
        </w:rPr>
        <w:t>mic</w:t>
      </w:r>
      <w:r>
        <w:rPr>
          <w:color w:val="57585A"/>
          <w:sz w:val="20"/>
          <w:szCs w:val="20"/>
        </w:rPr>
        <w:t xml:space="preserve"> </w:t>
      </w:r>
      <w:r>
        <w:rPr>
          <w:color w:val="57585A"/>
          <w:spacing w:val="-12"/>
          <w:sz w:val="20"/>
          <w:szCs w:val="20"/>
        </w:rPr>
        <w:t>and operating risks.</w:t>
      </w:r>
    </w:p>
    <w:p w14:paraId="4BC08690">
      <w:pPr>
        <w:pStyle w:val="4"/>
        <w:spacing w:before="56" w:line="263" w:lineRule="auto"/>
        <w:ind w:left="612" w:right="785" w:hanging="255"/>
        <w:rPr>
          <w:sz w:val="20"/>
          <w:szCs w:val="20"/>
        </w:rPr>
      </w:pPr>
      <w:r>
        <w:rPr>
          <w:color w:val="33CCFF"/>
          <w:spacing w:val="-10"/>
          <w:sz w:val="20"/>
          <w:szCs w:val="20"/>
        </w:rPr>
        <w:t xml:space="preserve">•   </w:t>
      </w:r>
      <w:r>
        <w:rPr>
          <w:b/>
          <w:bCs/>
          <w:color w:val="57585A"/>
          <w:spacing w:val="-10"/>
          <w:sz w:val="20"/>
          <w:szCs w:val="20"/>
        </w:rPr>
        <w:t>Entry Point:</w:t>
      </w:r>
      <w:r>
        <w:rPr>
          <w:b/>
          <w:bCs/>
          <w:color w:val="57585A"/>
          <w:spacing w:val="-16"/>
          <w:sz w:val="20"/>
          <w:szCs w:val="20"/>
        </w:rPr>
        <w:t xml:space="preserve"> </w:t>
      </w:r>
      <w:r>
        <w:rPr>
          <w:color w:val="57585A"/>
          <w:spacing w:val="-10"/>
          <w:sz w:val="20"/>
          <w:szCs w:val="20"/>
        </w:rPr>
        <w:t>A starting point to assess the outlook for the upstream oil &amp; gas industry, from</w:t>
      </w:r>
      <w:r>
        <w:rPr>
          <w:color w:val="57585A"/>
          <w:spacing w:val="-15"/>
          <w:sz w:val="20"/>
          <w:szCs w:val="20"/>
        </w:rPr>
        <w:t xml:space="preserve"> </w:t>
      </w:r>
      <w:r>
        <w:rPr>
          <w:color w:val="57585A"/>
          <w:spacing w:val="-10"/>
          <w:sz w:val="20"/>
          <w:szCs w:val="20"/>
        </w:rPr>
        <w:t>which</w:t>
      </w:r>
      <w:r>
        <w:rPr>
          <w:color w:val="57585A"/>
          <w:spacing w:val="-11"/>
          <w:sz w:val="20"/>
          <w:szCs w:val="20"/>
        </w:rPr>
        <w:t xml:space="preserve"> users can dive into more</w:t>
      </w:r>
      <w:r>
        <w:rPr>
          <w:color w:val="57585A"/>
          <w:sz w:val="20"/>
          <w:szCs w:val="20"/>
        </w:rPr>
        <w:t xml:space="preserve"> </w:t>
      </w:r>
      <w:r>
        <w:rPr>
          <w:color w:val="57585A"/>
          <w:spacing w:val="-11"/>
          <w:sz w:val="20"/>
          <w:szCs w:val="20"/>
        </w:rPr>
        <w:t>granular forecasts and analysis</w:t>
      </w:r>
      <w:r>
        <w:rPr>
          <w:color w:val="57585A"/>
          <w:spacing w:val="-12"/>
          <w:sz w:val="20"/>
          <w:szCs w:val="20"/>
        </w:rPr>
        <w:t xml:space="preserve"> </w:t>
      </w:r>
      <w:r>
        <w:rPr>
          <w:color w:val="57585A"/>
          <w:spacing w:val="-11"/>
          <w:sz w:val="20"/>
          <w:szCs w:val="20"/>
        </w:rPr>
        <w:t>to gain a deeper under</w:t>
      </w:r>
      <w:r>
        <w:rPr>
          <w:color w:val="57585A"/>
          <w:spacing w:val="-12"/>
          <w:sz w:val="20"/>
          <w:szCs w:val="20"/>
        </w:rPr>
        <w:t>standing of</w:t>
      </w:r>
      <w:r>
        <w:rPr>
          <w:color w:val="57585A"/>
          <w:spacing w:val="-21"/>
          <w:sz w:val="20"/>
          <w:szCs w:val="20"/>
        </w:rPr>
        <w:t xml:space="preserve"> </w:t>
      </w:r>
      <w:r>
        <w:rPr>
          <w:color w:val="57585A"/>
          <w:spacing w:val="-12"/>
          <w:sz w:val="20"/>
          <w:szCs w:val="20"/>
        </w:rPr>
        <w:t>the market.</w:t>
      </w:r>
    </w:p>
    <w:p w14:paraId="2CCA4C2A">
      <w:pPr>
        <w:pStyle w:val="4"/>
        <w:spacing w:before="55" w:line="241" w:lineRule="auto"/>
        <w:ind w:left="357"/>
        <w:rPr>
          <w:sz w:val="20"/>
          <w:szCs w:val="20"/>
        </w:rPr>
      </w:pPr>
      <w:r>
        <w:rPr>
          <w:color w:val="33CCFF"/>
          <w:spacing w:val="-10"/>
          <w:sz w:val="20"/>
          <w:szCs w:val="20"/>
        </w:rPr>
        <w:t xml:space="preserve">•   </w:t>
      </w:r>
      <w:r>
        <w:rPr>
          <w:b/>
          <w:bCs/>
          <w:color w:val="57585A"/>
          <w:spacing w:val="-10"/>
          <w:sz w:val="20"/>
          <w:szCs w:val="20"/>
        </w:rPr>
        <w:t xml:space="preserve">Balanced: </w:t>
      </w:r>
      <w:r>
        <w:rPr>
          <w:color w:val="57585A"/>
          <w:spacing w:val="-10"/>
          <w:sz w:val="20"/>
          <w:szCs w:val="20"/>
        </w:rPr>
        <w:t>Multi-indicator structure prevents outliers and extremes from distorting final scores and rankings.</w:t>
      </w:r>
    </w:p>
    <w:p w14:paraId="3B391DD2">
      <w:pPr>
        <w:pStyle w:val="4"/>
        <w:spacing w:before="52" w:line="234" w:lineRule="auto"/>
        <w:ind w:left="357"/>
        <w:rPr>
          <w:sz w:val="20"/>
          <w:szCs w:val="20"/>
        </w:rPr>
      </w:pPr>
      <w:r>
        <w:rPr>
          <w:color w:val="33CCFF"/>
          <w:spacing w:val="-10"/>
          <w:sz w:val="20"/>
          <w:szCs w:val="20"/>
        </w:rPr>
        <w:t xml:space="preserve">•   </w:t>
      </w:r>
      <w:r>
        <w:rPr>
          <w:b/>
          <w:bCs/>
          <w:color w:val="57585A"/>
          <w:spacing w:val="-10"/>
          <w:sz w:val="20"/>
          <w:szCs w:val="20"/>
        </w:rPr>
        <w:t xml:space="preserve">Methodology: </w:t>
      </w:r>
      <w:r>
        <w:rPr>
          <w:color w:val="57585A"/>
          <w:spacing w:val="-10"/>
          <w:sz w:val="20"/>
          <w:szCs w:val="20"/>
        </w:rPr>
        <w:t>It is a combination of proprietary BMI forecasts</w:t>
      </w:r>
      <w:r>
        <w:rPr>
          <w:color w:val="57585A"/>
          <w:spacing w:val="-11"/>
          <w:sz w:val="20"/>
          <w:szCs w:val="20"/>
        </w:rPr>
        <w:t>, analyst insights and globally acceptable benchmark indicators.</w:t>
      </w:r>
    </w:p>
    <w:p w14:paraId="2D45E4E4">
      <w:pPr>
        <w:pStyle w:val="4"/>
        <w:spacing w:line="304" w:lineRule="auto"/>
      </w:pPr>
    </w:p>
    <w:p w14:paraId="2F6B07A8">
      <w:pPr>
        <w:pStyle w:val="4"/>
        <w:spacing w:line="305" w:lineRule="auto"/>
      </w:pPr>
    </w:p>
    <w:p w14:paraId="41D5DF4F">
      <w:pPr>
        <w:pStyle w:val="4"/>
        <w:spacing w:before="70" w:line="234" w:lineRule="auto"/>
        <w:ind w:left="3499"/>
        <w:rPr>
          <w:sz w:val="24"/>
          <w:szCs w:val="24"/>
        </w:rPr>
      </w:pPr>
      <w:r>
        <w:rPr>
          <w:color w:val="174174"/>
          <w:spacing w:val="-9"/>
          <w:sz w:val="24"/>
          <w:szCs w:val="24"/>
        </w:rPr>
        <w:t>Weightings Of</w:t>
      </w:r>
      <w:r>
        <w:rPr>
          <w:color w:val="174174"/>
          <w:spacing w:val="-20"/>
          <w:sz w:val="24"/>
          <w:szCs w:val="24"/>
        </w:rPr>
        <w:t xml:space="preserve"> </w:t>
      </w:r>
      <w:r>
        <w:rPr>
          <w:color w:val="174174"/>
          <w:spacing w:val="-9"/>
          <w:sz w:val="24"/>
          <w:szCs w:val="24"/>
        </w:rPr>
        <w:t>Categori</w:t>
      </w:r>
      <w:r>
        <w:rPr>
          <w:color w:val="174174"/>
          <w:spacing w:val="-10"/>
          <w:sz w:val="24"/>
          <w:szCs w:val="24"/>
        </w:rPr>
        <w:t>es</w:t>
      </w:r>
      <w:r>
        <w:rPr>
          <w:color w:val="174174"/>
          <w:spacing w:val="-18"/>
          <w:sz w:val="24"/>
          <w:szCs w:val="24"/>
        </w:rPr>
        <w:t xml:space="preserve"> </w:t>
      </w:r>
      <w:r>
        <w:rPr>
          <w:color w:val="174174"/>
          <w:spacing w:val="-10"/>
          <w:sz w:val="24"/>
          <w:szCs w:val="24"/>
        </w:rPr>
        <w:t>And Indicators</w:t>
      </w:r>
    </w:p>
    <w:p w14:paraId="7C9276EF">
      <w:pPr>
        <w:pStyle w:val="4"/>
        <w:spacing w:before="32" w:line="234" w:lineRule="auto"/>
        <w:ind w:left="4348"/>
        <w:rPr>
          <w:sz w:val="20"/>
          <w:szCs w:val="20"/>
        </w:rPr>
      </w:pPr>
      <w:r>
        <w:rPr>
          <w:color w:val="333333"/>
          <w:spacing w:val="-13"/>
          <w:sz w:val="20"/>
          <w:szCs w:val="20"/>
        </w:rPr>
        <w:t>Upstream Risk/Reward Index</w:t>
      </w:r>
    </w:p>
    <w:p w14:paraId="1968BBF1">
      <w:pPr>
        <w:spacing w:before="94" w:line="5100" w:lineRule="exact"/>
        <w:ind w:firstLine="662"/>
      </w:pPr>
      <w:r>
        <w:drawing>
          <wp:anchor distT="0" distB="0" distL="0" distR="0" simplePos="0" relativeHeight="251999232" behindDoc="0" locked="0" layoutInCell="1" allowOverlap="1">
            <wp:simplePos x="0" y="0"/>
            <wp:positionH relativeFrom="column">
              <wp:posOffset>227965</wp:posOffset>
            </wp:positionH>
            <wp:positionV relativeFrom="paragraph">
              <wp:posOffset>3385820</wp:posOffset>
            </wp:positionV>
            <wp:extent cx="6480175" cy="9525"/>
            <wp:effectExtent l="0" t="0" r="0" b="0"/>
            <wp:wrapNone/>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159"/>
                    <a:stretch>
                      <a:fillRect/>
                    </a:stretch>
                  </pic:blipFill>
                  <pic:spPr>
                    <a:xfrm>
                      <a:off x="0" y="0"/>
                      <a:ext cx="6479999" cy="9525"/>
                    </a:xfrm>
                    <a:prstGeom prst="rect">
                      <a:avLst/>
                    </a:prstGeom>
                  </pic:spPr>
                </pic:pic>
              </a:graphicData>
            </a:graphic>
          </wp:anchor>
        </w:drawing>
      </w:r>
      <w:r>
        <w:rPr>
          <w:position w:val="-101"/>
        </w:rPr>
        <w:drawing>
          <wp:inline distT="0" distB="0" distL="0" distR="0">
            <wp:extent cx="6096000" cy="3237865"/>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160"/>
                    <a:stretch>
                      <a:fillRect/>
                    </a:stretch>
                  </pic:blipFill>
                  <pic:spPr>
                    <a:xfrm>
                      <a:off x="0" y="0"/>
                      <a:ext cx="6096000" cy="3238499"/>
                    </a:xfrm>
                    <a:prstGeom prst="rect">
                      <a:avLst/>
                    </a:prstGeom>
                  </pic:spPr>
                </pic:pic>
              </a:graphicData>
            </a:graphic>
          </wp:inline>
        </w:drawing>
      </w:r>
    </w:p>
    <w:p w14:paraId="2B105926">
      <w:pPr>
        <w:pStyle w:val="4"/>
        <w:spacing w:before="182" w:line="186" w:lineRule="auto"/>
        <w:ind w:left="368"/>
        <w:rPr>
          <w:sz w:val="15"/>
          <w:szCs w:val="15"/>
        </w:rPr>
      </w:pPr>
      <w:r>
        <w:rPr>
          <w:i/>
          <w:iCs/>
          <w:color w:val="333333"/>
          <w:spacing w:val="-7"/>
          <w:w w:val="93"/>
          <w:sz w:val="15"/>
          <w:szCs w:val="15"/>
        </w:rPr>
        <w:t>Source: BMI</w:t>
      </w:r>
    </w:p>
    <w:p w14:paraId="0F87D880">
      <w:pPr>
        <w:pStyle w:val="4"/>
        <w:spacing w:line="322" w:lineRule="auto"/>
      </w:pPr>
    </w:p>
    <w:p w14:paraId="7C9ED390">
      <w:pPr>
        <w:pStyle w:val="4"/>
        <w:spacing w:before="58" w:line="231" w:lineRule="auto"/>
        <w:ind w:left="360"/>
        <w:rPr>
          <w:sz w:val="20"/>
          <w:szCs w:val="20"/>
        </w:rPr>
      </w:pPr>
      <w:r>
        <w:rPr>
          <w:color w:val="57585A"/>
          <w:spacing w:val="-11"/>
          <w:sz w:val="20"/>
          <w:szCs w:val="20"/>
        </w:rPr>
        <w:t>The RRI matrix is divided i</w:t>
      </w:r>
      <w:r>
        <w:rPr>
          <w:color w:val="57585A"/>
          <w:spacing w:val="-12"/>
          <w:sz w:val="20"/>
          <w:szCs w:val="20"/>
        </w:rPr>
        <w:t>nto two distinct categories:</w:t>
      </w:r>
    </w:p>
    <w:p w14:paraId="1D103AF8">
      <w:pPr>
        <w:pStyle w:val="4"/>
        <w:spacing w:line="284" w:lineRule="auto"/>
      </w:pPr>
    </w:p>
    <w:p w14:paraId="7DB09CAF">
      <w:pPr>
        <w:pStyle w:val="4"/>
        <w:spacing w:before="58" w:line="272" w:lineRule="auto"/>
        <w:ind w:left="369" w:right="1260" w:firstLine="5"/>
        <w:rPr>
          <w:sz w:val="20"/>
          <w:szCs w:val="20"/>
        </w:rPr>
      </w:pPr>
      <w:r>
        <w:rPr>
          <w:b/>
          <w:bCs/>
          <w:color w:val="57585A"/>
          <w:spacing w:val="-10"/>
          <w:sz w:val="20"/>
          <w:szCs w:val="20"/>
        </w:rPr>
        <w:t xml:space="preserve">Rewards: </w:t>
      </w:r>
      <w:r>
        <w:rPr>
          <w:color w:val="57585A"/>
          <w:spacing w:val="-10"/>
          <w:sz w:val="20"/>
          <w:szCs w:val="20"/>
        </w:rPr>
        <w:t>Evaluation of</w:t>
      </w:r>
      <w:r>
        <w:rPr>
          <w:color w:val="57585A"/>
          <w:spacing w:val="-17"/>
          <w:sz w:val="20"/>
          <w:szCs w:val="20"/>
        </w:rPr>
        <w:t xml:space="preserve"> </w:t>
      </w:r>
      <w:r>
        <w:rPr>
          <w:color w:val="57585A"/>
          <w:spacing w:val="-10"/>
          <w:sz w:val="20"/>
          <w:szCs w:val="20"/>
        </w:rPr>
        <w:t>an industry's si</w:t>
      </w:r>
      <w:r>
        <w:rPr>
          <w:color w:val="57585A"/>
          <w:spacing w:val="-11"/>
          <w:sz w:val="20"/>
          <w:szCs w:val="20"/>
        </w:rPr>
        <w:t>ze and growth potential (</w:t>
      </w:r>
      <w:r>
        <w:rPr>
          <w:b/>
          <w:bCs/>
          <w:color w:val="57585A"/>
          <w:spacing w:val="-11"/>
          <w:sz w:val="20"/>
          <w:szCs w:val="20"/>
        </w:rPr>
        <w:t>Industry Rewards</w:t>
      </w:r>
      <w:r>
        <w:rPr>
          <w:color w:val="57585A"/>
          <w:spacing w:val="-11"/>
          <w:sz w:val="20"/>
          <w:szCs w:val="20"/>
        </w:rPr>
        <w:t>), and macro industry and/or market</w:t>
      </w:r>
      <w:r>
        <w:rPr>
          <w:color w:val="57585A"/>
          <w:sz w:val="20"/>
          <w:szCs w:val="20"/>
        </w:rPr>
        <w:t xml:space="preserve"> </w:t>
      </w:r>
      <w:r>
        <w:rPr>
          <w:color w:val="57585A"/>
          <w:spacing w:val="-10"/>
          <w:sz w:val="20"/>
          <w:szCs w:val="20"/>
        </w:rPr>
        <w:t>characteristics that directly affect the size of business opportunities in a specific industry (</w:t>
      </w:r>
      <w:r>
        <w:rPr>
          <w:b/>
          <w:bCs/>
          <w:color w:val="57585A"/>
          <w:spacing w:val="-11"/>
          <w:sz w:val="20"/>
          <w:szCs w:val="20"/>
        </w:rPr>
        <w:t>Country Rewards</w:t>
      </w:r>
      <w:r>
        <w:rPr>
          <w:color w:val="57585A"/>
          <w:spacing w:val="-11"/>
          <w:sz w:val="20"/>
          <w:szCs w:val="20"/>
        </w:rPr>
        <w:t>).</w:t>
      </w:r>
    </w:p>
    <w:p w14:paraId="59A53010">
      <w:pPr>
        <w:pStyle w:val="4"/>
        <w:spacing w:line="266" w:lineRule="auto"/>
      </w:pPr>
    </w:p>
    <w:p w14:paraId="62CC015A">
      <w:pPr>
        <w:pStyle w:val="4"/>
        <w:spacing w:before="59" w:line="272" w:lineRule="auto"/>
        <w:ind w:left="369" w:right="381" w:firstLine="6"/>
        <w:rPr>
          <w:sz w:val="20"/>
          <w:szCs w:val="20"/>
        </w:rPr>
      </w:pPr>
      <w:r>
        <w:rPr>
          <w:b/>
          <w:bCs/>
          <w:color w:val="57585A"/>
          <w:spacing w:val="-10"/>
          <w:sz w:val="20"/>
          <w:szCs w:val="20"/>
        </w:rPr>
        <w:t xml:space="preserve">Risks: </w:t>
      </w:r>
      <w:r>
        <w:rPr>
          <w:color w:val="57585A"/>
          <w:spacing w:val="-10"/>
          <w:sz w:val="20"/>
          <w:szCs w:val="20"/>
        </w:rPr>
        <w:t>Evaluation of micro, industr</w:t>
      </w:r>
      <w:r>
        <w:rPr>
          <w:color w:val="57585A"/>
          <w:spacing w:val="-11"/>
          <w:sz w:val="20"/>
          <w:szCs w:val="20"/>
        </w:rPr>
        <w:t>y-specific characteristics, crucial for an industry to develop to its potential (</w:t>
      </w:r>
      <w:r>
        <w:rPr>
          <w:b/>
          <w:bCs/>
          <w:color w:val="57585A"/>
          <w:spacing w:val="-11"/>
          <w:sz w:val="20"/>
          <w:szCs w:val="20"/>
        </w:rPr>
        <w:t>Industry Risks</w:t>
      </w:r>
      <w:r>
        <w:rPr>
          <w:color w:val="57585A"/>
          <w:spacing w:val="-11"/>
          <w:sz w:val="20"/>
          <w:szCs w:val="20"/>
        </w:rPr>
        <w:t>) and a</w:t>
      </w:r>
      <w:r>
        <w:rPr>
          <w:color w:val="57585A"/>
          <w:sz w:val="20"/>
          <w:szCs w:val="20"/>
        </w:rPr>
        <w:t xml:space="preserve"> </w:t>
      </w:r>
      <w:r>
        <w:rPr>
          <w:color w:val="57585A"/>
          <w:spacing w:val="-10"/>
          <w:sz w:val="20"/>
          <w:szCs w:val="20"/>
        </w:rPr>
        <w:t>quantifiable assessment of</w:t>
      </w:r>
      <w:r>
        <w:rPr>
          <w:color w:val="57585A"/>
          <w:spacing w:val="-21"/>
          <w:sz w:val="20"/>
          <w:szCs w:val="20"/>
        </w:rPr>
        <w:t xml:space="preserve"> </w:t>
      </w:r>
      <w:r>
        <w:rPr>
          <w:color w:val="57585A"/>
          <w:spacing w:val="-10"/>
          <w:sz w:val="20"/>
          <w:szCs w:val="20"/>
        </w:rPr>
        <w:t>the political, economic and operational pr</w:t>
      </w:r>
      <w:r>
        <w:rPr>
          <w:color w:val="57585A"/>
          <w:spacing w:val="-11"/>
          <w:sz w:val="20"/>
          <w:szCs w:val="20"/>
        </w:rPr>
        <w:t>ofile (</w:t>
      </w:r>
      <w:r>
        <w:rPr>
          <w:b/>
          <w:bCs/>
          <w:color w:val="57585A"/>
          <w:spacing w:val="-11"/>
          <w:sz w:val="20"/>
          <w:szCs w:val="20"/>
        </w:rPr>
        <w:t>Country Risks</w:t>
      </w:r>
      <w:r>
        <w:rPr>
          <w:color w:val="57585A"/>
          <w:spacing w:val="-11"/>
          <w:sz w:val="20"/>
          <w:szCs w:val="20"/>
        </w:rPr>
        <w:t>).</w:t>
      </w:r>
    </w:p>
    <w:p w14:paraId="50EC129D">
      <w:pPr>
        <w:pStyle w:val="4"/>
        <w:spacing w:line="267" w:lineRule="auto"/>
      </w:pPr>
    </w:p>
    <w:p w14:paraId="14C63116">
      <w:pPr>
        <w:pStyle w:val="4"/>
        <w:spacing w:before="58" w:line="241" w:lineRule="auto"/>
        <w:ind w:left="359"/>
        <w:rPr>
          <w:sz w:val="20"/>
          <w:szCs w:val="20"/>
        </w:rPr>
      </w:pPr>
      <w:r>
        <w:rPr>
          <w:b/>
          <w:bCs/>
          <w:color w:val="57585A"/>
          <w:spacing w:val="-11"/>
          <w:sz w:val="20"/>
          <w:szCs w:val="20"/>
        </w:rPr>
        <w:t>Assessing Our</w:t>
      </w:r>
      <w:r>
        <w:rPr>
          <w:b/>
          <w:bCs/>
          <w:color w:val="57585A"/>
          <w:spacing w:val="-1"/>
          <w:sz w:val="20"/>
          <w:szCs w:val="20"/>
        </w:rPr>
        <w:t xml:space="preserve"> </w:t>
      </w:r>
      <w:r>
        <w:rPr>
          <w:b/>
          <w:bCs/>
          <w:color w:val="57585A"/>
          <w:spacing w:val="-11"/>
          <w:sz w:val="20"/>
          <w:szCs w:val="20"/>
        </w:rPr>
        <w:t>Weightings</w:t>
      </w:r>
    </w:p>
    <w:p w14:paraId="512E4173">
      <w:pPr>
        <w:pStyle w:val="4"/>
        <w:spacing w:line="277" w:lineRule="auto"/>
      </w:pPr>
    </w:p>
    <w:p w14:paraId="528A3271">
      <w:pPr>
        <w:pStyle w:val="4"/>
        <w:spacing w:before="58" w:line="272" w:lineRule="auto"/>
        <w:ind w:left="366" w:right="486" w:firstLine="2"/>
        <w:rPr>
          <w:sz w:val="20"/>
          <w:szCs w:val="20"/>
        </w:rPr>
      </w:pPr>
      <w:r>
        <w:rPr>
          <w:color w:val="57585A"/>
          <w:spacing w:val="-11"/>
          <w:sz w:val="20"/>
          <w:szCs w:val="20"/>
        </w:rPr>
        <w:t xml:space="preserve">Our matrix is deliberately overweight on </w:t>
      </w:r>
      <w:r>
        <w:rPr>
          <w:b/>
          <w:bCs/>
          <w:color w:val="57585A"/>
          <w:spacing w:val="-11"/>
          <w:sz w:val="20"/>
          <w:szCs w:val="20"/>
        </w:rPr>
        <w:t xml:space="preserve">Rewards </w:t>
      </w:r>
      <w:r>
        <w:rPr>
          <w:color w:val="57585A"/>
          <w:spacing w:val="-11"/>
          <w:sz w:val="20"/>
          <w:szCs w:val="20"/>
        </w:rPr>
        <w:t>(90% of</w:t>
      </w:r>
      <w:r>
        <w:rPr>
          <w:color w:val="57585A"/>
          <w:spacing w:val="-21"/>
          <w:sz w:val="20"/>
          <w:szCs w:val="20"/>
        </w:rPr>
        <w:t xml:space="preserve"> </w:t>
      </w:r>
      <w:r>
        <w:rPr>
          <w:color w:val="57585A"/>
          <w:spacing w:val="-11"/>
          <w:sz w:val="20"/>
          <w:szCs w:val="20"/>
        </w:rPr>
        <w:t>the final RRI score for a market) and</w:t>
      </w:r>
      <w:r>
        <w:rPr>
          <w:color w:val="57585A"/>
          <w:spacing w:val="-16"/>
          <w:sz w:val="20"/>
          <w:szCs w:val="20"/>
        </w:rPr>
        <w:t xml:space="preserve"> </w:t>
      </w:r>
      <w:r>
        <w:rPr>
          <w:color w:val="57585A"/>
          <w:spacing w:val="-11"/>
          <w:sz w:val="20"/>
          <w:szCs w:val="20"/>
        </w:rPr>
        <w:t xml:space="preserve">within that, the </w:t>
      </w:r>
      <w:r>
        <w:rPr>
          <w:b/>
          <w:bCs/>
          <w:color w:val="57585A"/>
          <w:spacing w:val="-11"/>
          <w:sz w:val="20"/>
          <w:szCs w:val="20"/>
        </w:rPr>
        <w:t>I</w:t>
      </w:r>
      <w:r>
        <w:rPr>
          <w:b/>
          <w:bCs/>
          <w:color w:val="57585A"/>
          <w:spacing w:val="-12"/>
          <w:sz w:val="20"/>
          <w:szCs w:val="20"/>
        </w:rPr>
        <w:t>ndustry Rewards</w:t>
      </w:r>
      <w:r>
        <w:rPr>
          <w:b/>
          <w:bCs/>
          <w:color w:val="57585A"/>
          <w:sz w:val="20"/>
          <w:szCs w:val="20"/>
        </w:rPr>
        <w:t xml:space="preserve"> </w:t>
      </w:r>
      <w:r>
        <w:rPr>
          <w:color w:val="57585A"/>
          <w:spacing w:val="-10"/>
          <w:sz w:val="20"/>
          <w:szCs w:val="20"/>
        </w:rPr>
        <w:t>segment (60% of</w:t>
      </w:r>
      <w:r>
        <w:rPr>
          <w:color w:val="57585A"/>
          <w:spacing w:val="-21"/>
          <w:sz w:val="20"/>
          <w:szCs w:val="20"/>
        </w:rPr>
        <w:t xml:space="preserve"> </w:t>
      </w:r>
      <w:r>
        <w:rPr>
          <w:color w:val="57585A"/>
          <w:spacing w:val="-10"/>
          <w:sz w:val="20"/>
          <w:szCs w:val="20"/>
        </w:rPr>
        <w:t>final Rewa</w:t>
      </w:r>
      <w:r>
        <w:rPr>
          <w:color w:val="57585A"/>
          <w:spacing w:val="-11"/>
          <w:sz w:val="20"/>
          <w:szCs w:val="20"/>
        </w:rPr>
        <w:t>rds score). This is to reflect the fact that</w:t>
      </w:r>
      <w:r>
        <w:rPr>
          <w:color w:val="57585A"/>
          <w:spacing w:val="-16"/>
          <w:sz w:val="20"/>
          <w:szCs w:val="20"/>
        </w:rPr>
        <w:t xml:space="preserve"> </w:t>
      </w:r>
      <w:r>
        <w:rPr>
          <w:color w:val="57585A"/>
          <w:spacing w:val="-11"/>
          <w:sz w:val="20"/>
          <w:szCs w:val="20"/>
        </w:rPr>
        <w:t>when it comes to long-term investment potential, industry size</w:t>
      </w:r>
    </w:p>
    <w:p w14:paraId="319B735C">
      <w:pPr>
        <w:spacing w:line="272" w:lineRule="auto"/>
        <w:rPr>
          <w:sz w:val="20"/>
          <w:szCs w:val="20"/>
        </w:rPr>
        <w:sectPr>
          <w:footerReference r:id="rId99" w:type="default"/>
          <w:pgSz w:w="11906" w:h="16838"/>
          <w:pgMar w:top="400" w:right="490" w:bottom="883" w:left="490" w:header="0" w:footer="0" w:gutter="0"/>
          <w:cols w:space="720" w:num="1"/>
        </w:sectPr>
      </w:pPr>
    </w:p>
    <w:p w14:paraId="49DE5526">
      <w:pPr>
        <w:pStyle w:val="4"/>
        <w:spacing w:before="73" w:line="241" w:lineRule="auto"/>
        <w:ind w:left="7372"/>
        <w:rPr>
          <w:sz w:val="20"/>
          <w:szCs w:val="20"/>
        </w:rPr>
      </w:pPr>
      <w:r>
        <w:drawing>
          <wp:anchor distT="0" distB="0" distL="0" distR="0" simplePos="0" relativeHeight="252001280"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2002304" behindDoc="0" locked="0" layoutInCell="0" allowOverlap="1">
            <wp:simplePos x="0" y="0"/>
            <wp:positionH relativeFrom="page">
              <wp:posOffset>311150</wp:posOffset>
            </wp:positionH>
            <wp:positionV relativeFrom="page">
              <wp:posOffset>0</wp:posOffset>
            </wp:positionV>
            <wp:extent cx="19050" cy="814070"/>
            <wp:effectExtent l="0" t="0" r="0" b="0"/>
            <wp:wrapNone/>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69078D15">
      <w:pPr>
        <w:pStyle w:val="4"/>
        <w:spacing w:line="278" w:lineRule="auto"/>
      </w:pPr>
    </w:p>
    <w:p w14:paraId="200B4C53">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D5E2510">
      <w:pPr>
        <w:pStyle w:val="4"/>
        <w:spacing w:line="468" w:lineRule="auto"/>
      </w:pPr>
    </w:p>
    <w:p w14:paraId="4204B72F">
      <w:pPr>
        <w:pStyle w:val="4"/>
        <w:spacing w:before="57" w:line="285" w:lineRule="auto"/>
        <w:ind w:left="366" w:right="493"/>
        <w:rPr>
          <w:sz w:val="20"/>
          <w:szCs w:val="20"/>
        </w:rPr>
      </w:pPr>
      <w:r>
        <w:rPr>
          <w:color w:val="57585A"/>
          <w:spacing w:val="-9"/>
          <w:sz w:val="20"/>
          <w:szCs w:val="20"/>
        </w:rPr>
        <w:t>and growth potential carry the most</w:t>
      </w:r>
      <w:r>
        <w:rPr>
          <w:color w:val="57585A"/>
          <w:spacing w:val="-16"/>
          <w:sz w:val="20"/>
          <w:szCs w:val="20"/>
        </w:rPr>
        <w:t xml:space="preserve"> </w:t>
      </w:r>
      <w:r>
        <w:rPr>
          <w:color w:val="57585A"/>
          <w:spacing w:val="-9"/>
          <w:sz w:val="20"/>
          <w:szCs w:val="20"/>
        </w:rPr>
        <w:t>weight in indicati</w:t>
      </w:r>
      <w:r>
        <w:rPr>
          <w:color w:val="57585A"/>
          <w:spacing w:val="-10"/>
          <w:sz w:val="20"/>
          <w:szCs w:val="20"/>
        </w:rPr>
        <w:t>ng opportunities,</w:t>
      </w:r>
      <w:r>
        <w:rPr>
          <w:color w:val="57585A"/>
          <w:spacing w:val="-15"/>
          <w:sz w:val="20"/>
          <w:szCs w:val="20"/>
        </w:rPr>
        <w:t xml:space="preserve"> </w:t>
      </w:r>
      <w:r>
        <w:rPr>
          <w:color w:val="57585A"/>
          <w:spacing w:val="-10"/>
          <w:sz w:val="20"/>
          <w:szCs w:val="20"/>
        </w:rPr>
        <w:t>with other structural factors (demographic, labour statistics</w:t>
      </w:r>
      <w:r>
        <w:rPr>
          <w:color w:val="57585A"/>
          <w:sz w:val="20"/>
          <w:szCs w:val="20"/>
        </w:rPr>
        <w:t xml:space="preserve"> </w:t>
      </w:r>
      <w:r>
        <w:rPr>
          <w:color w:val="57585A"/>
          <w:spacing w:val="-10"/>
          <w:sz w:val="20"/>
          <w:szCs w:val="20"/>
        </w:rPr>
        <w:t>and infrastructure quality)</w:t>
      </w:r>
      <w:r>
        <w:rPr>
          <w:color w:val="57585A"/>
          <w:spacing w:val="-15"/>
          <w:sz w:val="20"/>
          <w:szCs w:val="20"/>
        </w:rPr>
        <w:t xml:space="preserve"> </w:t>
      </w:r>
      <w:r>
        <w:rPr>
          <w:color w:val="57585A"/>
          <w:spacing w:val="-10"/>
          <w:sz w:val="20"/>
          <w:szCs w:val="20"/>
        </w:rPr>
        <w:t>weighing in, but to a slight</w:t>
      </w:r>
      <w:r>
        <w:rPr>
          <w:color w:val="57585A"/>
          <w:spacing w:val="-11"/>
          <w:sz w:val="20"/>
          <w:szCs w:val="20"/>
        </w:rPr>
        <w:t>ly lesser extent. In addition, our focus and expertise in emerging and frontier</w:t>
      </w:r>
      <w:r>
        <w:rPr>
          <w:color w:val="57585A"/>
          <w:sz w:val="20"/>
          <w:szCs w:val="20"/>
        </w:rPr>
        <w:t xml:space="preserve"> </w:t>
      </w:r>
      <w:r>
        <w:rPr>
          <w:color w:val="57585A"/>
          <w:spacing w:val="-11"/>
          <w:sz w:val="20"/>
          <w:szCs w:val="20"/>
        </w:rPr>
        <w:t>markets has dictated this bias towards industry size and growth to ensure</w:t>
      </w:r>
      <w:r>
        <w:rPr>
          <w:color w:val="57585A"/>
          <w:spacing w:val="3"/>
          <w:sz w:val="20"/>
          <w:szCs w:val="20"/>
        </w:rPr>
        <w:t xml:space="preserve"> </w:t>
      </w:r>
      <w:r>
        <w:rPr>
          <w:color w:val="57585A"/>
          <w:spacing w:val="-11"/>
          <w:sz w:val="20"/>
          <w:szCs w:val="20"/>
        </w:rPr>
        <w:t>we are able to identify opportunities in markets</w:t>
      </w:r>
      <w:r>
        <w:rPr>
          <w:color w:val="57585A"/>
          <w:spacing w:val="-16"/>
          <w:sz w:val="20"/>
          <w:szCs w:val="20"/>
        </w:rPr>
        <w:t xml:space="preserve"> </w:t>
      </w:r>
      <w:r>
        <w:rPr>
          <w:color w:val="57585A"/>
          <w:spacing w:val="-11"/>
          <w:sz w:val="20"/>
          <w:szCs w:val="20"/>
        </w:rPr>
        <w:t>where</w:t>
      </w:r>
      <w:r>
        <w:rPr>
          <w:color w:val="57585A"/>
          <w:sz w:val="20"/>
          <w:szCs w:val="20"/>
        </w:rPr>
        <w:t xml:space="preserve">   </w:t>
      </w:r>
      <w:r>
        <w:rPr>
          <w:color w:val="57585A"/>
          <w:spacing w:val="-12"/>
          <w:sz w:val="20"/>
          <w:szCs w:val="20"/>
        </w:rPr>
        <w:t>regulatory frameworks are not as developed and industry sizes not as big as in developed markets, but</w:t>
      </w:r>
      <w:r>
        <w:rPr>
          <w:color w:val="57585A"/>
          <w:spacing w:val="-7"/>
          <w:sz w:val="20"/>
          <w:szCs w:val="20"/>
        </w:rPr>
        <w:t xml:space="preserve"> </w:t>
      </w:r>
      <w:r>
        <w:rPr>
          <w:color w:val="57585A"/>
          <w:spacing w:val="-12"/>
          <w:sz w:val="20"/>
          <w:szCs w:val="20"/>
        </w:rPr>
        <w:t>where</w:t>
      </w:r>
      <w:r>
        <w:rPr>
          <w:color w:val="57585A"/>
          <w:spacing w:val="-15"/>
          <w:sz w:val="20"/>
          <w:szCs w:val="20"/>
        </w:rPr>
        <w:t xml:space="preserve"> </w:t>
      </w:r>
      <w:r>
        <w:rPr>
          <w:color w:val="57585A"/>
          <w:spacing w:val="-12"/>
          <w:sz w:val="20"/>
          <w:szCs w:val="20"/>
        </w:rPr>
        <w:t>we know there is a</w:t>
      </w:r>
      <w:r>
        <w:rPr>
          <w:color w:val="57585A"/>
          <w:sz w:val="20"/>
          <w:szCs w:val="20"/>
        </w:rPr>
        <w:t xml:space="preserve">  </w:t>
      </w:r>
      <w:r>
        <w:rPr>
          <w:color w:val="57585A"/>
          <w:spacing w:val="-11"/>
          <w:sz w:val="20"/>
          <w:szCs w:val="20"/>
        </w:rPr>
        <w:t>strong desire</w:t>
      </w:r>
      <w:r>
        <w:rPr>
          <w:color w:val="57585A"/>
          <w:spacing w:val="3"/>
          <w:sz w:val="20"/>
          <w:szCs w:val="20"/>
        </w:rPr>
        <w:t xml:space="preserve"> </w:t>
      </w:r>
      <w:r>
        <w:rPr>
          <w:color w:val="57585A"/>
          <w:spacing w:val="-11"/>
          <w:sz w:val="20"/>
          <w:szCs w:val="20"/>
        </w:rPr>
        <w:t>to invest.</w:t>
      </w:r>
    </w:p>
    <w:p w14:paraId="05F5110E">
      <w:pPr>
        <w:pStyle w:val="4"/>
        <w:spacing w:line="419" w:lineRule="auto"/>
      </w:pPr>
    </w:p>
    <w:p w14:paraId="623FBF63">
      <w:pPr>
        <w:pStyle w:val="4"/>
        <w:spacing w:before="69" w:line="236" w:lineRule="auto"/>
        <w:ind w:left="426"/>
        <w:rPr>
          <w:sz w:val="24"/>
          <w:szCs w:val="24"/>
        </w:rPr>
      </w:pPr>
      <w:r>
        <w:rPr>
          <w:color w:val="174174"/>
          <w:spacing w:val="-12"/>
          <w:sz w:val="24"/>
          <w:szCs w:val="24"/>
        </w:rPr>
        <w:t>Upstream RRI Indicators - Explanation</w:t>
      </w:r>
      <w:r>
        <w:rPr>
          <w:color w:val="174174"/>
          <w:spacing w:val="-11"/>
          <w:sz w:val="24"/>
          <w:szCs w:val="24"/>
        </w:rPr>
        <w:t xml:space="preserve"> </w:t>
      </w:r>
      <w:r>
        <w:rPr>
          <w:color w:val="174174"/>
          <w:spacing w:val="-12"/>
          <w:sz w:val="24"/>
          <w:szCs w:val="24"/>
        </w:rPr>
        <w:t>And Sources</w:t>
      </w:r>
    </w:p>
    <w:p w14:paraId="20F4F475">
      <w:pPr>
        <w:spacing w:line="38"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2404"/>
        <w:gridCol w:w="1921"/>
        <w:gridCol w:w="5879"/>
      </w:tblGrid>
      <w:tr w14:paraId="59CBF3B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3" w:hRule="atLeast"/>
        </w:trPr>
        <w:tc>
          <w:tcPr>
            <w:tcW w:w="2404" w:type="dxa"/>
            <w:tcBorders>
              <w:left w:val="nil"/>
            </w:tcBorders>
            <w:vAlign w:val="top"/>
          </w:tcPr>
          <w:p w14:paraId="39A85DC0">
            <w:pPr>
              <w:pStyle w:val="8"/>
              <w:rPr>
                <w:sz w:val="21"/>
              </w:rPr>
            </w:pPr>
          </w:p>
        </w:tc>
        <w:tc>
          <w:tcPr>
            <w:tcW w:w="7800" w:type="dxa"/>
            <w:gridSpan w:val="2"/>
            <w:tcBorders>
              <w:right w:val="nil"/>
            </w:tcBorders>
            <w:vAlign w:val="top"/>
          </w:tcPr>
          <w:p w14:paraId="19DE009F">
            <w:pPr>
              <w:pStyle w:val="8"/>
              <w:spacing w:before="112" w:line="186" w:lineRule="auto"/>
              <w:ind w:left="76"/>
            </w:pPr>
            <w:r>
              <w:rPr>
                <w:b/>
                <w:bCs/>
                <w:color w:val="5F6A72"/>
                <w:spacing w:val="-5"/>
              </w:rPr>
              <w:t xml:space="preserve">Source                </w:t>
            </w:r>
            <w:r>
              <w:rPr>
                <w:b/>
                <w:bCs/>
                <w:color w:val="5F6A72"/>
                <w:spacing w:val="-6"/>
              </w:rPr>
              <w:t xml:space="preserve">              Rationale</w:t>
            </w:r>
          </w:p>
        </w:tc>
      </w:tr>
      <w:tr w14:paraId="6947508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404" w:type="dxa"/>
            <w:tcBorders>
              <w:left w:val="nil"/>
            </w:tcBorders>
            <w:shd w:val="clear" w:color="auto" w:fill="979CA7"/>
            <w:vAlign w:val="top"/>
          </w:tcPr>
          <w:p w14:paraId="6FB679A9">
            <w:pPr>
              <w:pStyle w:val="8"/>
              <w:spacing w:before="63" w:line="244" w:lineRule="exact"/>
              <w:ind w:left="13"/>
            </w:pPr>
            <w:r>
              <w:rPr>
                <w:b/>
                <w:bCs/>
                <w:color w:val="2A8ABF"/>
                <w:spacing w:val="-11"/>
                <w:position w:val="1"/>
              </w:rPr>
              <w:t>Rewards</w:t>
            </w:r>
          </w:p>
        </w:tc>
        <w:tc>
          <w:tcPr>
            <w:tcW w:w="7800" w:type="dxa"/>
            <w:gridSpan w:val="2"/>
            <w:tcBorders>
              <w:right w:val="nil"/>
            </w:tcBorders>
            <w:shd w:val="clear" w:color="auto" w:fill="979CA7"/>
            <w:vAlign w:val="top"/>
          </w:tcPr>
          <w:p w14:paraId="76970120">
            <w:pPr>
              <w:pStyle w:val="8"/>
              <w:rPr>
                <w:sz w:val="21"/>
              </w:rPr>
            </w:pPr>
          </w:p>
        </w:tc>
      </w:tr>
      <w:tr w14:paraId="03DCC07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325" w:type="dxa"/>
            <w:gridSpan w:val="2"/>
            <w:tcBorders>
              <w:left w:val="nil"/>
            </w:tcBorders>
            <w:shd w:val="clear" w:color="auto" w:fill="EAF9FF"/>
            <w:vAlign w:val="top"/>
          </w:tcPr>
          <w:p w14:paraId="2706AEC6">
            <w:pPr>
              <w:pStyle w:val="8"/>
              <w:spacing w:before="66" w:line="233" w:lineRule="auto"/>
              <w:ind w:left="18"/>
            </w:pPr>
            <w:r>
              <w:rPr>
                <w:i/>
                <w:iCs/>
                <w:color w:val="2A8ABF"/>
                <w:spacing w:val="-2"/>
                <w:w w:val="90"/>
              </w:rPr>
              <w:t>Industry</w:t>
            </w:r>
            <w:r>
              <w:rPr>
                <w:i/>
                <w:iCs/>
                <w:color w:val="2A8ABF"/>
                <w:spacing w:val="-17"/>
              </w:rPr>
              <w:t xml:space="preserve"> </w:t>
            </w:r>
            <w:r>
              <w:rPr>
                <w:i/>
                <w:iCs/>
                <w:color w:val="2A8ABF"/>
                <w:spacing w:val="-2"/>
                <w:w w:val="90"/>
              </w:rPr>
              <w:t>Rewards</w:t>
            </w:r>
          </w:p>
        </w:tc>
        <w:tc>
          <w:tcPr>
            <w:tcW w:w="5879" w:type="dxa"/>
            <w:tcBorders>
              <w:right w:val="nil"/>
            </w:tcBorders>
            <w:shd w:val="clear" w:color="auto" w:fill="EAF9FF"/>
            <w:vAlign w:val="top"/>
          </w:tcPr>
          <w:p w14:paraId="12F4E2A9">
            <w:pPr>
              <w:pStyle w:val="8"/>
              <w:rPr>
                <w:sz w:val="21"/>
              </w:rPr>
            </w:pPr>
          </w:p>
        </w:tc>
      </w:tr>
      <w:tr w14:paraId="356A331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5" w:hRule="atLeast"/>
        </w:trPr>
        <w:tc>
          <w:tcPr>
            <w:tcW w:w="2404" w:type="dxa"/>
            <w:tcBorders>
              <w:left w:val="nil"/>
            </w:tcBorders>
            <w:vAlign w:val="top"/>
          </w:tcPr>
          <w:p w14:paraId="03197CD1">
            <w:pPr>
              <w:pStyle w:val="8"/>
              <w:spacing w:before="64" w:line="241" w:lineRule="auto"/>
              <w:ind w:left="8"/>
            </w:pPr>
            <w:r>
              <w:rPr>
                <w:b/>
                <w:bCs/>
                <w:color w:val="2A8ABF"/>
                <w:spacing w:val="-9"/>
              </w:rPr>
              <w:t>Oil Reserves (bn bbl)</w:t>
            </w:r>
          </w:p>
        </w:tc>
        <w:tc>
          <w:tcPr>
            <w:tcW w:w="1921" w:type="dxa"/>
            <w:tcBorders>
              <w:right w:val="nil"/>
            </w:tcBorders>
            <w:vAlign w:val="top"/>
          </w:tcPr>
          <w:p w14:paraId="59EB34E1">
            <w:pPr>
              <w:pStyle w:val="8"/>
              <w:spacing w:before="108" w:line="174" w:lineRule="auto"/>
              <w:ind w:left="86"/>
            </w:pPr>
            <w:r>
              <w:rPr>
                <w:color w:val="5F6A72"/>
                <w:spacing w:val="-10"/>
              </w:rPr>
              <w:t>National sources, BMI</w:t>
            </w:r>
          </w:p>
          <w:p w14:paraId="0D0FBC1D">
            <w:pPr>
              <w:pStyle w:val="8"/>
              <w:spacing w:before="57" w:line="238" w:lineRule="exact"/>
              <w:ind w:left="80"/>
            </w:pPr>
            <w:r>
              <w:rPr>
                <w:color w:val="5F6A72"/>
                <w:spacing w:val="-7"/>
                <w:position w:val="1"/>
              </w:rPr>
              <w:t>data</w:t>
            </w:r>
          </w:p>
        </w:tc>
        <w:tc>
          <w:tcPr>
            <w:tcW w:w="5879" w:type="dxa"/>
            <w:tcBorders>
              <w:left w:val="nil"/>
              <w:right w:val="nil"/>
            </w:tcBorders>
            <w:vAlign w:val="top"/>
          </w:tcPr>
          <w:p w14:paraId="51536BB8">
            <w:pPr>
              <w:pStyle w:val="8"/>
              <w:spacing w:before="66" w:line="234" w:lineRule="auto"/>
              <w:ind w:left="86"/>
            </w:pPr>
            <w:r>
              <w:rPr>
                <w:color w:val="5F6A72"/>
                <w:spacing w:val="-5"/>
              </w:rPr>
              <w:t>Indicates size of</w:t>
            </w:r>
            <w:r>
              <w:rPr>
                <w:color w:val="5F6A72"/>
                <w:spacing w:val="-20"/>
              </w:rPr>
              <w:t xml:space="preserve"> </w:t>
            </w:r>
            <w:r>
              <w:rPr>
                <w:color w:val="5F6A72"/>
                <w:spacing w:val="-5"/>
              </w:rPr>
              <w:t>the oppo</w:t>
            </w:r>
            <w:r>
              <w:rPr>
                <w:color w:val="5F6A72"/>
                <w:spacing w:val="-6"/>
              </w:rPr>
              <w:t>rtunity for oil developments. Data is for</w:t>
            </w:r>
            <w:r>
              <w:rPr>
                <w:color w:val="5F6A72"/>
                <w:spacing w:val="-11"/>
              </w:rPr>
              <w:t xml:space="preserve"> </w:t>
            </w:r>
            <w:r>
              <w:rPr>
                <w:color w:val="5F6A72"/>
                <w:spacing w:val="-6"/>
              </w:rPr>
              <w:t>the current</w:t>
            </w:r>
          </w:p>
          <w:p w14:paraId="5D7301D7">
            <w:pPr>
              <w:pStyle w:val="8"/>
              <w:spacing w:before="122" w:line="124" w:lineRule="exact"/>
              <w:ind w:left="72"/>
            </w:pPr>
            <w:r>
              <w:rPr>
                <w:color w:val="5F6A72"/>
                <w:spacing w:val="-8"/>
              </w:rPr>
              <w:t>year.</w:t>
            </w:r>
          </w:p>
        </w:tc>
      </w:tr>
      <w:tr w14:paraId="61BB281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shd w:val="clear" w:color="auto" w:fill="EAF9FF"/>
            <w:vAlign w:val="top"/>
          </w:tcPr>
          <w:p w14:paraId="2D95D8D8">
            <w:pPr>
              <w:pStyle w:val="8"/>
              <w:spacing w:before="65" w:line="241" w:lineRule="auto"/>
              <w:ind w:left="8"/>
            </w:pPr>
            <w:r>
              <w:rPr>
                <w:b/>
                <w:bCs/>
                <w:color w:val="2A8ABF"/>
                <w:spacing w:val="-11"/>
              </w:rPr>
              <w:t>Gas Reserves (bcm)</w:t>
            </w:r>
          </w:p>
        </w:tc>
        <w:tc>
          <w:tcPr>
            <w:tcW w:w="1921" w:type="dxa"/>
            <w:tcBorders>
              <w:right w:val="nil"/>
            </w:tcBorders>
            <w:shd w:val="clear" w:color="auto" w:fill="EAF9FF"/>
            <w:vAlign w:val="top"/>
          </w:tcPr>
          <w:p w14:paraId="417A4877">
            <w:pPr>
              <w:pStyle w:val="8"/>
              <w:spacing w:before="110" w:line="174" w:lineRule="auto"/>
              <w:ind w:left="86"/>
            </w:pPr>
            <w:r>
              <w:rPr>
                <w:color w:val="5F6A72"/>
                <w:spacing w:val="-10"/>
              </w:rPr>
              <w:t>National sources, BMI</w:t>
            </w:r>
          </w:p>
          <w:p w14:paraId="4D5A9FC7">
            <w:pPr>
              <w:pStyle w:val="8"/>
              <w:spacing w:before="57" w:line="238" w:lineRule="exact"/>
              <w:ind w:left="80"/>
            </w:pPr>
            <w:r>
              <w:rPr>
                <w:color w:val="5F6A72"/>
                <w:spacing w:val="-7"/>
                <w:position w:val="1"/>
              </w:rPr>
              <w:t>data</w:t>
            </w:r>
          </w:p>
        </w:tc>
        <w:tc>
          <w:tcPr>
            <w:tcW w:w="5879" w:type="dxa"/>
            <w:tcBorders>
              <w:left w:val="nil"/>
              <w:right w:val="nil"/>
            </w:tcBorders>
            <w:shd w:val="clear" w:color="auto" w:fill="EAF9FF"/>
            <w:vAlign w:val="top"/>
          </w:tcPr>
          <w:p w14:paraId="2B89A636">
            <w:pPr>
              <w:pStyle w:val="8"/>
              <w:spacing w:before="68" w:line="234" w:lineRule="auto"/>
              <w:ind w:left="86"/>
            </w:pPr>
            <w:r>
              <w:rPr>
                <w:color w:val="5F6A72"/>
                <w:spacing w:val="-6"/>
              </w:rPr>
              <w:t>Indicates size of</w:t>
            </w:r>
            <w:r>
              <w:rPr>
                <w:color w:val="5F6A72"/>
                <w:spacing w:val="-20"/>
              </w:rPr>
              <w:t xml:space="preserve"> </w:t>
            </w:r>
            <w:r>
              <w:rPr>
                <w:color w:val="5F6A72"/>
                <w:spacing w:val="-6"/>
              </w:rPr>
              <w:t>the opportunity for gas developments. Data is for</w:t>
            </w:r>
            <w:r>
              <w:rPr>
                <w:color w:val="5F6A72"/>
                <w:spacing w:val="-11"/>
              </w:rPr>
              <w:t xml:space="preserve"> </w:t>
            </w:r>
            <w:r>
              <w:rPr>
                <w:color w:val="5F6A72"/>
                <w:spacing w:val="-6"/>
              </w:rPr>
              <w:t>the c</w:t>
            </w:r>
            <w:r>
              <w:rPr>
                <w:color w:val="5F6A72"/>
                <w:spacing w:val="-7"/>
              </w:rPr>
              <w:t>urrent</w:t>
            </w:r>
          </w:p>
          <w:p w14:paraId="30F0CDAB">
            <w:pPr>
              <w:pStyle w:val="8"/>
              <w:spacing w:before="122" w:line="124" w:lineRule="exact"/>
              <w:ind w:left="72"/>
            </w:pPr>
            <w:r>
              <w:rPr>
                <w:color w:val="5F6A72"/>
                <w:spacing w:val="-8"/>
              </w:rPr>
              <w:t>year.</w:t>
            </w:r>
          </w:p>
        </w:tc>
      </w:tr>
      <w:tr w14:paraId="393900B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vAlign w:val="top"/>
          </w:tcPr>
          <w:p w14:paraId="0296D25F">
            <w:pPr>
              <w:pStyle w:val="8"/>
              <w:spacing w:before="65" w:line="296" w:lineRule="auto"/>
              <w:ind w:right="322" w:firstLine="13"/>
            </w:pPr>
            <w:r>
              <w:rPr>
                <w:b/>
                <w:bCs/>
                <w:color w:val="2A8ABF"/>
                <w:spacing w:val="-8"/>
              </w:rPr>
              <w:t>Discoveries Rate - last five</w:t>
            </w:r>
            <w:r>
              <w:rPr>
                <w:b/>
                <w:bCs/>
                <w:color w:val="2A8ABF"/>
                <w:spacing w:val="2"/>
              </w:rPr>
              <w:t xml:space="preserve"> </w:t>
            </w:r>
            <w:r>
              <w:rPr>
                <w:b/>
                <w:bCs/>
                <w:color w:val="2A8ABF"/>
                <w:spacing w:val="-5"/>
              </w:rPr>
              <w:t>years</w:t>
            </w:r>
          </w:p>
        </w:tc>
        <w:tc>
          <w:tcPr>
            <w:tcW w:w="7800" w:type="dxa"/>
            <w:gridSpan w:val="2"/>
            <w:tcBorders>
              <w:right w:val="nil"/>
            </w:tcBorders>
            <w:vAlign w:val="top"/>
          </w:tcPr>
          <w:p w14:paraId="7A5C5EC3">
            <w:pPr>
              <w:pStyle w:val="8"/>
              <w:spacing w:before="68" w:line="234" w:lineRule="auto"/>
              <w:ind w:left="86"/>
            </w:pPr>
            <w:r>
              <w:rPr>
                <w:color w:val="5F6A72"/>
                <w:spacing w:val="-5"/>
              </w:rPr>
              <w:t>BMI calculation                 Outlines the prospectivity and potential of</w:t>
            </w:r>
            <w:r>
              <w:rPr>
                <w:color w:val="5F6A72"/>
                <w:spacing w:val="-20"/>
              </w:rPr>
              <w:t xml:space="preserve"> </w:t>
            </w:r>
            <w:r>
              <w:rPr>
                <w:color w:val="5F6A72"/>
                <w:spacing w:val="-5"/>
              </w:rPr>
              <w:t>the upstrea</w:t>
            </w:r>
            <w:r>
              <w:rPr>
                <w:color w:val="5F6A72"/>
                <w:spacing w:val="-6"/>
              </w:rPr>
              <w:t>m.</w:t>
            </w:r>
          </w:p>
        </w:tc>
      </w:tr>
      <w:tr w14:paraId="4CBDDB4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404" w:type="dxa"/>
            <w:tcBorders>
              <w:left w:val="nil"/>
            </w:tcBorders>
            <w:shd w:val="clear" w:color="auto" w:fill="EAF9FF"/>
            <w:vAlign w:val="top"/>
          </w:tcPr>
          <w:p w14:paraId="48D0BA8C">
            <w:pPr>
              <w:pStyle w:val="8"/>
              <w:spacing w:before="66" w:line="241" w:lineRule="auto"/>
              <w:jc w:val="right"/>
            </w:pPr>
            <w:r>
              <w:rPr>
                <w:b/>
                <w:bCs/>
                <w:color w:val="2A8ABF"/>
                <w:spacing w:val="-8"/>
              </w:rPr>
              <w:t>Hydrocarbon Producti</w:t>
            </w:r>
            <w:r>
              <w:rPr>
                <w:b/>
                <w:bCs/>
                <w:color w:val="2A8ABF"/>
                <w:spacing w:val="-9"/>
              </w:rPr>
              <w:t>on (boe)</w:t>
            </w:r>
          </w:p>
        </w:tc>
        <w:tc>
          <w:tcPr>
            <w:tcW w:w="7800" w:type="dxa"/>
            <w:gridSpan w:val="2"/>
            <w:tcBorders>
              <w:right w:val="nil"/>
            </w:tcBorders>
            <w:shd w:val="clear" w:color="auto" w:fill="EAF9FF"/>
            <w:vAlign w:val="top"/>
          </w:tcPr>
          <w:p w14:paraId="6CFBA7A2">
            <w:pPr>
              <w:pStyle w:val="8"/>
              <w:spacing w:before="68" w:line="234" w:lineRule="auto"/>
              <w:ind w:left="86"/>
            </w:pPr>
            <w:r>
              <w:rPr>
                <w:color w:val="5F6A72"/>
                <w:spacing w:val="-6"/>
              </w:rPr>
              <w:t>BMI forecast                      Five-year forward looking indication of production</w:t>
            </w:r>
            <w:r>
              <w:rPr>
                <w:color w:val="5F6A72"/>
                <w:spacing w:val="4"/>
              </w:rPr>
              <w:t xml:space="preserve"> </w:t>
            </w:r>
            <w:r>
              <w:rPr>
                <w:color w:val="5F6A72"/>
                <w:spacing w:val="-6"/>
              </w:rPr>
              <w:t>volumes.</w:t>
            </w:r>
          </w:p>
        </w:tc>
      </w:tr>
      <w:tr w14:paraId="26B9554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vAlign w:val="top"/>
          </w:tcPr>
          <w:p w14:paraId="286EA637">
            <w:pPr>
              <w:pStyle w:val="8"/>
              <w:spacing w:before="67" w:line="270" w:lineRule="auto"/>
              <w:ind w:left="8" w:right="445" w:firstLine="5"/>
            </w:pPr>
            <w:r>
              <w:rPr>
                <w:b/>
                <w:bCs/>
                <w:color w:val="2A8ABF"/>
                <w:spacing w:val="-9"/>
              </w:rPr>
              <w:t>Hydrocarbon Production</w:t>
            </w:r>
            <w:r>
              <w:rPr>
                <w:b/>
                <w:bCs/>
                <w:color w:val="2A8ABF"/>
                <w:spacing w:val="14"/>
              </w:rPr>
              <w:t xml:space="preserve"> </w:t>
            </w:r>
            <w:r>
              <w:rPr>
                <w:b/>
                <w:bCs/>
                <w:color w:val="2A8ABF"/>
                <w:spacing w:val="-10"/>
              </w:rPr>
              <w:t>Growth (boe,</w:t>
            </w:r>
            <w:r>
              <w:rPr>
                <w:b/>
                <w:bCs/>
                <w:color w:val="2A8ABF"/>
                <w:spacing w:val="-11"/>
              </w:rPr>
              <w:t xml:space="preserve"> </w:t>
            </w:r>
            <w:r>
              <w:rPr>
                <w:b/>
                <w:bCs/>
                <w:color w:val="2A8ABF"/>
                <w:spacing w:val="-10"/>
              </w:rPr>
              <w:t>%)</w:t>
            </w:r>
          </w:p>
        </w:tc>
        <w:tc>
          <w:tcPr>
            <w:tcW w:w="7800" w:type="dxa"/>
            <w:gridSpan w:val="2"/>
            <w:tcBorders>
              <w:right w:val="nil"/>
            </w:tcBorders>
            <w:vAlign w:val="top"/>
          </w:tcPr>
          <w:p w14:paraId="0485BA19">
            <w:pPr>
              <w:pStyle w:val="8"/>
              <w:spacing w:before="69" w:line="234" w:lineRule="auto"/>
              <w:ind w:left="86"/>
            </w:pPr>
            <w:r>
              <w:rPr>
                <w:color w:val="5F6A72"/>
                <w:spacing w:val="-5"/>
              </w:rPr>
              <w:t xml:space="preserve">BMI forecast                 </w:t>
            </w:r>
            <w:r>
              <w:rPr>
                <w:color w:val="5F6A72"/>
                <w:spacing w:val="-6"/>
              </w:rPr>
              <w:t xml:space="preserve">     Five-year forward looking indication of production growth.</w:t>
            </w:r>
          </w:p>
        </w:tc>
      </w:tr>
      <w:tr w14:paraId="48D75CC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325" w:type="dxa"/>
            <w:gridSpan w:val="2"/>
            <w:tcBorders>
              <w:left w:val="nil"/>
            </w:tcBorders>
            <w:shd w:val="clear" w:color="auto" w:fill="EAF9FF"/>
            <w:vAlign w:val="top"/>
          </w:tcPr>
          <w:p w14:paraId="4A14BAAC">
            <w:pPr>
              <w:pStyle w:val="8"/>
              <w:spacing w:before="69" w:line="233" w:lineRule="auto"/>
              <w:ind w:left="23"/>
            </w:pPr>
            <w:r>
              <w:rPr>
                <w:i/>
                <w:iCs/>
                <w:color w:val="2A8ABF"/>
                <w:spacing w:val="-4"/>
                <w:w w:val="91"/>
              </w:rPr>
              <w:t>Country</w:t>
            </w:r>
            <w:r>
              <w:rPr>
                <w:i/>
                <w:iCs/>
                <w:color w:val="2A8ABF"/>
                <w:spacing w:val="-8"/>
              </w:rPr>
              <w:t xml:space="preserve"> </w:t>
            </w:r>
            <w:r>
              <w:rPr>
                <w:i/>
                <w:iCs/>
                <w:color w:val="2A8ABF"/>
                <w:spacing w:val="-4"/>
                <w:w w:val="91"/>
              </w:rPr>
              <w:t>Rewards</w:t>
            </w:r>
          </w:p>
        </w:tc>
        <w:tc>
          <w:tcPr>
            <w:tcW w:w="5879" w:type="dxa"/>
            <w:tcBorders>
              <w:right w:val="nil"/>
            </w:tcBorders>
            <w:shd w:val="clear" w:color="auto" w:fill="EAF9FF"/>
            <w:vAlign w:val="top"/>
          </w:tcPr>
          <w:p w14:paraId="0D2A5ABF">
            <w:pPr>
              <w:pStyle w:val="8"/>
              <w:rPr>
                <w:sz w:val="21"/>
              </w:rPr>
            </w:pPr>
          </w:p>
        </w:tc>
      </w:tr>
      <w:tr w14:paraId="58513F9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vAlign w:val="top"/>
          </w:tcPr>
          <w:p w14:paraId="30CD1F50">
            <w:pPr>
              <w:pStyle w:val="8"/>
              <w:spacing w:before="67" w:line="241" w:lineRule="auto"/>
              <w:ind w:left="4"/>
            </w:pPr>
            <w:r>
              <w:rPr>
                <w:b/>
                <w:bCs/>
                <w:color w:val="2A8ABF"/>
                <w:spacing w:val="-8"/>
              </w:rPr>
              <w:t>State asset ownership</w:t>
            </w:r>
            <w:r>
              <w:rPr>
                <w:b/>
                <w:bCs/>
                <w:color w:val="2A8ABF"/>
                <w:spacing w:val="-7"/>
              </w:rPr>
              <w:t xml:space="preserve"> </w:t>
            </w:r>
            <w:r>
              <w:rPr>
                <w:b/>
                <w:bCs/>
                <w:color w:val="2A8ABF"/>
                <w:spacing w:val="-8"/>
              </w:rPr>
              <w:t>(%)</w:t>
            </w:r>
          </w:p>
        </w:tc>
        <w:tc>
          <w:tcPr>
            <w:tcW w:w="7800" w:type="dxa"/>
            <w:gridSpan w:val="2"/>
            <w:tcBorders>
              <w:right w:val="nil"/>
            </w:tcBorders>
            <w:vAlign w:val="top"/>
          </w:tcPr>
          <w:p w14:paraId="01E8B03D">
            <w:pPr>
              <w:pStyle w:val="8"/>
              <w:spacing w:before="70" w:line="236" w:lineRule="auto"/>
              <w:ind w:left="86"/>
            </w:pPr>
            <w:r>
              <w:rPr>
                <w:color w:val="5F6A72"/>
                <w:spacing w:val="-6"/>
              </w:rPr>
              <w:t>BMI calculation                 Total</w:t>
            </w:r>
            <w:r>
              <w:rPr>
                <w:color w:val="5F6A72"/>
                <w:spacing w:val="-7"/>
              </w:rPr>
              <w:t xml:space="preserve"> share NOCs control. Demonstrates the potential access and restrictions</w:t>
            </w:r>
          </w:p>
          <w:p w14:paraId="234DF5BE">
            <w:pPr>
              <w:pStyle w:val="8"/>
              <w:spacing w:before="46" w:line="237" w:lineRule="exact"/>
              <w:ind w:left="1989"/>
            </w:pPr>
            <w:r>
              <w:rPr>
                <w:color w:val="5F6A72"/>
                <w:spacing w:val="-7"/>
                <w:position w:val="1"/>
              </w:rPr>
              <w:t>to resources.</w:t>
            </w:r>
          </w:p>
        </w:tc>
      </w:tr>
      <w:tr w14:paraId="60991A0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5" w:hRule="atLeast"/>
        </w:trPr>
        <w:tc>
          <w:tcPr>
            <w:tcW w:w="2404" w:type="dxa"/>
            <w:tcBorders>
              <w:left w:val="nil"/>
            </w:tcBorders>
            <w:shd w:val="clear" w:color="auto" w:fill="EAF9FF"/>
            <w:vAlign w:val="top"/>
          </w:tcPr>
          <w:p w14:paraId="56E97B6D">
            <w:pPr>
              <w:pStyle w:val="8"/>
              <w:spacing w:before="110" w:line="184" w:lineRule="auto"/>
              <w:ind w:left="8"/>
            </w:pPr>
            <w:r>
              <w:rPr>
                <w:b/>
                <w:bCs/>
                <w:color w:val="2A8ABF"/>
                <w:spacing w:val="-8"/>
              </w:rPr>
              <w:t>Competitive Landscape</w:t>
            </w:r>
          </w:p>
        </w:tc>
        <w:tc>
          <w:tcPr>
            <w:tcW w:w="7800" w:type="dxa"/>
            <w:gridSpan w:val="2"/>
            <w:tcBorders>
              <w:right w:val="nil"/>
            </w:tcBorders>
            <w:shd w:val="clear" w:color="auto" w:fill="EAF9FF"/>
            <w:vAlign w:val="top"/>
          </w:tcPr>
          <w:p w14:paraId="5F8CAC20">
            <w:pPr>
              <w:pStyle w:val="8"/>
              <w:spacing w:before="70" w:line="234" w:lineRule="auto"/>
              <w:ind w:left="86"/>
            </w:pPr>
            <w:r>
              <w:rPr>
                <w:color w:val="5F6A72"/>
                <w:spacing w:val="-6"/>
              </w:rPr>
              <w:t>BMI calculation                 Divides resource base by the appr</w:t>
            </w:r>
            <w:r>
              <w:rPr>
                <w:color w:val="5F6A72"/>
                <w:spacing w:val="-7"/>
              </w:rPr>
              <w:t>oximate number of</w:t>
            </w:r>
            <w:r>
              <w:rPr>
                <w:color w:val="5F6A72"/>
                <w:spacing w:val="-15"/>
              </w:rPr>
              <w:t xml:space="preserve"> </w:t>
            </w:r>
            <w:r>
              <w:rPr>
                <w:color w:val="5F6A72"/>
                <w:spacing w:val="-7"/>
              </w:rPr>
              <w:t>companies operating to</w:t>
            </w:r>
          </w:p>
          <w:p w14:paraId="2FF46C77">
            <w:pPr>
              <w:pStyle w:val="8"/>
              <w:spacing w:before="48" w:line="236" w:lineRule="auto"/>
              <w:ind w:left="1995"/>
            </w:pPr>
            <w:r>
              <w:rPr>
                <w:color w:val="5F6A72"/>
                <w:spacing w:val="-4"/>
              </w:rPr>
              <w:t>indicate</w:t>
            </w:r>
            <w:r>
              <w:rPr>
                <w:color w:val="5F6A72"/>
                <w:spacing w:val="-6"/>
              </w:rPr>
              <w:t xml:space="preserve"> </w:t>
            </w:r>
            <w:r>
              <w:rPr>
                <w:color w:val="5F6A72"/>
                <w:spacing w:val="-4"/>
              </w:rPr>
              <w:t>the level of</w:t>
            </w:r>
            <w:r>
              <w:rPr>
                <w:color w:val="5F6A72"/>
                <w:spacing w:val="-15"/>
              </w:rPr>
              <w:t xml:space="preserve"> </w:t>
            </w:r>
            <w:r>
              <w:rPr>
                <w:color w:val="5F6A72"/>
                <w:spacing w:val="-4"/>
              </w:rPr>
              <w:t>competition.</w:t>
            </w:r>
          </w:p>
        </w:tc>
      </w:tr>
      <w:tr w14:paraId="5FEE41D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vAlign w:val="top"/>
          </w:tcPr>
          <w:p w14:paraId="3C2F259D">
            <w:pPr>
              <w:pStyle w:val="8"/>
              <w:spacing w:before="69" w:line="241" w:lineRule="auto"/>
              <w:ind w:left="13"/>
            </w:pPr>
            <w:r>
              <w:rPr>
                <w:b/>
                <w:bCs/>
                <w:color w:val="2A8ABF"/>
                <w:spacing w:val="-5"/>
              </w:rPr>
              <w:t>Infrastructure Integrity</w:t>
            </w:r>
          </w:p>
        </w:tc>
        <w:tc>
          <w:tcPr>
            <w:tcW w:w="7800" w:type="dxa"/>
            <w:gridSpan w:val="2"/>
            <w:tcBorders>
              <w:right w:val="nil"/>
            </w:tcBorders>
            <w:vAlign w:val="top"/>
          </w:tcPr>
          <w:p w14:paraId="279EF766">
            <w:pPr>
              <w:pStyle w:val="8"/>
              <w:spacing w:before="71" w:line="234" w:lineRule="auto"/>
              <w:ind w:left="86"/>
            </w:pPr>
            <w:r>
              <w:rPr>
                <w:color w:val="5F6A72"/>
                <w:spacing w:val="-6"/>
              </w:rPr>
              <w:t>BMI calculation                 Calculates the extent and quality of</w:t>
            </w:r>
            <w:r>
              <w:rPr>
                <w:color w:val="5F6A72"/>
                <w:spacing w:val="-11"/>
              </w:rPr>
              <w:t xml:space="preserve"> </w:t>
            </w:r>
            <w:r>
              <w:rPr>
                <w:color w:val="5F6A72"/>
                <w:spacing w:val="-6"/>
              </w:rPr>
              <w:t>oil and gas infrastructure, indicating ease</w:t>
            </w:r>
          </w:p>
          <w:p w14:paraId="70FE9ECE">
            <w:pPr>
              <w:pStyle w:val="8"/>
              <w:spacing w:before="48" w:line="237" w:lineRule="exact"/>
              <w:ind w:left="1993"/>
            </w:pPr>
            <w:r>
              <w:rPr>
                <w:color w:val="5F6A72"/>
                <w:spacing w:val="-6"/>
                <w:position w:val="1"/>
              </w:rPr>
              <w:t>of</w:t>
            </w:r>
            <w:r>
              <w:rPr>
                <w:color w:val="5F6A72"/>
                <w:spacing w:val="-16"/>
                <w:position w:val="1"/>
              </w:rPr>
              <w:t xml:space="preserve"> </w:t>
            </w:r>
            <w:r>
              <w:rPr>
                <w:color w:val="5F6A72"/>
                <w:spacing w:val="-6"/>
                <w:position w:val="1"/>
              </w:rPr>
              <w:t xml:space="preserve">access and level </w:t>
            </w:r>
            <w:r>
              <w:rPr>
                <w:color w:val="5F6A72"/>
                <w:spacing w:val="-7"/>
                <w:position w:val="1"/>
              </w:rPr>
              <w:t>of maintenance investment needed.</w:t>
            </w:r>
          </w:p>
        </w:tc>
      </w:tr>
      <w:tr w14:paraId="0A2ADDD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404" w:type="dxa"/>
            <w:tcBorders>
              <w:left w:val="nil"/>
            </w:tcBorders>
            <w:shd w:val="clear" w:color="auto" w:fill="979CA7"/>
            <w:vAlign w:val="top"/>
          </w:tcPr>
          <w:p w14:paraId="18D3498D">
            <w:pPr>
              <w:pStyle w:val="8"/>
              <w:spacing w:before="112" w:line="185" w:lineRule="auto"/>
              <w:ind w:left="13"/>
            </w:pPr>
            <w:r>
              <w:rPr>
                <w:b/>
                <w:bCs/>
                <w:color w:val="2A8ABF"/>
                <w:spacing w:val="-11"/>
              </w:rPr>
              <w:t>Risks</w:t>
            </w:r>
          </w:p>
        </w:tc>
        <w:tc>
          <w:tcPr>
            <w:tcW w:w="7800" w:type="dxa"/>
            <w:gridSpan w:val="2"/>
            <w:tcBorders>
              <w:right w:val="nil"/>
            </w:tcBorders>
            <w:shd w:val="clear" w:color="auto" w:fill="979CA7"/>
            <w:vAlign w:val="top"/>
          </w:tcPr>
          <w:p w14:paraId="305178B5">
            <w:pPr>
              <w:pStyle w:val="8"/>
              <w:rPr>
                <w:sz w:val="21"/>
              </w:rPr>
            </w:pPr>
          </w:p>
        </w:tc>
      </w:tr>
      <w:tr w14:paraId="0B598C3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325" w:type="dxa"/>
            <w:gridSpan w:val="2"/>
            <w:tcBorders>
              <w:left w:val="nil"/>
            </w:tcBorders>
            <w:vAlign w:val="top"/>
          </w:tcPr>
          <w:p w14:paraId="2B297740">
            <w:pPr>
              <w:pStyle w:val="8"/>
              <w:spacing w:before="72" w:line="233" w:lineRule="auto"/>
              <w:ind w:left="18"/>
            </w:pPr>
            <w:r>
              <w:rPr>
                <w:i/>
                <w:iCs/>
                <w:color w:val="2A8ABF"/>
                <w:spacing w:val="-1"/>
                <w:w w:val="88"/>
              </w:rPr>
              <w:t>Industry</w:t>
            </w:r>
            <w:r>
              <w:rPr>
                <w:i/>
                <w:iCs/>
                <w:color w:val="2A8ABF"/>
                <w:spacing w:val="-13"/>
              </w:rPr>
              <w:t xml:space="preserve"> </w:t>
            </w:r>
            <w:r>
              <w:rPr>
                <w:i/>
                <w:iCs/>
                <w:color w:val="2A8ABF"/>
                <w:spacing w:val="-1"/>
                <w:w w:val="88"/>
              </w:rPr>
              <w:t>Risks</w:t>
            </w:r>
          </w:p>
        </w:tc>
        <w:tc>
          <w:tcPr>
            <w:tcW w:w="5879" w:type="dxa"/>
            <w:tcBorders>
              <w:right w:val="nil"/>
            </w:tcBorders>
            <w:vAlign w:val="top"/>
          </w:tcPr>
          <w:p w14:paraId="1380CEC3">
            <w:pPr>
              <w:pStyle w:val="8"/>
              <w:rPr>
                <w:sz w:val="21"/>
              </w:rPr>
            </w:pPr>
          </w:p>
        </w:tc>
      </w:tr>
      <w:tr w14:paraId="55B232F3">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shd w:val="clear" w:color="auto" w:fill="EAF9FF"/>
            <w:vAlign w:val="top"/>
          </w:tcPr>
          <w:p w14:paraId="779B8769">
            <w:pPr>
              <w:pStyle w:val="8"/>
              <w:spacing w:before="112" w:line="184" w:lineRule="auto"/>
              <w:ind w:left="13"/>
            </w:pPr>
            <w:r>
              <w:rPr>
                <w:b/>
                <w:bCs/>
                <w:color w:val="2A8ABF"/>
                <w:spacing w:val="-10"/>
              </w:rPr>
              <w:t>Licence</w:t>
            </w:r>
            <w:r>
              <w:rPr>
                <w:b/>
                <w:bCs/>
                <w:color w:val="2A8ABF"/>
                <w:spacing w:val="-11"/>
              </w:rPr>
              <w:t xml:space="preserve"> </w:t>
            </w:r>
            <w:r>
              <w:rPr>
                <w:b/>
                <w:bCs/>
                <w:color w:val="2A8ABF"/>
                <w:spacing w:val="-10"/>
              </w:rPr>
              <w:t>Type</w:t>
            </w:r>
          </w:p>
        </w:tc>
        <w:tc>
          <w:tcPr>
            <w:tcW w:w="7800" w:type="dxa"/>
            <w:gridSpan w:val="2"/>
            <w:tcBorders>
              <w:right w:val="nil"/>
            </w:tcBorders>
            <w:shd w:val="clear" w:color="auto" w:fill="EAF9FF"/>
            <w:vAlign w:val="top"/>
          </w:tcPr>
          <w:p w14:paraId="24351642">
            <w:pPr>
              <w:pStyle w:val="8"/>
              <w:spacing w:before="73" w:line="234" w:lineRule="auto"/>
              <w:ind w:left="86"/>
            </w:pPr>
            <w:r>
              <w:rPr>
                <w:color w:val="5F6A72"/>
                <w:spacing w:val="-7"/>
              </w:rPr>
              <w:t>BMI calculation                 Outlines a marketIs score based on</w:t>
            </w:r>
            <w:r>
              <w:rPr>
                <w:color w:val="5F6A72"/>
                <w:spacing w:val="-14"/>
              </w:rPr>
              <w:t xml:space="preserve"> </w:t>
            </w:r>
            <w:r>
              <w:rPr>
                <w:color w:val="5F6A72"/>
                <w:spacing w:val="-7"/>
              </w:rPr>
              <w:t>whether oil and gas licences are of</w:t>
            </w:r>
            <w:r>
              <w:rPr>
                <w:color w:val="5F6A72"/>
                <w:spacing w:val="-8"/>
              </w:rPr>
              <w:t>fered as</w:t>
            </w:r>
          </w:p>
          <w:p w14:paraId="0945C1F1">
            <w:pPr>
              <w:pStyle w:val="8"/>
              <w:spacing w:before="48" w:line="234" w:lineRule="auto"/>
              <w:ind w:left="1993"/>
            </w:pPr>
            <w:r>
              <w:rPr>
                <w:color w:val="5F6A72"/>
                <w:spacing w:val="-6"/>
              </w:rPr>
              <w:t>concessions, production sharing agr</w:t>
            </w:r>
            <w:r>
              <w:rPr>
                <w:color w:val="5F6A72"/>
                <w:spacing w:val="-7"/>
              </w:rPr>
              <w:t>eements or service contracts.</w:t>
            </w:r>
          </w:p>
        </w:tc>
      </w:tr>
      <w:tr w14:paraId="23900B3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404" w:type="dxa"/>
            <w:tcBorders>
              <w:left w:val="nil"/>
            </w:tcBorders>
            <w:vAlign w:val="top"/>
          </w:tcPr>
          <w:p w14:paraId="47D5A155">
            <w:pPr>
              <w:pStyle w:val="8"/>
              <w:spacing w:before="71" w:line="243" w:lineRule="exact"/>
              <w:ind w:left="13"/>
            </w:pPr>
            <w:r>
              <w:rPr>
                <w:b/>
                <w:bCs/>
                <w:color w:val="2A8ABF"/>
                <w:spacing w:val="-9"/>
                <w:position w:val="1"/>
              </w:rPr>
              <w:t>Income</w:t>
            </w:r>
            <w:r>
              <w:rPr>
                <w:b/>
                <w:bCs/>
                <w:color w:val="2A8ABF"/>
                <w:spacing w:val="-10"/>
                <w:position w:val="1"/>
              </w:rPr>
              <w:t xml:space="preserve"> </w:t>
            </w:r>
            <w:r>
              <w:rPr>
                <w:b/>
                <w:bCs/>
                <w:color w:val="2A8ABF"/>
                <w:spacing w:val="-9"/>
                <w:position w:val="1"/>
              </w:rPr>
              <w:t>Tax</w:t>
            </w:r>
          </w:p>
        </w:tc>
        <w:tc>
          <w:tcPr>
            <w:tcW w:w="7800" w:type="dxa"/>
            <w:gridSpan w:val="2"/>
            <w:tcBorders>
              <w:right w:val="nil"/>
            </w:tcBorders>
            <w:vAlign w:val="top"/>
          </w:tcPr>
          <w:p w14:paraId="409FED73">
            <w:pPr>
              <w:pStyle w:val="8"/>
              <w:spacing w:before="73" w:line="234" w:lineRule="auto"/>
              <w:ind w:left="80"/>
            </w:pPr>
            <w:r>
              <w:rPr>
                <w:color w:val="5F6A72"/>
                <w:spacing w:val="-6"/>
              </w:rPr>
              <w:t xml:space="preserve">Government sources      </w:t>
            </w:r>
            <w:r>
              <w:rPr>
                <w:color w:val="5F6A72"/>
                <w:spacing w:val="-7"/>
              </w:rPr>
              <w:t xml:space="preserve">  Outlines the relative tax rate incurred by oil and gas companies.</w:t>
            </w:r>
          </w:p>
        </w:tc>
      </w:tr>
      <w:tr w14:paraId="0C0BFC4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404" w:type="dxa"/>
            <w:tcBorders>
              <w:left w:val="nil"/>
            </w:tcBorders>
            <w:shd w:val="clear" w:color="auto" w:fill="EAF9FF"/>
            <w:vAlign w:val="top"/>
          </w:tcPr>
          <w:p w14:paraId="14595FF1">
            <w:pPr>
              <w:pStyle w:val="8"/>
              <w:spacing w:before="71" w:line="241" w:lineRule="auto"/>
              <w:ind w:left="13"/>
            </w:pPr>
            <w:r>
              <w:rPr>
                <w:b/>
                <w:bCs/>
                <w:color w:val="2A8ABF"/>
                <w:spacing w:val="-10"/>
              </w:rPr>
              <w:t>Royalties &amp; Special</w:t>
            </w:r>
            <w:r>
              <w:rPr>
                <w:b/>
                <w:bCs/>
                <w:color w:val="2A8ABF"/>
                <w:spacing w:val="-12"/>
              </w:rPr>
              <w:t xml:space="preserve"> </w:t>
            </w:r>
            <w:r>
              <w:rPr>
                <w:b/>
                <w:bCs/>
                <w:color w:val="2A8ABF"/>
                <w:spacing w:val="-10"/>
              </w:rPr>
              <w:t>Taxes</w:t>
            </w:r>
          </w:p>
        </w:tc>
        <w:tc>
          <w:tcPr>
            <w:tcW w:w="7800" w:type="dxa"/>
            <w:gridSpan w:val="2"/>
            <w:tcBorders>
              <w:right w:val="nil"/>
            </w:tcBorders>
            <w:shd w:val="clear" w:color="auto" w:fill="EAF9FF"/>
            <w:vAlign w:val="top"/>
          </w:tcPr>
          <w:p w14:paraId="560CBA66">
            <w:pPr>
              <w:pStyle w:val="8"/>
              <w:spacing w:before="74" w:line="291" w:lineRule="auto"/>
              <w:ind w:left="1995" w:right="603" w:hanging="1915"/>
            </w:pPr>
            <w:r>
              <w:rPr>
                <w:color w:val="5F6A72"/>
                <w:spacing w:val="-6"/>
              </w:rPr>
              <w:t>Government sources        Indicates furth</w:t>
            </w:r>
            <w:r>
              <w:rPr>
                <w:color w:val="5F6A72"/>
                <w:spacing w:val="-7"/>
              </w:rPr>
              <w:t>er required payments (and supplementary taxes) beyond</w:t>
            </w:r>
            <w:r>
              <w:rPr>
                <w:color w:val="5F6A72"/>
              </w:rPr>
              <w:t xml:space="preserve"> </w:t>
            </w:r>
            <w:r>
              <w:rPr>
                <w:color w:val="5F6A72"/>
                <w:spacing w:val="-7"/>
              </w:rPr>
              <w:t>income</w:t>
            </w:r>
            <w:r>
              <w:rPr>
                <w:color w:val="5F6A72"/>
                <w:spacing w:val="-3"/>
              </w:rPr>
              <w:t xml:space="preserve"> </w:t>
            </w:r>
            <w:r>
              <w:rPr>
                <w:color w:val="5F6A72"/>
                <w:spacing w:val="-7"/>
              </w:rPr>
              <w:t>tax.</w:t>
            </w:r>
          </w:p>
        </w:tc>
      </w:tr>
      <w:tr w14:paraId="3E6ECE8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5" w:hRule="atLeast"/>
        </w:trPr>
        <w:tc>
          <w:tcPr>
            <w:tcW w:w="2404" w:type="dxa"/>
            <w:tcBorders>
              <w:left w:val="nil"/>
            </w:tcBorders>
            <w:vAlign w:val="top"/>
          </w:tcPr>
          <w:p w14:paraId="71EE0962">
            <w:pPr>
              <w:pStyle w:val="8"/>
              <w:spacing w:before="72" w:line="243" w:lineRule="exact"/>
              <w:ind w:left="13"/>
            </w:pPr>
            <w:r>
              <w:rPr>
                <w:b/>
                <w:bCs/>
                <w:color w:val="2A8ABF"/>
                <w:spacing w:val="-7"/>
                <w:position w:val="1"/>
              </w:rPr>
              <w:t>Bureaucratic Environm</w:t>
            </w:r>
            <w:r>
              <w:rPr>
                <w:b/>
                <w:bCs/>
                <w:color w:val="2A8ABF"/>
                <w:spacing w:val="-8"/>
                <w:position w:val="1"/>
              </w:rPr>
              <w:t>ent</w:t>
            </w:r>
          </w:p>
        </w:tc>
        <w:tc>
          <w:tcPr>
            <w:tcW w:w="1921" w:type="dxa"/>
            <w:tcBorders>
              <w:right w:val="nil"/>
            </w:tcBorders>
            <w:vAlign w:val="top"/>
          </w:tcPr>
          <w:p w14:paraId="1C44C988">
            <w:pPr>
              <w:pStyle w:val="8"/>
              <w:spacing w:before="74" w:line="236" w:lineRule="auto"/>
              <w:ind w:left="86"/>
            </w:pPr>
            <w:r>
              <w:rPr>
                <w:color w:val="5F6A72"/>
                <w:spacing w:val="-10"/>
              </w:rPr>
              <w:t>BMI Operational Risk</w:t>
            </w:r>
          </w:p>
          <w:p w14:paraId="2521DD99">
            <w:pPr>
              <w:pStyle w:val="8"/>
              <w:spacing w:before="120" w:line="125" w:lineRule="exact"/>
              <w:ind w:left="78"/>
            </w:pPr>
            <w:r>
              <w:rPr>
                <w:color w:val="5F6A72"/>
                <w:spacing w:val="-7"/>
                <w:position w:val="-2"/>
              </w:rPr>
              <w:t>score</w:t>
            </w:r>
          </w:p>
        </w:tc>
        <w:tc>
          <w:tcPr>
            <w:tcW w:w="5879" w:type="dxa"/>
            <w:tcBorders>
              <w:left w:val="nil"/>
              <w:right w:val="nil"/>
            </w:tcBorders>
            <w:vAlign w:val="top"/>
          </w:tcPr>
          <w:p w14:paraId="0CDD03A4">
            <w:pPr>
              <w:pStyle w:val="8"/>
              <w:spacing w:before="74" w:line="236" w:lineRule="auto"/>
              <w:ind w:left="80"/>
            </w:pPr>
            <w:r>
              <w:rPr>
                <w:color w:val="5F6A72"/>
                <w:spacing w:val="-7"/>
              </w:rPr>
              <w:t>Outlines the ease of bus</w:t>
            </w:r>
            <w:r>
              <w:rPr>
                <w:color w:val="5F6A72"/>
                <w:spacing w:val="-8"/>
              </w:rPr>
              <w:t>iness processes,</w:t>
            </w:r>
            <w:r>
              <w:rPr>
                <w:color w:val="5F6A72"/>
                <w:spacing w:val="-14"/>
              </w:rPr>
              <w:t xml:space="preserve"> </w:t>
            </w:r>
            <w:r>
              <w:rPr>
                <w:color w:val="5F6A72"/>
                <w:spacing w:val="-8"/>
              </w:rPr>
              <w:t>with a particular emphasis on</w:t>
            </w:r>
          </w:p>
          <w:p w14:paraId="251B2182">
            <w:pPr>
              <w:pStyle w:val="8"/>
              <w:spacing w:before="46" w:line="234" w:lineRule="auto"/>
              <w:ind w:left="84"/>
            </w:pPr>
            <w:r>
              <w:rPr>
                <w:color w:val="5F6A72"/>
                <w:spacing w:val="-4"/>
              </w:rPr>
              <w:t>mitigating the risk of</w:t>
            </w:r>
            <w:r>
              <w:rPr>
                <w:color w:val="5F6A72"/>
                <w:spacing w:val="-15"/>
              </w:rPr>
              <w:t xml:space="preserve"> </w:t>
            </w:r>
            <w:r>
              <w:rPr>
                <w:color w:val="5F6A72"/>
                <w:spacing w:val="-4"/>
              </w:rPr>
              <w:t>del</w:t>
            </w:r>
            <w:r>
              <w:rPr>
                <w:color w:val="5F6A72"/>
                <w:spacing w:val="-5"/>
              </w:rPr>
              <w:t>ay to project</w:t>
            </w:r>
            <w:r>
              <w:rPr>
                <w:color w:val="5F6A72"/>
                <w:spacing w:val="-11"/>
              </w:rPr>
              <w:t xml:space="preserve"> </w:t>
            </w:r>
            <w:r>
              <w:rPr>
                <w:color w:val="5F6A72"/>
                <w:spacing w:val="-5"/>
              </w:rPr>
              <w:t>timelines.</w:t>
            </w:r>
          </w:p>
        </w:tc>
      </w:tr>
      <w:tr w14:paraId="47A1DB3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5" w:hRule="atLeast"/>
        </w:trPr>
        <w:tc>
          <w:tcPr>
            <w:tcW w:w="2404" w:type="dxa"/>
            <w:tcBorders>
              <w:left w:val="nil"/>
            </w:tcBorders>
            <w:shd w:val="clear" w:color="auto" w:fill="EAF9FF"/>
            <w:vAlign w:val="top"/>
          </w:tcPr>
          <w:p w14:paraId="51A42A43">
            <w:pPr>
              <w:pStyle w:val="8"/>
              <w:spacing w:before="73" w:line="241" w:lineRule="auto"/>
              <w:ind w:left="13"/>
            </w:pPr>
            <w:r>
              <w:rPr>
                <w:b/>
                <w:bCs/>
                <w:color w:val="2A8ABF"/>
                <w:spacing w:val="-8"/>
              </w:rPr>
              <w:t>Legal Environment Risk</w:t>
            </w:r>
          </w:p>
        </w:tc>
        <w:tc>
          <w:tcPr>
            <w:tcW w:w="1921" w:type="dxa"/>
            <w:tcBorders>
              <w:right w:val="nil"/>
            </w:tcBorders>
            <w:shd w:val="clear" w:color="auto" w:fill="EAF9FF"/>
            <w:vAlign w:val="top"/>
          </w:tcPr>
          <w:p w14:paraId="713BF5C3">
            <w:pPr>
              <w:pStyle w:val="8"/>
              <w:spacing w:before="76" w:line="236" w:lineRule="auto"/>
              <w:ind w:left="86"/>
            </w:pPr>
            <w:r>
              <w:rPr>
                <w:color w:val="5F6A72"/>
                <w:spacing w:val="-10"/>
              </w:rPr>
              <w:t>BMI Operational Risk</w:t>
            </w:r>
          </w:p>
          <w:p w14:paraId="09DDDD40">
            <w:pPr>
              <w:pStyle w:val="8"/>
              <w:spacing w:before="120" w:line="125" w:lineRule="exact"/>
              <w:ind w:left="78"/>
            </w:pPr>
            <w:r>
              <w:rPr>
                <w:color w:val="5F6A72"/>
                <w:spacing w:val="-7"/>
                <w:position w:val="-2"/>
              </w:rPr>
              <w:t>score</w:t>
            </w:r>
          </w:p>
        </w:tc>
        <w:tc>
          <w:tcPr>
            <w:tcW w:w="5879" w:type="dxa"/>
            <w:tcBorders>
              <w:left w:val="nil"/>
              <w:right w:val="nil"/>
            </w:tcBorders>
            <w:shd w:val="clear" w:color="auto" w:fill="EAF9FF"/>
            <w:vAlign w:val="top"/>
          </w:tcPr>
          <w:p w14:paraId="108AEB2D">
            <w:pPr>
              <w:pStyle w:val="8"/>
              <w:spacing w:before="75" w:line="234" w:lineRule="auto"/>
              <w:ind w:left="72"/>
            </w:pPr>
            <w:r>
              <w:rPr>
                <w:color w:val="5F6A72"/>
                <w:spacing w:val="-6"/>
              </w:rPr>
              <w:t>A second ease of business indicator, highlighting potential challenges</w:t>
            </w:r>
            <w:r>
              <w:rPr>
                <w:color w:val="5F6A72"/>
                <w:spacing w:val="-15"/>
              </w:rPr>
              <w:t xml:space="preserve"> </w:t>
            </w:r>
            <w:r>
              <w:rPr>
                <w:color w:val="5F6A72"/>
                <w:spacing w:val="-6"/>
              </w:rPr>
              <w:t>w</w:t>
            </w:r>
            <w:r>
              <w:rPr>
                <w:color w:val="5F6A72"/>
                <w:spacing w:val="-7"/>
              </w:rPr>
              <w:t>ith the</w:t>
            </w:r>
          </w:p>
          <w:p w14:paraId="78F93B1D">
            <w:pPr>
              <w:pStyle w:val="8"/>
              <w:spacing w:before="48" w:line="234" w:lineRule="auto"/>
              <w:ind w:left="75"/>
            </w:pPr>
            <w:r>
              <w:rPr>
                <w:color w:val="5F6A72"/>
                <w:spacing w:val="-7"/>
              </w:rPr>
              <w:t>transparency and effectiveness of rule</w:t>
            </w:r>
            <w:r>
              <w:rPr>
                <w:color w:val="5F6A72"/>
                <w:spacing w:val="9"/>
              </w:rPr>
              <w:t xml:space="preserve"> </w:t>
            </w:r>
            <w:r>
              <w:rPr>
                <w:color w:val="5F6A72"/>
                <w:spacing w:val="-7"/>
              </w:rPr>
              <w:t>of</w:t>
            </w:r>
            <w:r>
              <w:rPr>
                <w:color w:val="5F6A72"/>
                <w:spacing w:val="-11"/>
              </w:rPr>
              <w:t xml:space="preserve"> </w:t>
            </w:r>
            <w:r>
              <w:rPr>
                <w:color w:val="5F6A72"/>
                <w:spacing w:val="-7"/>
              </w:rPr>
              <w:t>law.</w:t>
            </w:r>
          </w:p>
        </w:tc>
      </w:tr>
      <w:tr w14:paraId="0EB3D4D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325" w:type="dxa"/>
            <w:gridSpan w:val="2"/>
            <w:tcBorders>
              <w:left w:val="nil"/>
            </w:tcBorders>
            <w:vAlign w:val="top"/>
          </w:tcPr>
          <w:p w14:paraId="18BB0211">
            <w:pPr>
              <w:pStyle w:val="8"/>
              <w:spacing w:before="77" w:line="233" w:lineRule="auto"/>
              <w:ind w:left="23"/>
            </w:pPr>
            <w:r>
              <w:rPr>
                <w:i/>
                <w:iCs/>
                <w:color w:val="2A8ABF"/>
                <w:spacing w:val="-2"/>
                <w:w w:val="89"/>
              </w:rPr>
              <w:t>Country</w:t>
            </w:r>
            <w:r>
              <w:rPr>
                <w:i/>
                <w:iCs/>
                <w:color w:val="2A8ABF"/>
                <w:spacing w:val="-16"/>
              </w:rPr>
              <w:t xml:space="preserve"> </w:t>
            </w:r>
            <w:r>
              <w:rPr>
                <w:i/>
                <w:iCs/>
                <w:color w:val="2A8ABF"/>
                <w:spacing w:val="-2"/>
                <w:w w:val="89"/>
              </w:rPr>
              <w:t>Risks</w:t>
            </w:r>
          </w:p>
        </w:tc>
        <w:tc>
          <w:tcPr>
            <w:tcW w:w="5879" w:type="dxa"/>
            <w:tcBorders>
              <w:right w:val="nil"/>
            </w:tcBorders>
            <w:vAlign w:val="top"/>
          </w:tcPr>
          <w:p w14:paraId="124C93B6">
            <w:pPr>
              <w:pStyle w:val="8"/>
              <w:rPr>
                <w:sz w:val="21"/>
              </w:rPr>
            </w:pPr>
          </w:p>
        </w:tc>
      </w:tr>
      <w:tr w14:paraId="4989ED9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2404" w:type="dxa"/>
            <w:tcBorders>
              <w:left w:val="nil"/>
            </w:tcBorders>
            <w:shd w:val="clear" w:color="auto" w:fill="EAF9FF"/>
            <w:vAlign w:val="top"/>
          </w:tcPr>
          <w:p w14:paraId="4DF73754">
            <w:pPr>
              <w:pStyle w:val="8"/>
              <w:spacing w:before="74" w:line="291" w:lineRule="auto"/>
              <w:ind w:left="13" w:right="336"/>
            </w:pPr>
            <w:r>
              <w:rPr>
                <w:b/>
                <w:bCs/>
                <w:color w:val="2A8ABF"/>
                <w:spacing w:val="-11"/>
              </w:rPr>
              <w:t>Long-Term Economic Risk</w:t>
            </w:r>
            <w:r>
              <w:rPr>
                <w:b/>
                <w:bCs/>
                <w:color w:val="2A8ABF"/>
                <w:spacing w:val="17"/>
              </w:rPr>
              <w:t xml:space="preserve"> </w:t>
            </w:r>
            <w:r>
              <w:rPr>
                <w:b/>
                <w:bCs/>
                <w:color w:val="2A8ABF"/>
                <w:spacing w:val="-7"/>
              </w:rPr>
              <w:t>Index</w:t>
            </w:r>
          </w:p>
        </w:tc>
        <w:tc>
          <w:tcPr>
            <w:tcW w:w="7800" w:type="dxa"/>
            <w:gridSpan w:val="2"/>
            <w:tcBorders>
              <w:right w:val="nil"/>
            </w:tcBorders>
            <w:shd w:val="clear" w:color="auto" w:fill="EAF9FF"/>
            <w:vAlign w:val="top"/>
          </w:tcPr>
          <w:p w14:paraId="2273F381">
            <w:pPr>
              <w:pStyle w:val="8"/>
              <w:spacing w:before="77" w:line="234" w:lineRule="auto"/>
              <w:ind w:left="86"/>
            </w:pPr>
            <w:r>
              <w:rPr>
                <w:color w:val="5F6A72"/>
                <w:spacing w:val="-7"/>
              </w:rPr>
              <w:t>BMI Country Risk Index     Th</w:t>
            </w:r>
            <w:r>
              <w:rPr>
                <w:color w:val="5F6A72"/>
                <w:spacing w:val="-8"/>
              </w:rPr>
              <w:t>e Long-Term Economic Risk</w:t>
            </w:r>
            <w:r>
              <w:rPr>
                <w:color w:val="5F6A72"/>
              </w:rPr>
              <w:t xml:space="preserve"> </w:t>
            </w:r>
            <w:r>
              <w:rPr>
                <w:color w:val="5F6A72"/>
                <w:spacing w:val="-8"/>
              </w:rPr>
              <w:t>Index takes into account the structural</w:t>
            </w:r>
          </w:p>
          <w:p w14:paraId="1A768AD7">
            <w:pPr>
              <w:pStyle w:val="8"/>
              <w:spacing w:before="48" w:line="234" w:lineRule="auto"/>
              <w:ind w:left="1993"/>
            </w:pPr>
            <w:r>
              <w:rPr>
                <w:color w:val="5F6A72"/>
                <w:spacing w:val="-5"/>
              </w:rPr>
              <w:t>characteristics of</w:t>
            </w:r>
            <w:r>
              <w:rPr>
                <w:color w:val="5F6A72"/>
                <w:spacing w:val="-15"/>
              </w:rPr>
              <w:t xml:space="preserve"> </w:t>
            </w:r>
            <w:r>
              <w:rPr>
                <w:color w:val="5F6A72"/>
                <w:spacing w:val="-5"/>
              </w:rPr>
              <w:t>economic growth, the labou</w:t>
            </w:r>
            <w:r>
              <w:rPr>
                <w:color w:val="5F6A72"/>
                <w:spacing w:val="-6"/>
              </w:rPr>
              <w:t>r market, price stability,</w:t>
            </w:r>
          </w:p>
          <w:p w14:paraId="6B87221C">
            <w:pPr>
              <w:pStyle w:val="8"/>
              <w:spacing w:before="47" w:line="271" w:lineRule="auto"/>
              <w:ind w:left="1985" w:right="308" w:firstLine="8"/>
            </w:pPr>
            <w:r>
              <w:rPr>
                <w:color w:val="5F6A72"/>
                <w:spacing w:val="-7"/>
              </w:rPr>
              <w:t>exchange rate stability and the sustainability of</w:t>
            </w:r>
            <w:r>
              <w:rPr>
                <w:color w:val="5F6A72"/>
                <w:spacing w:val="-3"/>
              </w:rPr>
              <w:t xml:space="preserve"> </w:t>
            </w:r>
            <w:r>
              <w:rPr>
                <w:color w:val="5F6A72"/>
                <w:spacing w:val="-7"/>
              </w:rPr>
              <w:t>the balance of payments, as</w:t>
            </w:r>
            <w:r>
              <w:rPr>
                <w:color w:val="5F6A72"/>
              </w:rPr>
              <w:t xml:space="preserve"> </w:t>
            </w:r>
            <w:r>
              <w:rPr>
                <w:color w:val="5F6A72"/>
                <w:spacing w:val="-6"/>
              </w:rPr>
              <w:t>well as fiscal and external deb</w:t>
            </w:r>
            <w:r>
              <w:rPr>
                <w:color w:val="5F6A72"/>
                <w:spacing w:val="-7"/>
              </w:rPr>
              <w:t>t outlooks</w:t>
            </w:r>
            <w:r>
              <w:rPr>
                <w:color w:val="5F6A72"/>
                <w:spacing w:val="-10"/>
              </w:rPr>
              <w:t xml:space="preserve"> </w:t>
            </w:r>
            <w:r>
              <w:rPr>
                <w:color w:val="5F6A72"/>
                <w:spacing w:val="-7"/>
              </w:rPr>
              <w:t>for</w:t>
            </w:r>
            <w:r>
              <w:rPr>
                <w:color w:val="5F6A72"/>
                <w:spacing w:val="-11"/>
              </w:rPr>
              <w:t xml:space="preserve"> </w:t>
            </w:r>
            <w:r>
              <w:rPr>
                <w:color w:val="5F6A72"/>
                <w:spacing w:val="-7"/>
              </w:rPr>
              <w:t>the coming</w:t>
            </w:r>
            <w:r>
              <w:rPr>
                <w:color w:val="5F6A72"/>
                <w:spacing w:val="-6"/>
              </w:rPr>
              <w:t xml:space="preserve"> </w:t>
            </w:r>
            <w:r>
              <w:rPr>
                <w:color w:val="5F6A72"/>
                <w:spacing w:val="-7"/>
              </w:rPr>
              <w:t>decade.</w:t>
            </w:r>
          </w:p>
        </w:tc>
      </w:tr>
      <w:tr w14:paraId="76BDE56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290" w:hRule="atLeast"/>
        </w:trPr>
        <w:tc>
          <w:tcPr>
            <w:tcW w:w="2404" w:type="dxa"/>
            <w:tcBorders>
              <w:left w:val="nil"/>
              <w:bottom w:val="nil"/>
            </w:tcBorders>
            <w:vAlign w:val="top"/>
          </w:tcPr>
          <w:p w14:paraId="77B30D8E">
            <w:pPr>
              <w:pStyle w:val="8"/>
              <w:spacing w:before="76" w:line="236" w:lineRule="auto"/>
              <w:ind w:left="4"/>
            </w:pPr>
            <w:r>
              <w:rPr>
                <w:b/>
                <w:bCs/>
                <w:color w:val="2A8ABF"/>
                <w:spacing w:val="-9"/>
              </w:rPr>
              <w:t>Short-Term Economic Risk</w:t>
            </w:r>
          </w:p>
        </w:tc>
        <w:tc>
          <w:tcPr>
            <w:tcW w:w="7800" w:type="dxa"/>
            <w:gridSpan w:val="2"/>
            <w:tcBorders>
              <w:bottom w:val="nil"/>
              <w:right w:val="nil"/>
            </w:tcBorders>
            <w:vAlign w:val="top"/>
          </w:tcPr>
          <w:p w14:paraId="4700C324">
            <w:pPr>
              <w:pStyle w:val="8"/>
              <w:spacing w:before="79" w:line="233" w:lineRule="auto"/>
              <w:ind w:left="86"/>
            </w:pPr>
            <w:r>
              <w:rPr>
                <w:color w:val="5F6A72"/>
                <w:spacing w:val="-7"/>
              </w:rPr>
              <w:t>BMI Country Risk Index     The Short-T</w:t>
            </w:r>
            <w:r>
              <w:rPr>
                <w:color w:val="5F6A72"/>
                <w:spacing w:val="-8"/>
              </w:rPr>
              <w:t>erm Economic Risk Index seeks to define current</w:t>
            </w:r>
            <w:r>
              <w:rPr>
                <w:color w:val="5F6A72"/>
                <w:spacing w:val="-14"/>
              </w:rPr>
              <w:t xml:space="preserve"> </w:t>
            </w:r>
            <w:r>
              <w:rPr>
                <w:color w:val="5F6A72"/>
                <w:spacing w:val="-8"/>
              </w:rPr>
              <w:t>vulnerabilities</w:t>
            </w:r>
          </w:p>
        </w:tc>
      </w:tr>
      <w:tr w14:paraId="7452315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52" w:hRule="atLeast"/>
        </w:trPr>
        <w:tc>
          <w:tcPr>
            <w:tcW w:w="2404" w:type="dxa"/>
            <w:tcBorders>
              <w:top w:val="nil"/>
              <w:left w:val="nil"/>
            </w:tcBorders>
            <w:vAlign w:val="top"/>
          </w:tcPr>
          <w:p w14:paraId="200025B3">
            <w:pPr>
              <w:pStyle w:val="8"/>
              <w:spacing w:before="36" w:line="244" w:lineRule="exact"/>
              <w:ind w:left="13"/>
            </w:pPr>
            <w:r>
              <w:rPr>
                <w:b/>
                <w:bCs/>
                <w:color w:val="2A8ABF"/>
                <w:spacing w:val="-7"/>
                <w:position w:val="1"/>
              </w:rPr>
              <w:t>Index</w:t>
            </w:r>
          </w:p>
        </w:tc>
        <w:tc>
          <w:tcPr>
            <w:tcW w:w="7800" w:type="dxa"/>
            <w:gridSpan w:val="2"/>
            <w:tcBorders>
              <w:top w:val="nil"/>
              <w:right w:val="nil"/>
            </w:tcBorders>
            <w:vAlign w:val="top"/>
          </w:tcPr>
          <w:p w14:paraId="1DC1883E">
            <w:pPr>
              <w:pStyle w:val="8"/>
              <w:spacing w:before="38" w:line="234" w:lineRule="auto"/>
              <w:ind w:left="1992"/>
            </w:pPr>
            <w:r>
              <w:rPr>
                <w:color w:val="5F6A72"/>
                <w:spacing w:val="-8"/>
              </w:rPr>
              <w:t>and assess real GDP growth, inflation, unemployment, exchange ra</w:t>
            </w:r>
            <w:r>
              <w:rPr>
                <w:color w:val="5F6A72"/>
                <w:spacing w:val="-9"/>
              </w:rPr>
              <w:t>te</w:t>
            </w:r>
          </w:p>
          <w:p w14:paraId="1B4D459A">
            <w:pPr>
              <w:pStyle w:val="8"/>
              <w:spacing w:before="48" w:line="234" w:lineRule="auto"/>
              <w:ind w:left="1989"/>
            </w:pPr>
            <w:r>
              <w:rPr>
                <w:color w:val="5F6A72"/>
                <w:spacing w:val="-7"/>
              </w:rPr>
              <w:t>fluctuation, BOP dynamics, as</w:t>
            </w:r>
            <w:r>
              <w:rPr>
                <w:color w:val="5F6A72"/>
                <w:spacing w:val="-14"/>
              </w:rPr>
              <w:t xml:space="preserve"> </w:t>
            </w:r>
            <w:r>
              <w:rPr>
                <w:color w:val="5F6A72"/>
                <w:spacing w:val="-8"/>
              </w:rPr>
              <w:t>well as fiscal and external debt credentials over</w:t>
            </w:r>
          </w:p>
        </w:tc>
      </w:tr>
    </w:tbl>
    <w:p w14:paraId="176559C6">
      <w:pPr>
        <w:pStyle w:val="4"/>
      </w:pPr>
    </w:p>
    <w:p w14:paraId="583E17B0">
      <w:pPr>
        <w:sectPr>
          <w:footerReference r:id="rId100" w:type="default"/>
          <w:pgSz w:w="11906" w:h="16838"/>
          <w:pgMar w:top="400" w:right="490" w:bottom="883" w:left="490" w:header="0" w:footer="0" w:gutter="0"/>
          <w:cols w:space="720" w:num="1"/>
        </w:sectPr>
      </w:pPr>
    </w:p>
    <w:p w14:paraId="272F5F86">
      <w:pPr>
        <w:pStyle w:val="4"/>
        <w:spacing w:before="73" w:line="241" w:lineRule="auto"/>
        <w:ind w:left="7372"/>
        <w:rPr>
          <w:sz w:val="20"/>
          <w:szCs w:val="20"/>
        </w:rPr>
      </w:pPr>
      <w:r>
        <w:drawing>
          <wp:anchor distT="0" distB="0" distL="0" distR="0" simplePos="0" relativeHeight="252003328"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2004352" behindDoc="0" locked="0" layoutInCell="0" allowOverlap="1">
            <wp:simplePos x="0" y="0"/>
            <wp:positionH relativeFrom="page">
              <wp:posOffset>311150</wp:posOffset>
            </wp:positionH>
            <wp:positionV relativeFrom="page">
              <wp:posOffset>0</wp:posOffset>
            </wp:positionV>
            <wp:extent cx="19050" cy="814070"/>
            <wp:effectExtent l="0" t="0" r="0" b="0"/>
            <wp:wrapNone/>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1186E865">
      <w:pPr>
        <w:pStyle w:val="4"/>
        <w:spacing w:line="278" w:lineRule="auto"/>
      </w:pPr>
    </w:p>
    <w:p w14:paraId="20C6BA59">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6C5E2046">
      <w:pPr>
        <w:spacing w:before="7"/>
      </w:pPr>
    </w:p>
    <w:p w14:paraId="57978921">
      <w:pPr>
        <w:spacing w:before="6"/>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2404"/>
        <w:gridCol w:w="1921"/>
        <w:gridCol w:w="5879"/>
      </w:tblGrid>
      <w:tr w14:paraId="16B1DB6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2" w:hRule="atLeast"/>
        </w:trPr>
        <w:tc>
          <w:tcPr>
            <w:tcW w:w="2404" w:type="dxa"/>
            <w:tcBorders>
              <w:left w:val="nil"/>
            </w:tcBorders>
            <w:vAlign w:val="top"/>
          </w:tcPr>
          <w:p w14:paraId="447282BD">
            <w:pPr>
              <w:pStyle w:val="8"/>
              <w:rPr>
                <w:sz w:val="21"/>
              </w:rPr>
            </w:pPr>
          </w:p>
        </w:tc>
        <w:tc>
          <w:tcPr>
            <w:tcW w:w="1921" w:type="dxa"/>
            <w:tcBorders>
              <w:right w:val="nil"/>
            </w:tcBorders>
            <w:vAlign w:val="top"/>
          </w:tcPr>
          <w:p w14:paraId="3AFE9CF6">
            <w:pPr>
              <w:pStyle w:val="8"/>
              <w:spacing w:before="112" w:line="186" w:lineRule="auto"/>
              <w:ind w:left="76"/>
            </w:pPr>
            <w:r>
              <w:rPr>
                <w:b/>
                <w:bCs/>
                <w:color w:val="5F6A72"/>
                <w:spacing w:val="-10"/>
              </w:rPr>
              <w:t>Source</w:t>
            </w:r>
          </w:p>
        </w:tc>
        <w:tc>
          <w:tcPr>
            <w:tcW w:w="5879" w:type="dxa"/>
            <w:tcBorders>
              <w:left w:val="nil"/>
              <w:right w:val="nil"/>
            </w:tcBorders>
            <w:vAlign w:val="top"/>
          </w:tcPr>
          <w:p w14:paraId="35D7E0E2">
            <w:pPr>
              <w:pStyle w:val="8"/>
              <w:spacing w:before="112" w:line="185" w:lineRule="auto"/>
              <w:ind w:left="86"/>
            </w:pPr>
            <w:r>
              <w:rPr>
                <w:b/>
                <w:bCs/>
                <w:color w:val="5F6A72"/>
                <w:spacing w:val="-7"/>
              </w:rPr>
              <w:t>Rationale</w:t>
            </w:r>
          </w:p>
        </w:tc>
      </w:tr>
      <w:tr w14:paraId="44E13A49">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85" w:hRule="atLeast"/>
        </w:trPr>
        <w:tc>
          <w:tcPr>
            <w:tcW w:w="2404" w:type="dxa"/>
            <w:tcBorders>
              <w:left w:val="nil"/>
            </w:tcBorders>
            <w:vAlign w:val="top"/>
          </w:tcPr>
          <w:p w14:paraId="460935D8">
            <w:pPr>
              <w:pStyle w:val="8"/>
              <w:rPr>
                <w:sz w:val="21"/>
              </w:rPr>
            </w:pPr>
          </w:p>
        </w:tc>
        <w:tc>
          <w:tcPr>
            <w:tcW w:w="1921" w:type="dxa"/>
            <w:tcBorders>
              <w:right w:val="nil"/>
            </w:tcBorders>
            <w:vAlign w:val="top"/>
          </w:tcPr>
          <w:p w14:paraId="1E6D39CE">
            <w:pPr>
              <w:pStyle w:val="8"/>
              <w:rPr>
                <w:sz w:val="21"/>
              </w:rPr>
            </w:pPr>
          </w:p>
        </w:tc>
        <w:tc>
          <w:tcPr>
            <w:tcW w:w="5879" w:type="dxa"/>
            <w:tcBorders>
              <w:left w:val="nil"/>
              <w:right w:val="nil"/>
            </w:tcBorders>
            <w:vAlign w:val="top"/>
          </w:tcPr>
          <w:p w14:paraId="09600C41">
            <w:pPr>
              <w:pStyle w:val="8"/>
              <w:spacing w:before="117" w:line="234" w:lineRule="auto"/>
              <w:ind w:left="75"/>
            </w:pPr>
            <w:r>
              <w:rPr>
                <w:color w:val="5F6A72"/>
                <w:spacing w:val="-6"/>
              </w:rPr>
              <w:t>the coming</w:t>
            </w:r>
            <w:r>
              <w:rPr>
                <w:color w:val="5F6A72"/>
                <w:spacing w:val="-1"/>
              </w:rPr>
              <w:t xml:space="preserve"> </w:t>
            </w:r>
            <w:r>
              <w:rPr>
                <w:color w:val="5F6A72"/>
                <w:spacing w:val="-6"/>
              </w:rPr>
              <w:t>two</w:t>
            </w:r>
            <w:r>
              <w:rPr>
                <w:color w:val="5F6A72"/>
                <w:spacing w:val="-14"/>
              </w:rPr>
              <w:t xml:space="preserve"> </w:t>
            </w:r>
            <w:r>
              <w:rPr>
                <w:color w:val="5F6A72"/>
                <w:spacing w:val="-6"/>
              </w:rPr>
              <w:t>years.</w:t>
            </w:r>
          </w:p>
        </w:tc>
      </w:tr>
      <w:tr w14:paraId="5C9F1E5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833" w:hRule="atLeast"/>
        </w:trPr>
        <w:tc>
          <w:tcPr>
            <w:tcW w:w="2404" w:type="dxa"/>
            <w:tcBorders>
              <w:left w:val="nil"/>
            </w:tcBorders>
            <w:shd w:val="clear" w:color="auto" w:fill="EAF9FF"/>
            <w:vAlign w:val="top"/>
          </w:tcPr>
          <w:p w14:paraId="02C4107B">
            <w:pPr>
              <w:pStyle w:val="8"/>
              <w:spacing w:before="66" w:line="244" w:lineRule="exact"/>
              <w:ind w:left="13"/>
            </w:pPr>
            <w:r>
              <w:rPr>
                <w:b/>
                <w:bCs/>
                <w:color w:val="2A8ABF"/>
                <w:spacing w:val="-8"/>
                <w:position w:val="1"/>
              </w:rPr>
              <w:t>Political Risk Index</w:t>
            </w:r>
          </w:p>
        </w:tc>
        <w:tc>
          <w:tcPr>
            <w:tcW w:w="1921" w:type="dxa"/>
            <w:tcBorders>
              <w:right w:val="nil"/>
            </w:tcBorders>
            <w:shd w:val="clear" w:color="auto" w:fill="EAF9FF"/>
            <w:vAlign w:val="top"/>
          </w:tcPr>
          <w:p w14:paraId="5D8FEB32">
            <w:pPr>
              <w:pStyle w:val="8"/>
              <w:spacing w:before="68" w:line="234" w:lineRule="auto"/>
              <w:ind w:left="86"/>
            </w:pPr>
            <w:r>
              <w:rPr>
                <w:color w:val="5F6A72"/>
                <w:spacing w:val="-10"/>
              </w:rPr>
              <w:t>BMI Country Risk Index</w:t>
            </w:r>
          </w:p>
        </w:tc>
        <w:tc>
          <w:tcPr>
            <w:tcW w:w="5879" w:type="dxa"/>
            <w:tcBorders>
              <w:left w:val="nil"/>
              <w:right w:val="nil"/>
            </w:tcBorders>
            <w:shd w:val="clear" w:color="auto" w:fill="EAF9FF"/>
            <w:vAlign w:val="top"/>
          </w:tcPr>
          <w:p w14:paraId="7D4C4DAF">
            <w:pPr>
              <w:pStyle w:val="8"/>
              <w:spacing w:before="68" w:line="271" w:lineRule="auto"/>
              <w:ind w:left="79" w:right="273" w:hanging="6"/>
            </w:pPr>
            <w:r>
              <w:rPr>
                <w:color w:val="5F6A72"/>
                <w:spacing w:val="-8"/>
              </w:rPr>
              <w:t>The Political Risk Index is a score made u</w:t>
            </w:r>
            <w:r>
              <w:rPr>
                <w:color w:val="5F6A72"/>
                <w:spacing w:val="-9"/>
              </w:rPr>
              <w:t>p of</w:t>
            </w:r>
            <w:r>
              <w:rPr>
                <w:color w:val="5F6A72"/>
                <w:spacing w:val="-20"/>
              </w:rPr>
              <w:t xml:space="preserve"> </w:t>
            </w:r>
            <w:r>
              <w:rPr>
                <w:color w:val="5F6A72"/>
                <w:spacing w:val="-9"/>
              </w:rPr>
              <w:t>the mean average across three</w:t>
            </w:r>
            <w:r>
              <w:rPr>
                <w:color w:val="5F6A72"/>
              </w:rPr>
              <w:t xml:space="preserve"> </w:t>
            </w:r>
            <w:r>
              <w:rPr>
                <w:color w:val="5F6A72"/>
                <w:spacing w:val="-9"/>
              </w:rPr>
              <w:t>distinct pillars: Governance Risk, Society Risk and Security Risk. These a</w:t>
            </w:r>
            <w:r>
              <w:rPr>
                <w:color w:val="5F6A72"/>
                <w:spacing w:val="-10"/>
              </w:rPr>
              <w:t>re</w:t>
            </w:r>
          </w:p>
          <w:p w14:paraId="5DFB4FE8">
            <w:pPr>
              <w:pStyle w:val="8"/>
              <w:spacing w:before="33" w:line="234" w:lineRule="auto"/>
              <w:ind w:left="79"/>
            </w:pPr>
            <w:r>
              <w:rPr>
                <w:color w:val="5F6A72"/>
                <w:spacing w:val="-7"/>
              </w:rPr>
              <w:t>aggregated into an over</w:t>
            </w:r>
            <w:r>
              <w:rPr>
                <w:color w:val="5F6A72"/>
                <w:spacing w:val="-8"/>
              </w:rPr>
              <w:t>all assessment of Political Risk.</w:t>
            </w:r>
          </w:p>
        </w:tc>
      </w:tr>
      <w:tr w14:paraId="733A647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737" w:hRule="atLeast"/>
        </w:trPr>
        <w:tc>
          <w:tcPr>
            <w:tcW w:w="4325" w:type="dxa"/>
            <w:gridSpan w:val="2"/>
            <w:tcBorders>
              <w:left w:val="nil"/>
              <w:bottom w:val="single" w:color="000000" w:sz="4" w:space="0"/>
              <w:right w:val="nil"/>
            </w:tcBorders>
            <w:vAlign w:val="top"/>
          </w:tcPr>
          <w:p w14:paraId="0BA7197C">
            <w:pPr>
              <w:pStyle w:val="8"/>
              <w:spacing w:before="70" w:line="209" w:lineRule="exact"/>
              <w:ind w:left="8"/>
            </w:pPr>
            <w:r>
              <w:rPr>
                <w:b/>
                <w:bCs/>
                <w:color w:val="2A8ABF"/>
                <w:spacing w:val="-9"/>
                <w:position w:val="2"/>
              </w:rPr>
              <w:t>Operational Risk Index</w:t>
            </w:r>
            <w:r>
              <w:rPr>
                <w:b/>
                <w:bCs/>
                <w:color w:val="2A8ABF"/>
                <w:spacing w:val="1"/>
                <w:position w:val="2"/>
              </w:rPr>
              <w:t xml:space="preserve">              </w:t>
            </w:r>
            <w:r>
              <w:rPr>
                <w:color w:val="5F6A72"/>
                <w:spacing w:val="-9"/>
                <w:position w:val="2"/>
              </w:rPr>
              <w:t>BMI Operational Risk</w:t>
            </w:r>
          </w:p>
          <w:p w14:paraId="4B0CDF36">
            <w:pPr>
              <w:pStyle w:val="8"/>
              <w:spacing w:before="42" w:line="238" w:lineRule="exact"/>
              <w:ind w:left="2498"/>
            </w:pPr>
            <w:r>
              <w:rPr>
                <w:color w:val="5F6A72"/>
                <w:spacing w:val="-8"/>
                <w:position w:val="1"/>
              </w:rPr>
              <w:t>Index</w:t>
            </w:r>
          </w:p>
        </w:tc>
        <w:tc>
          <w:tcPr>
            <w:tcW w:w="5879" w:type="dxa"/>
            <w:tcBorders>
              <w:left w:val="nil"/>
              <w:bottom w:val="single" w:color="000000" w:sz="4" w:space="0"/>
              <w:right w:val="nil"/>
            </w:tcBorders>
            <w:vAlign w:val="top"/>
          </w:tcPr>
          <w:p w14:paraId="18D514EA">
            <w:pPr>
              <w:pStyle w:val="8"/>
              <w:spacing w:before="71" w:line="271" w:lineRule="auto"/>
              <w:ind w:left="83" w:right="89" w:hanging="3"/>
            </w:pPr>
            <w:r>
              <w:rPr>
                <w:color w:val="5F6A72"/>
                <w:spacing w:val="-7"/>
              </w:rPr>
              <w:t>Our Operational Risk Index focuses on existing conditions relating to four main</w:t>
            </w:r>
            <w:r>
              <w:rPr>
                <w:color w:val="5F6A72"/>
                <w:spacing w:val="7"/>
              </w:rPr>
              <w:t xml:space="preserve"> </w:t>
            </w:r>
            <w:r>
              <w:rPr>
                <w:color w:val="5F6A72"/>
                <w:spacing w:val="-8"/>
              </w:rPr>
              <w:t xml:space="preserve">risk areas: Labour Market, Trade &amp; </w:t>
            </w:r>
            <w:r>
              <w:rPr>
                <w:color w:val="5F6A72"/>
                <w:spacing w:val="-9"/>
              </w:rPr>
              <w:t>Investment, Logistics, and Crime &amp; Security.</w:t>
            </w:r>
          </w:p>
        </w:tc>
      </w:tr>
    </w:tbl>
    <w:p w14:paraId="650B340D">
      <w:pPr>
        <w:pStyle w:val="4"/>
        <w:spacing w:before="20" w:line="186" w:lineRule="auto"/>
        <w:ind w:left="368"/>
        <w:rPr>
          <w:sz w:val="15"/>
          <w:szCs w:val="15"/>
        </w:rPr>
      </w:pPr>
      <w:r>
        <w:rPr>
          <w:i/>
          <w:iCs/>
          <w:color w:val="333333"/>
          <w:spacing w:val="-7"/>
          <w:w w:val="93"/>
          <w:sz w:val="15"/>
          <w:szCs w:val="15"/>
        </w:rPr>
        <w:t>Source: BMI</w:t>
      </w:r>
    </w:p>
    <w:p w14:paraId="7167C8A6">
      <w:pPr>
        <w:pStyle w:val="4"/>
        <w:spacing w:line="383" w:lineRule="auto"/>
      </w:pPr>
    </w:p>
    <w:p w14:paraId="5CDE8BD9">
      <w:pPr>
        <w:pStyle w:val="4"/>
        <w:spacing w:before="59" w:line="269" w:lineRule="exact"/>
        <w:ind w:left="375"/>
        <w:rPr>
          <w:sz w:val="20"/>
          <w:szCs w:val="20"/>
        </w:rPr>
      </w:pPr>
      <w:r>
        <w:rPr>
          <w:b/>
          <w:bCs/>
          <w:color w:val="57585A"/>
          <w:spacing w:val="-9"/>
          <w:position w:val="1"/>
          <w:sz w:val="20"/>
          <w:szCs w:val="20"/>
        </w:rPr>
        <w:t>Downstream Oil &amp; Gas Risk/Reward Index</w:t>
      </w:r>
    </w:p>
    <w:p w14:paraId="7D0A97F7">
      <w:pPr>
        <w:pStyle w:val="4"/>
        <w:spacing w:line="242" w:lineRule="auto"/>
      </w:pPr>
    </w:p>
    <w:p w14:paraId="49FFED11">
      <w:pPr>
        <w:pStyle w:val="4"/>
        <w:spacing w:before="57" w:line="274" w:lineRule="auto"/>
        <w:ind w:left="369" w:right="484"/>
        <w:rPr>
          <w:sz w:val="20"/>
          <w:szCs w:val="20"/>
        </w:rPr>
      </w:pPr>
      <w:r>
        <w:rPr>
          <w:color w:val="57585A"/>
          <w:spacing w:val="-12"/>
          <w:sz w:val="20"/>
          <w:szCs w:val="20"/>
        </w:rPr>
        <w:t>Our Downstream Oil &amp; Gas RRI quantifies and ranks a market's attractiveness</w:t>
      </w:r>
      <w:r>
        <w:rPr>
          <w:color w:val="57585A"/>
          <w:spacing w:val="-15"/>
          <w:sz w:val="20"/>
          <w:szCs w:val="20"/>
        </w:rPr>
        <w:t xml:space="preserve"> </w:t>
      </w:r>
      <w:r>
        <w:rPr>
          <w:color w:val="57585A"/>
          <w:spacing w:val="-12"/>
          <w:sz w:val="20"/>
          <w:szCs w:val="20"/>
        </w:rPr>
        <w:t>within the context of</w:t>
      </w:r>
      <w:r>
        <w:rPr>
          <w:color w:val="57585A"/>
          <w:spacing w:val="-21"/>
          <w:sz w:val="20"/>
          <w:szCs w:val="20"/>
        </w:rPr>
        <w:t xml:space="preserve"> </w:t>
      </w:r>
      <w:r>
        <w:rPr>
          <w:color w:val="57585A"/>
          <w:spacing w:val="-12"/>
          <w:sz w:val="20"/>
          <w:szCs w:val="20"/>
        </w:rPr>
        <w:t xml:space="preserve">the </w:t>
      </w:r>
      <w:r>
        <w:rPr>
          <w:color w:val="57585A"/>
          <w:spacing w:val="-13"/>
          <w:sz w:val="20"/>
          <w:szCs w:val="20"/>
        </w:rPr>
        <w:t>downstream industry, based</w:t>
      </w:r>
      <w:r>
        <w:rPr>
          <w:color w:val="57585A"/>
          <w:sz w:val="20"/>
          <w:szCs w:val="20"/>
        </w:rPr>
        <w:t xml:space="preserve"> </w:t>
      </w:r>
      <w:r>
        <w:rPr>
          <w:color w:val="57585A"/>
          <w:spacing w:val="-10"/>
          <w:sz w:val="20"/>
          <w:szCs w:val="20"/>
        </w:rPr>
        <w:t xml:space="preserve">on the balance between the </w:t>
      </w:r>
      <w:r>
        <w:rPr>
          <w:b/>
          <w:bCs/>
          <w:color w:val="57585A"/>
          <w:spacing w:val="-10"/>
          <w:sz w:val="20"/>
          <w:szCs w:val="20"/>
        </w:rPr>
        <w:t xml:space="preserve">risks </w:t>
      </w:r>
      <w:r>
        <w:rPr>
          <w:color w:val="57585A"/>
          <w:spacing w:val="-10"/>
          <w:sz w:val="20"/>
          <w:szCs w:val="20"/>
        </w:rPr>
        <w:t xml:space="preserve">and </w:t>
      </w:r>
      <w:r>
        <w:rPr>
          <w:b/>
          <w:bCs/>
          <w:color w:val="57585A"/>
          <w:spacing w:val="-10"/>
          <w:sz w:val="20"/>
          <w:szCs w:val="20"/>
        </w:rPr>
        <w:t xml:space="preserve">rewards </w:t>
      </w:r>
      <w:r>
        <w:rPr>
          <w:color w:val="57585A"/>
          <w:spacing w:val="-10"/>
          <w:sz w:val="20"/>
          <w:szCs w:val="20"/>
        </w:rPr>
        <w:t>of</w:t>
      </w:r>
      <w:r>
        <w:rPr>
          <w:color w:val="57585A"/>
          <w:spacing w:val="-15"/>
          <w:sz w:val="20"/>
          <w:szCs w:val="20"/>
        </w:rPr>
        <w:t xml:space="preserve"> </w:t>
      </w:r>
      <w:r>
        <w:rPr>
          <w:color w:val="57585A"/>
          <w:spacing w:val="-10"/>
          <w:sz w:val="20"/>
          <w:szCs w:val="20"/>
        </w:rPr>
        <w:t>entering and operating in different mark</w:t>
      </w:r>
      <w:r>
        <w:rPr>
          <w:color w:val="57585A"/>
          <w:spacing w:val="-11"/>
          <w:sz w:val="20"/>
          <w:szCs w:val="20"/>
        </w:rPr>
        <w:t>ets.</w:t>
      </w:r>
    </w:p>
    <w:p w14:paraId="66E3464B">
      <w:pPr>
        <w:pStyle w:val="4"/>
        <w:spacing w:line="264" w:lineRule="auto"/>
      </w:pPr>
    </w:p>
    <w:p w14:paraId="373E912D">
      <w:pPr>
        <w:pStyle w:val="4"/>
        <w:spacing w:before="58" w:line="273" w:lineRule="auto"/>
        <w:ind w:left="363" w:right="685" w:hanging="2"/>
        <w:rPr>
          <w:sz w:val="20"/>
          <w:szCs w:val="20"/>
        </w:rPr>
      </w:pPr>
      <w:r>
        <w:rPr>
          <w:color w:val="57585A"/>
          <w:spacing w:val="-10"/>
          <w:sz w:val="20"/>
          <w:szCs w:val="20"/>
        </w:rPr>
        <w:t>We combine industry-sp</w:t>
      </w:r>
      <w:r>
        <w:rPr>
          <w:color w:val="57585A"/>
          <w:spacing w:val="-11"/>
          <w:sz w:val="20"/>
          <w:szCs w:val="20"/>
        </w:rPr>
        <w:t>ecific characteristics</w:t>
      </w:r>
      <w:r>
        <w:rPr>
          <w:color w:val="57585A"/>
          <w:spacing w:val="-15"/>
          <w:sz w:val="20"/>
          <w:szCs w:val="20"/>
        </w:rPr>
        <w:t xml:space="preserve"> </w:t>
      </w:r>
      <w:r>
        <w:rPr>
          <w:color w:val="57585A"/>
          <w:spacing w:val="-11"/>
          <w:sz w:val="20"/>
          <w:szCs w:val="20"/>
        </w:rPr>
        <w:t>with broader economic, political and operational market characteristics. We</w:t>
      </w:r>
      <w:r>
        <w:rPr>
          <w:color w:val="57585A"/>
          <w:spacing w:val="-16"/>
          <w:sz w:val="20"/>
          <w:szCs w:val="20"/>
        </w:rPr>
        <w:t xml:space="preserve"> </w:t>
      </w:r>
      <w:r>
        <w:rPr>
          <w:color w:val="57585A"/>
          <w:spacing w:val="-11"/>
          <w:sz w:val="20"/>
          <w:szCs w:val="20"/>
        </w:rPr>
        <w:t>weight</w:t>
      </w:r>
      <w:r>
        <w:rPr>
          <w:color w:val="57585A"/>
          <w:sz w:val="20"/>
          <w:szCs w:val="20"/>
        </w:rPr>
        <w:t xml:space="preserve"> </w:t>
      </w:r>
      <w:r>
        <w:rPr>
          <w:color w:val="57585A"/>
          <w:spacing w:val="-10"/>
          <w:sz w:val="20"/>
          <w:szCs w:val="20"/>
        </w:rPr>
        <w:t>these inputs in terms of</w:t>
      </w:r>
      <w:r>
        <w:rPr>
          <w:color w:val="57585A"/>
          <w:spacing w:val="-21"/>
          <w:sz w:val="20"/>
          <w:szCs w:val="20"/>
        </w:rPr>
        <w:t xml:space="preserve"> </w:t>
      </w:r>
      <w:r>
        <w:rPr>
          <w:color w:val="57585A"/>
          <w:spacing w:val="-10"/>
          <w:sz w:val="20"/>
          <w:szCs w:val="20"/>
        </w:rPr>
        <w:t xml:space="preserve">their importance to </w:t>
      </w:r>
      <w:r>
        <w:rPr>
          <w:color w:val="57585A"/>
          <w:spacing w:val="-11"/>
          <w:sz w:val="20"/>
          <w:szCs w:val="20"/>
        </w:rPr>
        <w:t>investor decision-making in a given industry. The result is a nuanced and accurate</w:t>
      </w:r>
    </w:p>
    <w:p w14:paraId="0EC8D40E">
      <w:pPr>
        <w:pStyle w:val="4"/>
        <w:spacing w:before="37" w:line="273" w:lineRule="auto"/>
        <w:ind w:left="373" w:right="507"/>
        <w:rPr>
          <w:sz w:val="20"/>
          <w:szCs w:val="20"/>
        </w:rPr>
      </w:pPr>
      <w:r>
        <w:rPr>
          <w:color w:val="57585A"/>
          <w:spacing w:val="-10"/>
          <w:sz w:val="20"/>
          <w:szCs w:val="20"/>
        </w:rPr>
        <w:t>reflection of</w:t>
      </w:r>
      <w:r>
        <w:rPr>
          <w:color w:val="57585A"/>
          <w:spacing w:val="-21"/>
          <w:sz w:val="20"/>
          <w:szCs w:val="20"/>
        </w:rPr>
        <w:t xml:space="preserve"> </w:t>
      </w:r>
      <w:r>
        <w:rPr>
          <w:color w:val="57585A"/>
          <w:spacing w:val="-10"/>
          <w:sz w:val="20"/>
          <w:szCs w:val="20"/>
        </w:rPr>
        <w:t>the realities facing investors in terms of</w:t>
      </w:r>
      <w:r>
        <w:rPr>
          <w:color w:val="57585A"/>
          <w:spacing w:val="-22"/>
          <w:sz w:val="20"/>
          <w:szCs w:val="20"/>
        </w:rPr>
        <w:t xml:space="preserve"> </w:t>
      </w:r>
      <w:r>
        <w:rPr>
          <w:color w:val="57585A"/>
          <w:spacing w:val="-10"/>
          <w:sz w:val="20"/>
          <w:szCs w:val="20"/>
        </w:rPr>
        <w:t>the balance between opportuniti</w:t>
      </w:r>
      <w:r>
        <w:rPr>
          <w:color w:val="57585A"/>
          <w:spacing w:val="-11"/>
          <w:sz w:val="20"/>
          <w:szCs w:val="20"/>
        </w:rPr>
        <w:t>es and risks and between sector-specific and</w:t>
      </w:r>
      <w:r>
        <w:rPr>
          <w:color w:val="57585A"/>
          <w:sz w:val="20"/>
          <w:szCs w:val="20"/>
        </w:rPr>
        <w:t xml:space="preserve"> </w:t>
      </w:r>
      <w:r>
        <w:rPr>
          <w:color w:val="57585A"/>
          <w:spacing w:val="-12"/>
          <w:sz w:val="20"/>
          <w:szCs w:val="20"/>
        </w:rPr>
        <w:t>broader market traits. This enables users of</w:t>
      </w:r>
      <w:r>
        <w:rPr>
          <w:color w:val="57585A"/>
          <w:spacing w:val="-16"/>
          <w:sz w:val="20"/>
          <w:szCs w:val="20"/>
        </w:rPr>
        <w:t xml:space="preserve"> </w:t>
      </w:r>
      <w:r>
        <w:rPr>
          <w:color w:val="57585A"/>
          <w:spacing w:val="-12"/>
          <w:sz w:val="20"/>
          <w:szCs w:val="20"/>
        </w:rPr>
        <w:t>the index to assess a market's attractiveness in a regional and global context.</w:t>
      </w:r>
    </w:p>
    <w:p w14:paraId="10037D61">
      <w:pPr>
        <w:pStyle w:val="4"/>
        <w:spacing w:line="265" w:lineRule="auto"/>
      </w:pPr>
    </w:p>
    <w:p w14:paraId="6E6430DB">
      <w:pPr>
        <w:pStyle w:val="4"/>
        <w:spacing w:before="58" w:line="273" w:lineRule="auto"/>
        <w:ind w:left="368" w:right="988" w:hanging="8"/>
        <w:rPr>
          <w:sz w:val="20"/>
          <w:szCs w:val="20"/>
        </w:rPr>
      </w:pPr>
      <w:r>
        <w:rPr>
          <w:color w:val="57585A"/>
          <w:spacing w:val="-11"/>
          <w:sz w:val="20"/>
          <w:szCs w:val="20"/>
        </w:rPr>
        <w:t>The index combines our proprietary</w:t>
      </w:r>
      <w:r>
        <w:rPr>
          <w:color w:val="57585A"/>
          <w:spacing w:val="-12"/>
          <w:sz w:val="20"/>
          <w:szCs w:val="20"/>
        </w:rPr>
        <w:t xml:space="preserve"> forecasts and analyst assessment of</w:t>
      </w:r>
      <w:r>
        <w:rPr>
          <w:color w:val="57585A"/>
          <w:spacing w:val="-21"/>
          <w:sz w:val="20"/>
          <w:szCs w:val="20"/>
        </w:rPr>
        <w:t xml:space="preserve"> </w:t>
      </w:r>
      <w:r>
        <w:rPr>
          <w:color w:val="57585A"/>
          <w:spacing w:val="-12"/>
          <w:sz w:val="20"/>
          <w:szCs w:val="20"/>
        </w:rPr>
        <w:t>the regulatory regime.</w:t>
      </w:r>
      <w:r>
        <w:rPr>
          <w:color w:val="57585A"/>
          <w:spacing w:val="-16"/>
          <w:sz w:val="20"/>
          <w:szCs w:val="20"/>
        </w:rPr>
        <w:t xml:space="preserve"> </w:t>
      </w:r>
      <w:r>
        <w:rPr>
          <w:color w:val="57585A"/>
          <w:spacing w:val="-12"/>
          <w:sz w:val="20"/>
          <w:szCs w:val="20"/>
        </w:rPr>
        <w:t>As regulations and forecasts</w:t>
      </w:r>
      <w:r>
        <w:rPr>
          <w:color w:val="57585A"/>
          <w:sz w:val="20"/>
          <w:szCs w:val="20"/>
        </w:rPr>
        <w:t xml:space="preserve"> </w:t>
      </w:r>
      <w:r>
        <w:rPr>
          <w:color w:val="57585A"/>
          <w:spacing w:val="-11"/>
          <w:sz w:val="20"/>
          <w:szCs w:val="20"/>
        </w:rPr>
        <w:t>change, so the scores change providing a dynamic a</w:t>
      </w:r>
      <w:r>
        <w:rPr>
          <w:color w:val="57585A"/>
          <w:spacing w:val="-12"/>
          <w:sz w:val="20"/>
          <w:szCs w:val="20"/>
        </w:rPr>
        <w:t>nd forward-looking result.</w:t>
      </w:r>
    </w:p>
    <w:p w14:paraId="1C360329">
      <w:pPr>
        <w:pStyle w:val="4"/>
        <w:spacing w:line="262" w:lineRule="auto"/>
      </w:pPr>
    </w:p>
    <w:p w14:paraId="43E44823">
      <w:pPr>
        <w:pStyle w:val="4"/>
        <w:spacing w:before="58" w:line="233" w:lineRule="exact"/>
        <w:ind w:left="360"/>
        <w:rPr>
          <w:sz w:val="20"/>
          <w:szCs w:val="20"/>
        </w:rPr>
      </w:pPr>
      <w:r>
        <w:rPr>
          <w:color w:val="57585A"/>
          <w:spacing w:val="-13"/>
          <w:position w:val="2"/>
          <w:sz w:val="20"/>
          <w:szCs w:val="20"/>
        </w:rPr>
        <w:t xml:space="preserve">The Downstream Oil &amp; Gas Risk/Reward Index comprises </w:t>
      </w:r>
      <w:r>
        <w:rPr>
          <w:b/>
          <w:bCs/>
          <w:color w:val="57585A"/>
          <w:spacing w:val="-13"/>
          <w:position w:val="2"/>
          <w:sz w:val="20"/>
          <w:szCs w:val="20"/>
        </w:rPr>
        <w:t>92 markets</w:t>
      </w:r>
      <w:r>
        <w:rPr>
          <w:color w:val="57585A"/>
          <w:spacing w:val="-13"/>
          <w:position w:val="2"/>
          <w:sz w:val="20"/>
          <w:szCs w:val="20"/>
        </w:rPr>
        <w:t>.</w:t>
      </w:r>
    </w:p>
    <w:p w14:paraId="0153AFA0">
      <w:pPr>
        <w:pStyle w:val="4"/>
        <w:spacing w:line="275" w:lineRule="auto"/>
      </w:pPr>
    </w:p>
    <w:p w14:paraId="6E228DEB">
      <w:pPr>
        <w:pStyle w:val="4"/>
        <w:spacing w:before="58" w:line="241" w:lineRule="auto"/>
        <w:ind w:left="375"/>
        <w:rPr>
          <w:sz w:val="20"/>
          <w:szCs w:val="20"/>
        </w:rPr>
      </w:pPr>
      <w:r>
        <w:rPr>
          <w:b/>
          <w:bCs/>
          <w:color w:val="57585A"/>
          <w:spacing w:val="-10"/>
          <w:sz w:val="20"/>
          <w:szCs w:val="20"/>
        </w:rPr>
        <w:t>Benefits Of Using Our Downst</w:t>
      </w:r>
      <w:r>
        <w:rPr>
          <w:b/>
          <w:bCs/>
          <w:color w:val="57585A"/>
          <w:spacing w:val="-11"/>
          <w:sz w:val="20"/>
          <w:szCs w:val="20"/>
        </w:rPr>
        <w:t>ream Oil &amp; Gas RRIs</w:t>
      </w:r>
    </w:p>
    <w:p w14:paraId="30CB3A89">
      <w:pPr>
        <w:pStyle w:val="4"/>
        <w:spacing w:line="278" w:lineRule="auto"/>
      </w:pPr>
    </w:p>
    <w:p w14:paraId="1F623FE7">
      <w:pPr>
        <w:pStyle w:val="4"/>
        <w:spacing w:before="59" w:line="263" w:lineRule="auto"/>
        <w:ind w:left="612" w:right="655" w:hanging="255"/>
        <w:rPr>
          <w:sz w:val="20"/>
          <w:szCs w:val="20"/>
        </w:rPr>
      </w:pPr>
      <w:r>
        <w:rPr>
          <w:color w:val="33CCFF"/>
          <w:spacing w:val="-10"/>
          <w:sz w:val="20"/>
          <w:szCs w:val="20"/>
        </w:rPr>
        <w:t xml:space="preserve">•   </w:t>
      </w:r>
      <w:r>
        <w:rPr>
          <w:b/>
          <w:bCs/>
          <w:color w:val="57585A"/>
          <w:spacing w:val="-10"/>
          <w:sz w:val="20"/>
          <w:szCs w:val="20"/>
        </w:rPr>
        <w:t>Global Index:</w:t>
      </w:r>
      <w:r>
        <w:rPr>
          <w:b/>
          <w:bCs/>
          <w:color w:val="57585A"/>
          <w:spacing w:val="-16"/>
          <w:sz w:val="20"/>
          <w:szCs w:val="20"/>
        </w:rPr>
        <w:t xml:space="preserve"> </w:t>
      </w:r>
      <w:r>
        <w:rPr>
          <w:color w:val="57585A"/>
          <w:spacing w:val="-10"/>
          <w:sz w:val="20"/>
          <w:szCs w:val="20"/>
        </w:rPr>
        <w:t xml:space="preserve">A global table, ranking all the markets in </w:t>
      </w:r>
      <w:r>
        <w:rPr>
          <w:color w:val="57585A"/>
          <w:spacing w:val="-11"/>
          <w:sz w:val="20"/>
          <w:szCs w:val="20"/>
        </w:rPr>
        <w:t>our universe for downstream oil &amp; gas from most attractive (closest to</w:t>
      </w:r>
      <w:r>
        <w:rPr>
          <w:color w:val="57585A"/>
          <w:sz w:val="20"/>
          <w:szCs w:val="20"/>
        </w:rPr>
        <w:t xml:space="preserve"> </w:t>
      </w:r>
      <w:r>
        <w:rPr>
          <w:color w:val="57585A"/>
          <w:spacing w:val="-11"/>
          <w:sz w:val="20"/>
          <w:szCs w:val="20"/>
        </w:rPr>
        <w:t>zero)</w:t>
      </w:r>
      <w:r>
        <w:rPr>
          <w:color w:val="57585A"/>
          <w:spacing w:val="6"/>
          <w:sz w:val="20"/>
          <w:szCs w:val="20"/>
        </w:rPr>
        <w:t xml:space="preserve"> </w:t>
      </w:r>
      <w:r>
        <w:rPr>
          <w:color w:val="57585A"/>
          <w:spacing w:val="-11"/>
          <w:sz w:val="20"/>
          <w:szCs w:val="20"/>
        </w:rPr>
        <w:t>to most risk (closest to 100).</w:t>
      </w:r>
    </w:p>
    <w:p w14:paraId="2B592647">
      <w:pPr>
        <w:pStyle w:val="4"/>
        <w:spacing w:before="55" w:line="241" w:lineRule="auto"/>
        <w:ind w:left="357"/>
        <w:rPr>
          <w:sz w:val="20"/>
          <w:szCs w:val="20"/>
        </w:rPr>
      </w:pPr>
      <w:r>
        <w:rPr>
          <w:color w:val="33CCFF"/>
          <w:spacing w:val="-10"/>
          <w:sz w:val="20"/>
          <w:szCs w:val="20"/>
        </w:rPr>
        <w:t xml:space="preserve">•   </w:t>
      </w:r>
      <w:r>
        <w:rPr>
          <w:b/>
          <w:bCs/>
          <w:color w:val="57585A"/>
          <w:spacing w:val="-10"/>
          <w:sz w:val="20"/>
          <w:szCs w:val="20"/>
        </w:rPr>
        <w:t xml:space="preserve">Accessibility: </w:t>
      </w:r>
      <w:r>
        <w:rPr>
          <w:color w:val="57585A"/>
          <w:spacing w:val="-10"/>
          <w:sz w:val="20"/>
          <w:szCs w:val="20"/>
        </w:rPr>
        <w:t>Easily accessible, top-down</w:t>
      </w:r>
      <w:r>
        <w:rPr>
          <w:color w:val="57585A"/>
          <w:spacing w:val="-16"/>
          <w:sz w:val="20"/>
          <w:szCs w:val="20"/>
        </w:rPr>
        <w:t xml:space="preserve"> </w:t>
      </w:r>
      <w:r>
        <w:rPr>
          <w:color w:val="57585A"/>
          <w:spacing w:val="-10"/>
          <w:sz w:val="20"/>
          <w:szCs w:val="20"/>
        </w:rPr>
        <w:t>view of</w:t>
      </w:r>
      <w:r>
        <w:rPr>
          <w:color w:val="57585A"/>
          <w:spacing w:val="-21"/>
          <w:sz w:val="20"/>
          <w:szCs w:val="20"/>
        </w:rPr>
        <w:t xml:space="preserve"> </w:t>
      </w:r>
      <w:r>
        <w:rPr>
          <w:color w:val="57585A"/>
          <w:spacing w:val="-10"/>
          <w:sz w:val="20"/>
          <w:szCs w:val="20"/>
        </w:rPr>
        <w:t xml:space="preserve">the global, regional or </w:t>
      </w:r>
      <w:r>
        <w:rPr>
          <w:color w:val="57585A"/>
          <w:spacing w:val="-11"/>
          <w:sz w:val="20"/>
          <w:szCs w:val="20"/>
        </w:rPr>
        <w:t>sub-regional risk/reward profiles.</w:t>
      </w:r>
    </w:p>
    <w:p w14:paraId="707A5D6D">
      <w:pPr>
        <w:pStyle w:val="4"/>
        <w:spacing w:before="50" w:line="263" w:lineRule="auto"/>
        <w:ind w:left="613" w:right="1060" w:hanging="256"/>
        <w:rPr>
          <w:sz w:val="20"/>
          <w:szCs w:val="20"/>
        </w:rPr>
      </w:pPr>
      <w:r>
        <w:rPr>
          <w:color w:val="33CCFF"/>
          <w:spacing w:val="-10"/>
          <w:sz w:val="20"/>
          <w:szCs w:val="20"/>
        </w:rPr>
        <w:t xml:space="preserve">•   </w:t>
      </w:r>
      <w:r>
        <w:rPr>
          <w:b/>
          <w:bCs/>
          <w:color w:val="57585A"/>
          <w:spacing w:val="-10"/>
          <w:sz w:val="20"/>
          <w:szCs w:val="20"/>
        </w:rPr>
        <w:t xml:space="preserve">Comparability: </w:t>
      </w:r>
      <w:r>
        <w:rPr>
          <w:color w:val="57585A"/>
          <w:spacing w:val="-10"/>
          <w:sz w:val="20"/>
          <w:szCs w:val="20"/>
        </w:rPr>
        <w:t>Identical methodology across 92 markets for oil &amp; gas allo</w:t>
      </w:r>
      <w:r>
        <w:rPr>
          <w:color w:val="57585A"/>
          <w:spacing w:val="-11"/>
          <w:sz w:val="20"/>
          <w:szCs w:val="20"/>
        </w:rPr>
        <w:t>ws users to build lists of markets they</w:t>
      </w:r>
      <w:r>
        <w:rPr>
          <w:color w:val="57585A"/>
          <w:spacing w:val="-15"/>
          <w:sz w:val="20"/>
          <w:szCs w:val="20"/>
        </w:rPr>
        <w:t xml:space="preserve"> </w:t>
      </w:r>
      <w:r>
        <w:rPr>
          <w:color w:val="57585A"/>
          <w:spacing w:val="-11"/>
          <w:sz w:val="20"/>
          <w:szCs w:val="20"/>
        </w:rPr>
        <w:t>wish to</w:t>
      </w:r>
      <w:r>
        <w:rPr>
          <w:color w:val="57585A"/>
          <w:sz w:val="20"/>
          <w:szCs w:val="20"/>
        </w:rPr>
        <w:t xml:space="preserve"> </w:t>
      </w:r>
      <w:r>
        <w:rPr>
          <w:color w:val="57585A"/>
          <w:spacing w:val="-10"/>
          <w:sz w:val="20"/>
          <w:szCs w:val="20"/>
        </w:rPr>
        <w:t xml:space="preserve">compare, beyond the </w:t>
      </w:r>
      <w:r>
        <w:rPr>
          <w:color w:val="57585A"/>
          <w:spacing w:val="-11"/>
          <w:sz w:val="20"/>
          <w:szCs w:val="20"/>
        </w:rPr>
        <w:t>confines of</w:t>
      </w:r>
      <w:r>
        <w:rPr>
          <w:color w:val="57585A"/>
          <w:spacing w:val="-17"/>
          <w:sz w:val="20"/>
          <w:szCs w:val="20"/>
        </w:rPr>
        <w:t xml:space="preserve"> </w:t>
      </w:r>
      <w:r>
        <w:rPr>
          <w:color w:val="57585A"/>
          <w:spacing w:val="-11"/>
          <w:sz w:val="20"/>
          <w:szCs w:val="20"/>
        </w:rPr>
        <w:t>a global or regional grouping.</w:t>
      </w:r>
    </w:p>
    <w:p w14:paraId="70172876">
      <w:pPr>
        <w:pStyle w:val="4"/>
        <w:spacing w:before="56" w:line="264" w:lineRule="auto"/>
        <w:ind w:left="607" w:right="688" w:hanging="250"/>
        <w:rPr>
          <w:sz w:val="20"/>
          <w:szCs w:val="20"/>
        </w:rPr>
      </w:pPr>
      <w:r>
        <w:rPr>
          <w:color w:val="33CCFF"/>
          <w:spacing w:val="-10"/>
          <w:sz w:val="20"/>
          <w:szCs w:val="20"/>
        </w:rPr>
        <w:t xml:space="preserve">•   </w:t>
      </w:r>
      <w:r>
        <w:rPr>
          <w:b/>
          <w:bCs/>
          <w:color w:val="57585A"/>
          <w:spacing w:val="-10"/>
          <w:sz w:val="20"/>
          <w:szCs w:val="20"/>
        </w:rPr>
        <w:t xml:space="preserve">Scoring: </w:t>
      </w:r>
      <w:r>
        <w:rPr>
          <w:color w:val="57585A"/>
          <w:spacing w:val="-10"/>
          <w:sz w:val="20"/>
          <w:szCs w:val="20"/>
        </w:rPr>
        <w:t>Scores out of 100</w:t>
      </w:r>
      <w:r>
        <w:rPr>
          <w:color w:val="57585A"/>
          <w:spacing w:val="-15"/>
          <w:sz w:val="20"/>
          <w:szCs w:val="20"/>
        </w:rPr>
        <w:t xml:space="preserve"> </w:t>
      </w:r>
      <w:r>
        <w:rPr>
          <w:color w:val="57585A"/>
          <w:spacing w:val="-10"/>
          <w:sz w:val="20"/>
          <w:szCs w:val="20"/>
        </w:rPr>
        <w:t>with a</w:t>
      </w:r>
      <w:r>
        <w:rPr>
          <w:color w:val="57585A"/>
          <w:spacing w:val="-16"/>
          <w:sz w:val="20"/>
          <w:szCs w:val="20"/>
        </w:rPr>
        <w:t xml:space="preserve"> </w:t>
      </w:r>
      <w:r>
        <w:rPr>
          <w:color w:val="57585A"/>
          <w:spacing w:val="-10"/>
          <w:sz w:val="20"/>
          <w:szCs w:val="20"/>
        </w:rPr>
        <w:t>wide dist</w:t>
      </w:r>
      <w:r>
        <w:rPr>
          <w:color w:val="57585A"/>
          <w:spacing w:val="-11"/>
          <w:sz w:val="20"/>
          <w:szCs w:val="20"/>
        </w:rPr>
        <w:t>ribution provide nuanced investment comparisons.</w:t>
      </w:r>
      <w:r>
        <w:rPr>
          <w:color w:val="57585A"/>
          <w:spacing w:val="-15"/>
          <w:sz w:val="20"/>
          <w:szCs w:val="20"/>
        </w:rPr>
        <w:t xml:space="preserve"> </w:t>
      </w:r>
      <w:r>
        <w:rPr>
          <w:color w:val="57585A"/>
          <w:spacing w:val="-11"/>
          <w:sz w:val="20"/>
          <w:szCs w:val="20"/>
        </w:rPr>
        <w:t>The higher the score, the less</w:t>
      </w:r>
      <w:r>
        <w:rPr>
          <w:color w:val="57585A"/>
          <w:sz w:val="20"/>
          <w:szCs w:val="20"/>
        </w:rPr>
        <w:t xml:space="preserve"> </w:t>
      </w:r>
      <w:r>
        <w:rPr>
          <w:color w:val="57585A"/>
          <w:spacing w:val="-10"/>
          <w:sz w:val="20"/>
          <w:szCs w:val="20"/>
        </w:rPr>
        <w:t>favourable</w:t>
      </w:r>
      <w:r>
        <w:rPr>
          <w:color w:val="57585A"/>
          <w:spacing w:val="-6"/>
          <w:sz w:val="20"/>
          <w:szCs w:val="20"/>
        </w:rPr>
        <w:t xml:space="preserve"> </w:t>
      </w:r>
      <w:r>
        <w:rPr>
          <w:color w:val="57585A"/>
          <w:spacing w:val="-10"/>
          <w:sz w:val="20"/>
          <w:szCs w:val="20"/>
        </w:rPr>
        <w:t>the profile.</w:t>
      </w:r>
    </w:p>
    <w:p w14:paraId="3B9228CD">
      <w:pPr>
        <w:pStyle w:val="4"/>
        <w:spacing w:before="55" w:line="262" w:lineRule="auto"/>
        <w:ind w:left="604" w:right="650" w:hanging="247"/>
        <w:rPr>
          <w:sz w:val="20"/>
          <w:szCs w:val="20"/>
        </w:rPr>
      </w:pPr>
      <w:r>
        <w:rPr>
          <w:color w:val="33CCFF"/>
          <w:spacing w:val="-10"/>
          <w:sz w:val="20"/>
          <w:szCs w:val="20"/>
        </w:rPr>
        <w:t xml:space="preserve">•   </w:t>
      </w:r>
      <w:r>
        <w:rPr>
          <w:b/>
          <w:bCs/>
          <w:color w:val="57585A"/>
          <w:spacing w:val="-10"/>
          <w:sz w:val="20"/>
          <w:szCs w:val="20"/>
        </w:rPr>
        <w:t xml:space="preserve">Quantifiable: </w:t>
      </w:r>
      <w:r>
        <w:rPr>
          <w:color w:val="57585A"/>
          <w:spacing w:val="-10"/>
          <w:sz w:val="20"/>
          <w:szCs w:val="20"/>
        </w:rPr>
        <w:t>Quantifies the rewards and risks of</w:t>
      </w:r>
      <w:r>
        <w:rPr>
          <w:color w:val="57585A"/>
          <w:spacing w:val="-15"/>
          <w:sz w:val="20"/>
          <w:szCs w:val="20"/>
        </w:rPr>
        <w:t xml:space="preserve"> </w:t>
      </w:r>
      <w:r>
        <w:rPr>
          <w:color w:val="57585A"/>
          <w:spacing w:val="-10"/>
          <w:sz w:val="20"/>
          <w:szCs w:val="20"/>
        </w:rPr>
        <w:t>doing business in the downstream industry in different markets aro</w:t>
      </w:r>
      <w:r>
        <w:rPr>
          <w:color w:val="57585A"/>
          <w:spacing w:val="-11"/>
          <w:sz w:val="20"/>
          <w:szCs w:val="20"/>
        </w:rPr>
        <w:t>und the</w:t>
      </w:r>
      <w:r>
        <w:rPr>
          <w:color w:val="57585A"/>
          <w:sz w:val="20"/>
          <w:szCs w:val="20"/>
        </w:rPr>
        <w:t xml:space="preserve"> </w:t>
      </w:r>
      <w:r>
        <w:rPr>
          <w:color w:val="57585A"/>
          <w:spacing w:val="-10"/>
          <w:sz w:val="20"/>
          <w:szCs w:val="20"/>
        </w:rPr>
        <w:t>world and helps identify flashpoints in the</w:t>
      </w:r>
      <w:r>
        <w:rPr>
          <w:color w:val="57585A"/>
          <w:spacing w:val="-11"/>
          <w:sz w:val="20"/>
          <w:szCs w:val="20"/>
        </w:rPr>
        <w:t xml:space="preserve"> overall business environment.</w:t>
      </w:r>
    </w:p>
    <w:p w14:paraId="6C20CEA5">
      <w:pPr>
        <w:pStyle w:val="4"/>
        <w:spacing w:before="56" w:line="263" w:lineRule="auto"/>
        <w:ind w:left="612" w:right="579" w:hanging="255"/>
        <w:rPr>
          <w:sz w:val="20"/>
          <w:szCs w:val="20"/>
        </w:rPr>
      </w:pPr>
      <w:r>
        <w:rPr>
          <w:color w:val="33CCFF"/>
          <w:spacing w:val="-11"/>
          <w:sz w:val="20"/>
          <w:szCs w:val="20"/>
        </w:rPr>
        <w:t xml:space="preserve">•   </w:t>
      </w:r>
      <w:r>
        <w:rPr>
          <w:b/>
          <w:bCs/>
          <w:color w:val="57585A"/>
          <w:spacing w:val="-11"/>
          <w:sz w:val="20"/>
          <w:szCs w:val="20"/>
        </w:rPr>
        <w:t xml:space="preserve">Comprehensive: </w:t>
      </w:r>
      <w:r>
        <w:rPr>
          <w:color w:val="57585A"/>
          <w:spacing w:val="-11"/>
          <w:sz w:val="20"/>
          <w:szCs w:val="20"/>
        </w:rPr>
        <w:t>Comprehensive set of indicators assessing industry-specific risks and rewards alongside political, econo</w:t>
      </w:r>
      <w:r>
        <w:rPr>
          <w:color w:val="57585A"/>
          <w:spacing w:val="-12"/>
          <w:sz w:val="20"/>
          <w:szCs w:val="20"/>
        </w:rPr>
        <w:t>mic</w:t>
      </w:r>
      <w:r>
        <w:rPr>
          <w:color w:val="57585A"/>
          <w:sz w:val="20"/>
          <w:szCs w:val="20"/>
        </w:rPr>
        <w:t xml:space="preserve"> </w:t>
      </w:r>
      <w:r>
        <w:rPr>
          <w:color w:val="57585A"/>
          <w:spacing w:val="-12"/>
          <w:sz w:val="20"/>
          <w:szCs w:val="20"/>
        </w:rPr>
        <w:t>and operating risks.</w:t>
      </w:r>
    </w:p>
    <w:p w14:paraId="54688917">
      <w:pPr>
        <w:pStyle w:val="4"/>
        <w:spacing w:before="56" w:line="263" w:lineRule="auto"/>
        <w:ind w:left="612" w:right="371" w:hanging="255"/>
        <w:rPr>
          <w:sz w:val="20"/>
          <w:szCs w:val="20"/>
        </w:rPr>
      </w:pPr>
      <w:r>
        <w:rPr>
          <w:color w:val="33CCFF"/>
          <w:spacing w:val="-10"/>
          <w:sz w:val="20"/>
          <w:szCs w:val="20"/>
        </w:rPr>
        <w:t xml:space="preserve">•   </w:t>
      </w:r>
      <w:r>
        <w:rPr>
          <w:b/>
          <w:bCs/>
          <w:color w:val="57585A"/>
          <w:spacing w:val="-10"/>
          <w:sz w:val="20"/>
          <w:szCs w:val="20"/>
        </w:rPr>
        <w:t>Entry Point:</w:t>
      </w:r>
      <w:r>
        <w:rPr>
          <w:b/>
          <w:bCs/>
          <w:color w:val="57585A"/>
          <w:spacing w:val="-15"/>
          <w:sz w:val="20"/>
          <w:szCs w:val="20"/>
        </w:rPr>
        <w:t xml:space="preserve"> </w:t>
      </w:r>
      <w:r>
        <w:rPr>
          <w:color w:val="57585A"/>
          <w:spacing w:val="-10"/>
          <w:sz w:val="20"/>
          <w:szCs w:val="20"/>
        </w:rPr>
        <w:t>A starting point to assess the outlook for the downstream oil and gas industry, from</w:t>
      </w:r>
      <w:r>
        <w:rPr>
          <w:color w:val="57585A"/>
          <w:spacing w:val="-16"/>
          <w:sz w:val="20"/>
          <w:szCs w:val="20"/>
        </w:rPr>
        <w:t xml:space="preserve"> </w:t>
      </w:r>
      <w:r>
        <w:rPr>
          <w:color w:val="57585A"/>
          <w:spacing w:val="-10"/>
          <w:sz w:val="20"/>
          <w:szCs w:val="20"/>
        </w:rPr>
        <w:t>wh</w:t>
      </w:r>
      <w:r>
        <w:rPr>
          <w:color w:val="57585A"/>
          <w:spacing w:val="-11"/>
          <w:sz w:val="20"/>
          <w:szCs w:val="20"/>
        </w:rPr>
        <w:t>ich users can dive into more</w:t>
      </w:r>
      <w:r>
        <w:rPr>
          <w:color w:val="57585A"/>
          <w:sz w:val="20"/>
          <w:szCs w:val="20"/>
        </w:rPr>
        <w:t xml:space="preserve"> </w:t>
      </w:r>
      <w:r>
        <w:rPr>
          <w:color w:val="57585A"/>
          <w:spacing w:val="-11"/>
          <w:sz w:val="20"/>
          <w:szCs w:val="20"/>
        </w:rPr>
        <w:t>granular forecasts and analysis</w:t>
      </w:r>
      <w:r>
        <w:rPr>
          <w:color w:val="57585A"/>
          <w:spacing w:val="-12"/>
          <w:sz w:val="20"/>
          <w:szCs w:val="20"/>
        </w:rPr>
        <w:t xml:space="preserve"> </w:t>
      </w:r>
      <w:r>
        <w:rPr>
          <w:color w:val="57585A"/>
          <w:spacing w:val="-11"/>
          <w:sz w:val="20"/>
          <w:szCs w:val="20"/>
        </w:rPr>
        <w:t>to gain a deeper under</w:t>
      </w:r>
      <w:r>
        <w:rPr>
          <w:color w:val="57585A"/>
          <w:spacing w:val="-12"/>
          <w:sz w:val="20"/>
          <w:szCs w:val="20"/>
        </w:rPr>
        <w:t>standing of</w:t>
      </w:r>
      <w:r>
        <w:rPr>
          <w:color w:val="57585A"/>
          <w:spacing w:val="-21"/>
          <w:sz w:val="20"/>
          <w:szCs w:val="20"/>
        </w:rPr>
        <w:t xml:space="preserve"> </w:t>
      </w:r>
      <w:r>
        <w:rPr>
          <w:color w:val="57585A"/>
          <w:spacing w:val="-12"/>
          <w:sz w:val="20"/>
          <w:szCs w:val="20"/>
        </w:rPr>
        <w:t>the market.</w:t>
      </w:r>
    </w:p>
    <w:p w14:paraId="729D5E7D">
      <w:pPr>
        <w:pStyle w:val="4"/>
        <w:spacing w:before="56" w:line="241" w:lineRule="auto"/>
        <w:ind w:left="357"/>
        <w:rPr>
          <w:sz w:val="20"/>
          <w:szCs w:val="20"/>
        </w:rPr>
      </w:pPr>
      <w:r>
        <w:rPr>
          <w:color w:val="33CCFF"/>
          <w:spacing w:val="-10"/>
          <w:sz w:val="20"/>
          <w:szCs w:val="20"/>
        </w:rPr>
        <w:t xml:space="preserve">•   </w:t>
      </w:r>
      <w:r>
        <w:rPr>
          <w:b/>
          <w:bCs/>
          <w:color w:val="57585A"/>
          <w:spacing w:val="-10"/>
          <w:sz w:val="20"/>
          <w:szCs w:val="20"/>
        </w:rPr>
        <w:t xml:space="preserve">Balanced: </w:t>
      </w:r>
      <w:r>
        <w:rPr>
          <w:color w:val="57585A"/>
          <w:spacing w:val="-10"/>
          <w:sz w:val="20"/>
          <w:szCs w:val="20"/>
        </w:rPr>
        <w:t>Multi-indicator structure prevents outliers and extremes from distorting final scores and rankings.</w:t>
      </w:r>
    </w:p>
    <w:p w14:paraId="4FC472E7">
      <w:pPr>
        <w:pStyle w:val="4"/>
        <w:spacing w:before="51" w:line="234" w:lineRule="auto"/>
        <w:ind w:left="357"/>
        <w:rPr>
          <w:sz w:val="20"/>
          <w:szCs w:val="20"/>
        </w:rPr>
      </w:pPr>
      <w:r>
        <w:rPr>
          <w:color w:val="33CCFF"/>
          <w:spacing w:val="-10"/>
          <w:sz w:val="20"/>
          <w:szCs w:val="20"/>
        </w:rPr>
        <w:t xml:space="preserve">•   </w:t>
      </w:r>
      <w:r>
        <w:rPr>
          <w:b/>
          <w:bCs/>
          <w:color w:val="57585A"/>
          <w:spacing w:val="-10"/>
          <w:sz w:val="20"/>
          <w:szCs w:val="20"/>
        </w:rPr>
        <w:t xml:space="preserve">Methodology: </w:t>
      </w:r>
      <w:r>
        <w:rPr>
          <w:color w:val="57585A"/>
          <w:spacing w:val="-10"/>
          <w:sz w:val="20"/>
          <w:szCs w:val="20"/>
        </w:rPr>
        <w:t>It is a combination of proprietary BMI forecasts</w:t>
      </w:r>
      <w:r>
        <w:rPr>
          <w:color w:val="57585A"/>
          <w:spacing w:val="-11"/>
          <w:sz w:val="20"/>
          <w:szCs w:val="20"/>
        </w:rPr>
        <w:t>, analyst insights and globally acceptable benchmark indicators.</w:t>
      </w:r>
    </w:p>
    <w:p w14:paraId="4FEF7957">
      <w:pPr>
        <w:spacing w:line="234" w:lineRule="auto"/>
        <w:rPr>
          <w:sz w:val="20"/>
          <w:szCs w:val="20"/>
        </w:rPr>
        <w:sectPr>
          <w:footerReference r:id="rId101" w:type="default"/>
          <w:pgSz w:w="11906" w:h="16838"/>
          <w:pgMar w:top="400" w:right="490" w:bottom="883" w:left="490" w:header="0" w:footer="0" w:gutter="0"/>
          <w:cols w:space="720" w:num="1"/>
        </w:sectPr>
      </w:pPr>
    </w:p>
    <w:p w14:paraId="51A96F21">
      <w:pPr>
        <w:pStyle w:val="4"/>
        <w:spacing w:before="73" w:line="241" w:lineRule="auto"/>
        <w:ind w:left="7372"/>
        <w:rPr>
          <w:sz w:val="20"/>
          <w:szCs w:val="20"/>
        </w:rPr>
      </w:pPr>
      <w:r>
        <w:drawing>
          <wp:anchor distT="0" distB="0" distL="0" distR="0" simplePos="0" relativeHeight="252005376"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2007424" behindDoc="0" locked="0" layoutInCell="0" allowOverlap="1">
            <wp:simplePos x="0" y="0"/>
            <wp:positionH relativeFrom="page">
              <wp:posOffset>311150</wp:posOffset>
            </wp:positionH>
            <wp:positionV relativeFrom="page">
              <wp:posOffset>0</wp:posOffset>
            </wp:positionV>
            <wp:extent cx="19050" cy="814070"/>
            <wp:effectExtent l="0" t="0" r="0" b="0"/>
            <wp:wrapNone/>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2F9C9155">
      <w:pPr>
        <w:pStyle w:val="4"/>
        <w:spacing w:line="278" w:lineRule="auto"/>
      </w:pPr>
    </w:p>
    <w:p w14:paraId="556DD4E9">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52EC392C">
      <w:pPr>
        <w:pStyle w:val="4"/>
        <w:spacing w:line="437" w:lineRule="auto"/>
      </w:pPr>
    </w:p>
    <w:p w14:paraId="468B77D6">
      <w:pPr>
        <w:pStyle w:val="4"/>
        <w:spacing w:before="69" w:line="234" w:lineRule="auto"/>
        <w:ind w:left="3499"/>
        <w:rPr>
          <w:sz w:val="24"/>
          <w:szCs w:val="24"/>
        </w:rPr>
      </w:pPr>
      <w:r>
        <w:rPr>
          <w:color w:val="174174"/>
          <w:spacing w:val="-9"/>
          <w:sz w:val="24"/>
          <w:szCs w:val="24"/>
        </w:rPr>
        <w:t>Weightings Of</w:t>
      </w:r>
      <w:r>
        <w:rPr>
          <w:color w:val="174174"/>
          <w:spacing w:val="-20"/>
          <w:sz w:val="24"/>
          <w:szCs w:val="24"/>
        </w:rPr>
        <w:t xml:space="preserve"> </w:t>
      </w:r>
      <w:r>
        <w:rPr>
          <w:color w:val="174174"/>
          <w:spacing w:val="-9"/>
          <w:sz w:val="24"/>
          <w:szCs w:val="24"/>
        </w:rPr>
        <w:t>Categori</w:t>
      </w:r>
      <w:r>
        <w:rPr>
          <w:color w:val="174174"/>
          <w:spacing w:val="-10"/>
          <w:sz w:val="24"/>
          <w:szCs w:val="24"/>
        </w:rPr>
        <w:t>es</w:t>
      </w:r>
      <w:r>
        <w:rPr>
          <w:color w:val="174174"/>
          <w:spacing w:val="-18"/>
          <w:sz w:val="24"/>
          <w:szCs w:val="24"/>
        </w:rPr>
        <w:t xml:space="preserve"> </w:t>
      </w:r>
      <w:r>
        <w:rPr>
          <w:color w:val="174174"/>
          <w:spacing w:val="-10"/>
          <w:sz w:val="24"/>
          <w:szCs w:val="24"/>
        </w:rPr>
        <w:t>And Indicators</w:t>
      </w:r>
    </w:p>
    <w:p w14:paraId="2D52B5AE">
      <w:pPr>
        <w:pStyle w:val="4"/>
        <w:spacing w:before="32" w:line="261" w:lineRule="exact"/>
        <w:ind w:left="4234"/>
        <w:rPr>
          <w:sz w:val="20"/>
          <w:szCs w:val="20"/>
        </w:rPr>
      </w:pPr>
      <w:r>
        <w:rPr>
          <w:color w:val="333333"/>
          <w:spacing w:val="-13"/>
          <w:position w:val="1"/>
          <w:sz w:val="20"/>
          <w:szCs w:val="20"/>
        </w:rPr>
        <w:t>Downstream Risk/Reward Index</w:t>
      </w:r>
    </w:p>
    <w:p w14:paraId="197C8891">
      <w:pPr>
        <w:spacing w:before="57" w:line="5100" w:lineRule="exact"/>
        <w:ind w:firstLine="359"/>
      </w:pPr>
      <w:r>
        <w:drawing>
          <wp:anchor distT="0" distB="0" distL="0" distR="0" simplePos="0" relativeHeight="252006400" behindDoc="0" locked="0" layoutInCell="1" allowOverlap="1">
            <wp:simplePos x="0" y="0"/>
            <wp:positionH relativeFrom="column">
              <wp:posOffset>227965</wp:posOffset>
            </wp:positionH>
            <wp:positionV relativeFrom="paragraph">
              <wp:posOffset>3362325</wp:posOffset>
            </wp:positionV>
            <wp:extent cx="6480175" cy="9525"/>
            <wp:effectExtent l="0" t="0" r="0" b="0"/>
            <wp:wrapNone/>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159"/>
                    <a:stretch>
                      <a:fillRect/>
                    </a:stretch>
                  </pic:blipFill>
                  <pic:spPr>
                    <a:xfrm>
                      <a:off x="0" y="0"/>
                      <a:ext cx="6479999" cy="9525"/>
                    </a:xfrm>
                    <a:prstGeom prst="rect">
                      <a:avLst/>
                    </a:prstGeom>
                  </pic:spPr>
                </pic:pic>
              </a:graphicData>
            </a:graphic>
          </wp:anchor>
        </w:drawing>
      </w:r>
      <w:r>
        <w:rPr>
          <w:position w:val="-101"/>
        </w:rPr>
        <w:drawing>
          <wp:inline distT="0" distB="0" distL="0" distR="0">
            <wp:extent cx="6486525" cy="3237865"/>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161"/>
                    <a:stretch>
                      <a:fillRect/>
                    </a:stretch>
                  </pic:blipFill>
                  <pic:spPr>
                    <a:xfrm>
                      <a:off x="0" y="0"/>
                      <a:ext cx="6486525" cy="3238499"/>
                    </a:xfrm>
                    <a:prstGeom prst="rect">
                      <a:avLst/>
                    </a:prstGeom>
                  </pic:spPr>
                </pic:pic>
              </a:graphicData>
            </a:graphic>
          </wp:inline>
        </w:drawing>
      </w:r>
    </w:p>
    <w:p w14:paraId="21BD974C">
      <w:pPr>
        <w:pStyle w:val="4"/>
        <w:spacing w:before="181" w:line="186" w:lineRule="auto"/>
        <w:ind w:left="368"/>
        <w:rPr>
          <w:sz w:val="15"/>
          <w:szCs w:val="15"/>
        </w:rPr>
      </w:pPr>
      <w:r>
        <w:rPr>
          <w:i/>
          <w:iCs/>
          <w:color w:val="333333"/>
          <w:spacing w:val="-7"/>
          <w:w w:val="93"/>
          <w:sz w:val="15"/>
          <w:szCs w:val="15"/>
        </w:rPr>
        <w:t>Source: BMI</w:t>
      </w:r>
    </w:p>
    <w:p w14:paraId="677B0581">
      <w:pPr>
        <w:pStyle w:val="4"/>
        <w:spacing w:line="322" w:lineRule="auto"/>
      </w:pPr>
    </w:p>
    <w:p w14:paraId="246FC8D4">
      <w:pPr>
        <w:pStyle w:val="4"/>
        <w:spacing w:before="59" w:line="231" w:lineRule="auto"/>
        <w:ind w:left="360"/>
        <w:rPr>
          <w:sz w:val="20"/>
          <w:szCs w:val="20"/>
        </w:rPr>
      </w:pPr>
      <w:r>
        <w:rPr>
          <w:color w:val="57585A"/>
          <w:spacing w:val="-11"/>
          <w:sz w:val="20"/>
          <w:szCs w:val="20"/>
        </w:rPr>
        <w:t>The RRI matrix is divided i</w:t>
      </w:r>
      <w:r>
        <w:rPr>
          <w:color w:val="57585A"/>
          <w:spacing w:val="-12"/>
          <w:sz w:val="20"/>
          <w:szCs w:val="20"/>
        </w:rPr>
        <w:t>nto two distinct categories:</w:t>
      </w:r>
    </w:p>
    <w:p w14:paraId="40245198">
      <w:pPr>
        <w:pStyle w:val="4"/>
        <w:spacing w:line="284" w:lineRule="auto"/>
      </w:pPr>
    </w:p>
    <w:p w14:paraId="38706B48">
      <w:pPr>
        <w:pStyle w:val="4"/>
        <w:spacing w:before="58" w:line="272" w:lineRule="auto"/>
        <w:ind w:left="369" w:right="1260" w:firstLine="5"/>
        <w:rPr>
          <w:sz w:val="20"/>
          <w:szCs w:val="20"/>
        </w:rPr>
      </w:pPr>
      <w:r>
        <w:rPr>
          <w:b/>
          <w:bCs/>
          <w:color w:val="57585A"/>
          <w:spacing w:val="-10"/>
          <w:sz w:val="20"/>
          <w:szCs w:val="20"/>
        </w:rPr>
        <w:t xml:space="preserve">Rewards: </w:t>
      </w:r>
      <w:r>
        <w:rPr>
          <w:color w:val="57585A"/>
          <w:spacing w:val="-10"/>
          <w:sz w:val="20"/>
          <w:szCs w:val="20"/>
        </w:rPr>
        <w:t>Evaluation of</w:t>
      </w:r>
      <w:r>
        <w:rPr>
          <w:color w:val="57585A"/>
          <w:spacing w:val="-17"/>
          <w:sz w:val="20"/>
          <w:szCs w:val="20"/>
        </w:rPr>
        <w:t xml:space="preserve"> </w:t>
      </w:r>
      <w:r>
        <w:rPr>
          <w:color w:val="57585A"/>
          <w:spacing w:val="-10"/>
          <w:sz w:val="20"/>
          <w:szCs w:val="20"/>
        </w:rPr>
        <w:t>an industry's si</w:t>
      </w:r>
      <w:r>
        <w:rPr>
          <w:color w:val="57585A"/>
          <w:spacing w:val="-11"/>
          <w:sz w:val="20"/>
          <w:szCs w:val="20"/>
        </w:rPr>
        <w:t>ze and growth potential (</w:t>
      </w:r>
      <w:r>
        <w:rPr>
          <w:b/>
          <w:bCs/>
          <w:color w:val="57585A"/>
          <w:spacing w:val="-11"/>
          <w:sz w:val="20"/>
          <w:szCs w:val="20"/>
        </w:rPr>
        <w:t>Industry Rewards</w:t>
      </w:r>
      <w:r>
        <w:rPr>
          <w:color w:val="57585A"/>
          <w:spacing w:val="-11"/>
          <w:sz w:val="20"/>
          <w:szCs w:val="20"/>
        </w:rPr>
        <w:t>), and macro industry and/or market</w:t>
      </w:r>
      <w:r>
        <w:rPr>
          <w:color w:val="57585A"/>
          <w:sz w:val="20"/>
          <w:szCs w:val="20"/>
        </w:rPr>
        <w:t xml:space="preserve"> </w:t>
      </w:r>
      <w:r>
        <w:rPr>
          <w:color w:val="57585A"/>
          <w:spacing w:val="-10"/>
          <w:sz w:val="20"/>
          <w:szCs w:val="20"/>
        </w:rPr>
        <w:t>characteristics that directly affect the size of business opportunities in a specific industry (</w:t>
      </w:r>
      <w:r>
        <w:rPr>
          <w:b/>
          <w:bCs/>
          <w:color w:val="57585A"/>
          <w:spacing w:val="-11"/>
          <w:sz w:val="20"/>
          <w:szCs w:val="20"/>
        </w:rPr>
        <w:t>Country Rewards</w:t>
      </w:r>
      <w:r>
        <w:rPr>
          <w:color w:val="57585A"/>
          <w:spacing w:val="-11"/>
          <w:sz w:val="20"/>
          <w:szCs w:val="20"/>
        </w:rPr>
        <w:t>).</w:t>
      </w:r>
    </w:p>
    <w:p w14:paraId="68E76394">
      <w:pPr>
        <w:pStyle w:val="4"/>
        <w:spacing w:line="266" w:lineRule="auto"/>
      </w:pPr>
    </w:p>
    <w:p w14:paraId="4F8381F9">
      <w:pPr>
        <w:pStyle w:val="4"/>
        <w:spacing w:before="58" w:line="272" w:lineRule="auto"/>
        <w:ind w:left="369" w:right="381" w:firstLine="6"/>
        <w:rPr>
          <w:sz w:val="20"/>
          <w:szCs w:val="20"/>
        </w:rPr>
      </w:pPr>
      <w:r>
        <w:rPr>
          <w:b/>
          <w:bCs/>
          <w:color w:val="57585A"/>
          <w:spacing w:val="-10"/>
          <w:sz w:val="20"/>
          <w:szCs w:val="20"/>
        </w:rPr>
        <w:t xml:space="preserve">Risks: </w:t>
      </w:r>
      <w:r>
        <w:rPr>
          <w:color w:val="57585A"/>
          <w:spacing w:val="-10"/>
          <w:sz w:val="20"/>
          <w:szCs w:val="20"/>
        </w:rPr>
        <w:t>Evaluation of micro, industr</w:t>
      </w:r>
      <w:r>
        <w:rPr>
          <w:color w:val="57585A"/>
          <w:spacing w:val="-11"/>
          <w:sz w:val="20"/>
          <w:szCs w:val="20"/>
        </w:rPr>
        <w:t>y-specific characteristics, crucial for an industry to develop to its potential (</w:t>
      </w:r>
      <w:r>
        <w:rPr>
          <w:b/>
          <w:bCs/>
          <w:color w:val="57585A"/>
          <w:spacing w:val="-11"/>
          <w:sz w:val="20"/>
          <w:szCs w:val="20"/>
        </w:rPr>
        <w:t>Industry Risks</w:t>
      </w:r>
      <w:r>
        <w:rPr>
          <w:color w:val="57585A"/>
          <w:spacing w:val="-11"/>
          <w:sz w:val="20"/>
          <w:szCs w:val="20"/>
        </w:rPr>
        <w:t>) and a</w:t>
      </w:r>
      <w:r>
        <w:rPr>
          <w:color w:val="57585A"/>
          <w:sz w:val="20"/>
          <w:szCs w:val="20"/>
        </w:rPr>
        <w:t xml:space="preserve"> </w:t>
      </w:r>
      <w:r>
        <w:rPr>
          <w:color w:val="57585A"/>
          <w:spacing w:val="-10"/>
          <w:sz w:val="20"/>
          <w:szCs w:val="20"/>
        </w:rPr>
        <w:t>quantifiable assessment of</w:t>
      </w:r>
      <w:r>
        <w:rPr>
          <w:color w:val="57585A"/>
          <w:spacing w:val="-21"/>
          <w:sz w:val="20"/>
          <w:szCs w:val="20"/>
        </w:rPr>
        <w:t xml:space="preserve"> </w:t>
      </w:r>
      <w:r>
        <w:rPr>
          <w:color w:val="57585A"/>
          <w:spacing w:val="-10"/>
          <w:sz w:val="20"/>
          <w:szCs w:val="20"/>
        </w:rPr>
        <w:t>the political, economic and operational pr</w:t>
      </w:r>
      <w:r>
        <w:rPr>
          <w:color w:val="57585A"/>
          <w:spacing w:val="-11"/>
          <w:sz w:val="20"/>
          <w:szCs w:val="20"/>
        </w:rPr>
        <w:t>ofile (</w:t>
      </w:r>
      <w:r>
        <w:rPr>
          <w:b/>
          <w:bCs/>
          <w:color w:val="57585A"/>
          <w:spacing w:val="-11"/>
          <w:sz w:val="20"/>
          <w:szCs w:val="20"/>
        </w:rPr>
        <w:t>Country Risks</w:t>
      </w:r>
      <w:r>
        <w:rPr>
          <w:color w:val="57585A"/>
          <w:spacing w:val="-11"/>
          <w:sz w:val="20"/>
          <w:szCs w:val="20"/>
        </w:rPr>
        <w:t>).</w:t>
      </w:r>
    </w:p>
    <w:p w14:paraId="43A244C9">
      <w:pPr>
        <w:pStyle w:val="4"/>
        <w:spacing w:line="267" w:lineRule="auto"/>
      </w:pPr>
    </w:p>
    <w:p w14:paraId="359FAABE">
      <w:pPr>
        <w:pStyle w:val="4"/>
        <w:spacing w:before="58" w:line="241" w:lineRule="auto"/>
        <w:ind w:left="359"/>
        <w:rPr>
          <w:sz w:val="20"/>
          <w:szCs w:val="20"/>
        </w:rPr>
      </w:pPr>
      <w:r>
        <w:rPr>
          <w:b/>
          <w:bCs/>
          <w:color w:val="57585A"/>
          <w:spacing w:val="-11"/>
          <w:sz w:val="20"/>
          <w:szCs w:val="20"/>
        </w:rPr>
        <w:t>Assessing Our</w:t>
      </w:r>
      <w:r>
        <w:rPr>
          <w:b/>
          <w:bCs/>
          <w:color w:val="57585A"/>
          <w:spacing w:val="-1"/>
          <w:sz w:val="20"/>
          <w:szCs w:val="20"/>
        </w:rPr>
        <w:t xml:space="preserve"> </w:t>
      </w:r>
      <w:r>
        <w:rPr>
          <w:b/>
          <w:bCs/>
          <w:color w:val="57585A"/>
          <w:spacing w:val="-11"/>
          <w:sz w:val="20"/>
          <w:szCs w:val="20"/>
        </w:rPr>
        <w:t>Weightings</w:t>
      </w:r>
    </w:p>
    <w:p w14:paraId="7D90C629">
      <w:pPr>
        <w:pStyle w:val="4"/>
        <w:spacing w:line="279" w:lineRule="auto"/>
      </w:pPr>
    </w:p>
    <w:p w14:paraId="6A47E568">
      <w:pPr>
        <w:pStyle w:val="4"/>
        <w:spacing w:before="58" w:line="287" w:lineRule="auto"/>
        <w:ind w:left="366" w:right="486" w:firstLine="2"/>
        <w:rPr>
          <w:sz w:val="20"/>
          <w:szCs w:val="20"/>
        </w:rPr>
      </w:pPr>
      <w:r>
        <w:rPr>
          <w:color w:val="57585A"/>
          <w:spacing w:val="-11"/>
          <w:sz w:val="20"/>
          <w:szCs w:val="20"/>
        </w:rPr>
        <w:t xml:space="preserve">Our matrix is deliberately overweight on </w:t>
      </w:r>
      <w:r>
        <w:rPr>
          <w:b/>
          <w:bCs/>
          <w:color w:val="57585A"/>
          <w:spacing w:val="-11"/>
          <w:sz w:val="20"/>
          <w:szCs w:val="20"/>
        </w:rPr>
        <w:t xml:space="preserve">Rewards </w:t>
      </w:r>
      <w:r>
        <w:rPr>
          <w:color w:val="57585A"/>
          <w:spacing w:val="-11"/>
          <w:sz w:val="20"/>
          <w:szCs w:val="20"/>
        </w:rPr>
        <w:t>(90% of</w:t>
      </w:r>
      <w:r>
        <w:rPr>
          <w:color w:val="57585A"/>
          <w:spacing w:val="-21"/>
          <w:sz w:val="20"/>
          <w:szCs w:val="20"/>
        </w:rPr>
        <w:t xml:space="preserve"> </w:t>
      </w:r>
      <w:r>
        <w:rPr>
          <w:color w:val="57585A"/>
          <w:spacing w:val="-11"/>
          <w:sz w:val="20"/>
          <w:szCs w:val="20"/>
        </w:rPr>
        <w:t>the final RRI score for a market) and</w:t>
      </w:r>
      <w:r>
        <w:rPr>
          <w:color w:val="57585A"/>
          <w:spacing w:val="-16"/>
          <w:sz w:val="20"/>
          <w:szCs w:val="20"/>
        </w:rPr>
        <w:t xml:space="preserve"> </w:t>
      </w:r>
      <w:r>
        <w:rPr>
          <w:color w:val="57585A"/>
          <w:spacing w:val="-11"/>
          <w:sz w:val="20"/>
          <w:szCs w:val="20"/>
        </w:rPr>
        <w:t xml:space="preserve">within that, the </w:t>
      </w:r>
      <w:r>
        <w:rPr>
          <w:b/>
          <w:bCs/>
          <w:color w:val="57585A"/>
          <w:spacing w:val="-11"/>
          <w:sz w:val="20"/>
          <w:szCs w:val="20"/>
        </w:rPr>
        <w:t>I</w:t>
      </w:r>
      <w:r>
        <w:rPr>
          <w:b/>
          <w:bCs/>
          <w:color w:val="57585A"/>
          <w:spacing w:val="-12"/>
          <w:sz w:val="20"/>
          <w:szCs w:val="20"/>
        </w:rPr>
        <w:t>ndustry Rewards</w:t>
      </w:r>
      <w:r>
        <w:rPr>
          <w:b/>
          <w:bCs/>
          <w:color w:val="57585A"/>
          <w:sz w:val="20"/>
          <w:szCs w:val="20"/>
        </w:rPr>
        <w:t xml:space="preserve"> </w:t>
      </w:r>
      <w:r>
        <w:rPr>
          <w:color w:val="57585A"/>
          <w:spacing w:val="-10"/>
          <w:sz w:val="20"/>
          <w:szCs w:val="20"/>
        </w:rPr>
        <w:t>segment (70% of</w:t>
      </w:r>
      <w:r>
        <w:rPr>
          <w:color w:val="57585A"/>
          <w:spacing w:val="-21"/>
          <w:sz w:val="20"/>
          <w:szCs w:val="20"/>
        </w:rPr>
        <w:t xml:space="preserve"> </w:t>
      </w:r>
      <w:r>
        <w:rPr>
          <w:color w:val="57585A"/>
          <w:spacing w:val="-10"/>
          <w:sz w:val="20"/>
          <w:szCs w:val="20"/>
        </w:rPr>
        <w:t>final Rewa</w:t>
      </w:r>
      <w:r>
        <w:rPr>
          <w:color w:val="57585A"/>
          <w:spacing w:val="-11"/>
          <w:sz w:val="20"/>
          <w:szCs w:val="20"/>
        </w:rPr>
        <w:t>rds score). This is to reflect the fact that</w:t>
      </w:r>
      <w:r>
        <w:rPr>
          <w:color w:val="57585A"/>
          <w:spacing w:val="-16"/>
          <w:sz w:val="20"/>
          <w:szCs w:val="20"/>
        </w:rPr>
        <w:t xml:space="preserve"> </w:t>
      </w:r>
      <w:r>
        <w:rPr>
          <w:color w:val="57585A"/>
          <w:spacing w:val="-11"/>
          <w:sz w:val="20"/>
          <w:szCs w:val="20"/>
        </w:rPr>
        <w:t>when it comes to long-term investment potential, industry size</w:t>
      </w:r>
      <w:r>
        <w:rPr>
          <w:color w:val="57585A"/>
          <w:sz w:val="20"/>
          <w:szCs w:val="20"/>
        </w:rPr>
        <w:t xml:space="preserve"> </w:t>
      </w:r>
      <w:r>
        <w:rPr>
          <w:color w:val="57585A"/>
          <w:spacing w:val="-9"/>
          <w:sz w:val="20"/>
          <w:szCs w:val="20"/>
        </w:rPr>
        <w:t>and growth potential carry the most</w:t>
      </w:r>
      <w:r>
        <w:rPr>
          <w:color w:val="57585A"/>
          <w:spacing w:val="-16"/>
          <w:sz w:val="20"/>
          <w:szCs w:val="20"/>
        </w:rPr>
        <w:t xml:space="preserve"> </w:t>
      </w:r>
      <w:r>
        <w:rPr>
          <w:color w:val="57585A"/>
          <w:spacing w:val="-9"/>
          <w:sz w:val="20"/>
          <w:szCs w:val="20"/>
        </w:rPr>
        <w:t>weight in indicatin</w:t>
      </w:r>
      <w:r>
        <w:rPr>
          <w:color w:val="57585A"/>
          <w:spacing w:val="-10"/>
          <w:sz w:val="20"/>
          <w:szCs w:val="20"/>
        </w:rPr>
        <w:t>g opportunities,</w:t>
      </w:r>
      <w:r>
        <w:rPr>
          <w:color w:val="57585A"/>
          <w:spacing w:val="-16"/>
          <w:sz w:val="20"/>
          <w:szCs w:val="20"/>
        </w:rPr>
        <w:t xml:space="preserve"> </w:t>
      </w:r>
      <w:r>
        <w:rPr>
          <w:color w:val="57585A"/>
          <w:spacing w:val="-10"/>
          <w:sz w:val="20"/>
          <w:szCs w:val="20"/>
        </w:rPr>
        <w:t>with other structural factors (demographic, labour statistics</w:t>
      </w:r>
      <w:r>
        <w:rPr>
          <w:color w:val="57585A"/>
          <w:sz w:val="20"/>
          <w:szCs w:val="20"/>
        </w:rPr>
        <w:t xml:space="preserve"> </w:t>
      </w:r>
      <w:r>
        <w:rPr>
          <w:color w:val="57585A"/>
          <w:spacing w:val="-10"/>
          <w:sz w:val="20"/>
          <w:szCs w:val="20"/>
        </w:rPr>
        <w:t>and infrastructure quality)</w:t>
      </w:r>
      <w:r>
        <w:rPr>
          <w:color w:val="57585A"/>
          <w:spacing w:val="-15"/>
          <w:sz w:val="20"/>
          <w:szCs w:val="20"/>
        </w:rPr>
        <w:t xml:space="preserve"> </w:t>
      </w:r>
      <w:r>
        <w:rPr>
          <w:color w:val="57585A"/>
          <w:spacing w:val="-10"/>
          <w:sz w:val="20"/>
          <w:szCs w:val="20"/>
        </w:rPr>
        <w:t>weighing in, but to a slight</w:t>
      </w:r>
      <w:r>
        <w:rPr>
          <w:color w:val="57585A"/>
          <w:spacing w:val="-11"/>
          <w:sz w:val="20"/>
          <w:szCs w:val="20"/>
        </w:rPr>
        <w:t>ly lesser extent. In addition, our focus and expertise in emerging and frontier</w:t>
      </w:r>
      <w:r>
        <w:rPr>
          <w:color w:val="57585A"/>
          <w:sz w:val="20"/>
          <w:szCs w:val="20"/>
        </w:rPr>
        <w:t xml:space="preserve"> </w:t>
      </w:r>
      <w:r>
        <w:rPr>
          <w:color w:val="57585A"/>
          <w:spacing w:val="-11"/>
          <w:sz w:val="20"/>
          <w:szCs w:val="20"/>
        </w:rPr>
        <w:t>markets has dictated this bias towards industry size and growth to ensure</w:t>
      </w:r>
      <w:r>
        <w:rPr>
          <w:color w:val="57585A"/>
          <w:spacing w:val="3"/>
          <w:sz w:val="20"/>
          <w:szCs w:val="20"/>
        </w:rPr>
        <w:t xml:space="preserve"> </w:t>
      </w:r>
      <w:r>
        <w:rPr>
          <w:color w:val="57585A"/>
          <w:spacing w:val="-11"/>
          <w:sz w:val="20"/>
          <w:szCs w:val="20"/>
        </w:rPr>
        <w:t>we are able to identify opportunities in markets</w:t>
      </w:r>
      <w:r>
        <w:rPr>
          <w:color w:val="57585A"/>
          <w:spacing w:val="-16"/>
          <w:sz w:val="20"/>
          <w:szCs w:val="20"/>
        </w:rPr>
        <w:t xml:space="preserve"> </w:t>
      </w:r>
      <w:r>
        <w:rPr>
          <w:color w:val="57585A"/>
          <w:spacing w:val="-11"/>
          <w:sz w:val="20"/>
          <w:szCs w:val="20"/>
        </w:rPr>
        <w:t>where</w:t>
      </w:r>
      <w:r>
        <w:rPr>
          <w:color w:val="57585A"/>
          <w:sz w:val="20"/>
          <w:szCs w:val="20"/>
        </w:rPr>
        <w:t xml:space="preserve">   </w:t>
      </w:r>
      <w:r>
        <w:rPr>
          <w:color w:val="57585A"/>
          <w:spacing w:val="-12"/>
          <w:sz w:val="20"/>
          <w:szCs w:val="20"/>
        </w:rPr>
        <w:t>regulatory frameworks are not as developed and industry sizes not as big as in developed markets, but</w:t>
      </w:r>
      <w:r>
        <w:rPr>
          <w:color w:val="57585A"/>
          <w:spacing w:val="-7"/>
          <w:sz w:val="20"/>
          <w:szCs w:val="20"/>
        </w:rPr>
        <w:t xml:space="preserve"> </w:t>
      </w:r>
      <w:r>
        <w:rPr>
          <w:color w:val="57585A"/>
          <w:spacing w:val="-12"/>
          <w:sz w:val="20"/>
          <w:szCs w:val="20"/>
        </w:rPr>
        <w:t>where</w:t>
      </w:r>
      <w:r>
        <w:rPr>
          <w:color w:val="57585A"/>
          <w:spacing w:val="-15"/>
          <w:sz w:val="20"/>
          <w:szCs w:val="20"/>
        </w:rPr>
        <w:t xml:space="preserve"> </w:t>
      </w:r>
      <w:r>
        <w:rPr>
          <w:color w:val="57585A"/>
          <w:spacing w:val="-12"/>
          <w:sz w:val="20"/>
          <w:szCs w:val="20"/>
        </w:rPr>
        <w:t>we know there is a</w:t>
      </w:r>
      <w:r>
        <w:rPr>
          <w:color w:val="57585A"/>
          <w:sz w:val="20"/>
          <w:szCs w:val="20"/>
        </w:rPr>
        <w:t xml:space="preserve">  </w:t>
      </w:r>
      <w:r>
        <w:rPr>
          <w:color w:val="57585A"/>
          <w:spacing w:val="-11"/>
          <w:sz w:val="20"/>
          <w:szCs w:val="20"/>
        </w:rPr>
        <w:t>strong desire</w:t>
      </w:r>
      <w:r>
        <w:rPr>
          <w:color w:val="57585A"/>
          <w:spacing w:val="3"/>
          <w:sz w:val="20"/>
          <w:szCs w:val="20"/>
        </w:rPr>
        <w:t xml:space="preserve"> </w:t>
      </w:r>
      <w:r>
        <w:rPr>
          <w:color w:val="57585A"/>
          <w:spacing w:val="-11"/>
          <w:sz w:val="20"/>
          <w:szCs w:val="20"/>
        </w:rPr>
        <w:t>to invest.</w:t>
      </w:r>
    </w:p>
    <w:p w14:paraId="2B7DCE89">
      <w:pPr>
        <w:spacing w:line="287" w:lineRule="auto"/>
        <w:rPr>
          <w:sz w:val="20"/>
          <w:szCs w:val="20"/>
        </w:rPr>
        <w:sectPr>
          <w:footerReference r:id="rId102" w:type="default"/>
          <w:pgSz w:w="11906" w:h="16838"/>
          <w:pgMar w:top="400" w:right="490" w:bottom="883" w:left="490" w:header="0" w:footer="0" w:gutter="0"/>
          <w:cols w:space="720" w:num="1"/>
        </w:sectPr>
      </w:pPr>
    </w:p>
    <w:p w14:paraId="5192CD36">
      <w:pPr>
        <w:pStyle w:val="4"/>
        <w:spacing w:before="73" w:line="241" w:lineRule="auto"/>
        <w:ind w:left="7372"/>
        <w:rPr>
          <w:sz w:val="20"/>
          <w:szCs w:val="20"/>
        </w:rPr>
      </w:pPr>
      <w:r>
        <w:drawing>
          <wp:anchor distT="0" distB="0" distL="0" distR="0" simplePos="0" relativeHeight="252009472" behindDoc="0" locked="0" layoutInCell="0" allowOverlap="1">
            <wp:simplePos x="0" y="0"/>
            <wp:positionH relativeFrom="page">
              <wp:posOffset>558800</wp:posOffset>
            </wp:positionH>
            <wp:positionV relativeFrom="page">
              <wp:posOffset>198120</wp:posOffset>
            </wp:positionV>
            <wp:extent cx="1326515" cy="381000"/>
            <wp:effectExtent l="0" t="0" r="0" b="0"/>
            <wp:wrapNone/>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108"/>
                    <a:stretch>
                      <a:fillRect/>
                    </a:stretch>
                  </pic:blipFill>
                  <pic:spPr>
                    <a:xfrm>
                      <a:off x="0" y="0"/>
                      <a:ext cx="1326705" cy="381075"/>
                    </a:xfrm>
                    <a:prstGeom prst="rect">
                      <a:avLst/>
                    </a:prstGeom>
                  </pic:spPr>
                </pic:pic>
              </a:graphicData>
            </a:graphic>
          </wp:anchor>
        </w:drawing>
      </w:r>
      <w:r>
        <w:drawing>
          <wp:anchor distT="0" distB="0" distL="0" distR="0" simplePos="0" relativeHeight="252010496" behindDoc="0" locked="0" layoutInCell="0" allowOverlap="1">
            <wp:simplePos x="0" y="0"/>
            <wp:positionH relativeFrom="page">
              <wp:posOffset>311150</wp:posOffset>
            </wp:positionH>
            <wp:positionV relativeFrom="page">
              <wp:posOffset>0</wp:posOffset>
            </wp:positionV>
            <wp:extent cx="19050" cy="814070"/>
            <wp:effectExtent l="0" t="0" r="0" b="0"/>
            <wp:wrapNone/>
            <wp:docPr id="988" name="IM 988"/>
            <wp:cNvGraphicFramePr/>
            <a:graphic xmlns:a="http://schemas.openxmlformats.org/drawingml/2006/main">
              <a:graphicData uri="http://schemas.openxmlformats.org/drawingml/2006/picture">
                <pic:pic xmlns:pic="http://schemas.openxmlformats.org/drawingml/2006/picture">
                  <pic:nvPicPr>
                    <pic:cNvPr id="988" name="IM 988"/>
                    <pic:cNvPicPr/>
                  </pic:nvPicPr>
                  <pic:blipFill>
                    <a:blip r:embed="rId109"/>
                    <a:stretch>
                      <a:fillRect/>
                    </a:stretch>
                  </pic:blipFill>
                  <pic:spPr>
                    <a:xfrm>
                      <a:off x="0" y="0"/>
                      <a:ext cx="19050" cy="814319"/>
                    </a:xfrm>
                    <a:prstGeom prst="rect">
                      <a:avLst/>
                    </a:prstGeom>
                  </pic:spPr>
                </pic:pic>
              </a:graphicData>
            </a:graphic>
          </wp:anchor>
        </w:drawing>
      </w:r>
      <w:r>
        <w:rPr>
          <w:b/>
          <w:bCs/>
          <w:color w:val="174174"/>
          <w:spacing w:val="-9"/>
          <w:sz w:val="20"/>
          <w:szCs w:val="20"/>
        </w:rPr>
        <w:t xml:space="preserve">Argentina Oil &amp; Gas Report | Q3 </w:t>
      </w:r>
      <w:r>
        <w:rPr>
          <w:b/>
          <w:bCs/>
          <w:color w:val="174174"/>
          <w:spacing w:val="-10"/>
          <w:sz w:val="20"/>
          <w:szCs w:val="20"/>
        </w:rPr>
        <w:t>2025</w:t>
      </w:r>
    </w:p>
    <w:p w14:paraId="498E6642">
      <w:pPr>
        <w:pStyle w:val="4"/>
        <w:spacing w:line="278" w:lineRule="auto"/>
      </w:pPr>
    </w:p>
    <w:p w14:paraId="5F660A78">
      <w:pPr>
        <w:pStyle w:val="4"/>
        <w:spacing w:before="52" w:line="194" w:lineRule="auto"/>
        <w:ind w:left="396"/>
        <w:rPr>
          <w:sz w:val="18"/>
          <w:szCs w:val="18"/>
        </w:rPr>
      </w:pPr>
      <w:r>
        <w:rPr>
          <w:color w:val="174173"/>
          <w:spacing w:val="3"/>
          <w:sz w:val="18"/>
          <w:szCs w:val="18"/>
        </w:rPr>
        <w:t>a</w:t>
      </w:r>
      <w:r>
        <w:rPr>
          <w:color w:val="174173"/>
          <w:spacing w:val="39"/>
          <w:sz w:val="18"/>
          <w:szCs w:val="18"/>
        </w:rPr>
        <w:t xml:space="preserve"> </w:t>
      </w:r>
      <w:r>
        <w:rPr>
          <w:color w:val="174173"/>
          <w:spacing w:val="3"/>
          <w:sz w:val="18"/>
          <w:szCs w:val="18"/>
        </w:rPr>
        <w:t>Fitchsolutions</w:t>
      </w:r>
      <w:r>
        <w:rPr>
          <w:color w:val="174173"/>
          <w:spacing w:val="19"/>
          <w:sz w:val="18"/>
          <w:szCs w:val="18"/>
        </w:rPr>
        <w:t xml:space="preserve"> </w:t>
      </w:r>
      <w:r>
        <w:rPr>
          <w:color w:val="174173"/>
          <w:spacing w:val="3"/>
          <w:sz w:val="18"/>
          <w:szCs w:val="18"/>
        </w:rPr>
        <w:t>company</w:t>
      </w:r>
    </w:p>
    <w:p w14:paraId="38CF688A">
      <w:pPr>
        <w:pStyle w:val="4"/>
        <w:spacing w:line="312" w:lineRule="auto"/>
      </w:pPr>
    </w:p>
    <w:p w14:paraId="66A31E00">
      <w:pPr>
        <w:pStyle w:val="4"/>
        <w:spacing w:line="312" w:lineRule="auto"/>
      </w:pPr>
    </w:p>
    <w:p w14:paraId="2416F6A5">
      <w:pPr>
        <w:pStyle w:val="4"/>
        <w:spacing w:before="69" w:line="236" w:lineRule="auto"/>
        <w:ind w:left="427"/>
        <w:rPr>
          <w:sz w:val="24"/>
          <w:szCs w:val="24"/>
        </w:rPr>
      </w:pPr>
      <w:r>
        <w:rPr>
          <w:color w:val="174174"/>
          <w:spacing w:val="-12"/>
          <w:sz w:val="24"/>
          <w:szCs w:val="24"/>
        </w:rPr>
        <w:t>Downstream RRI Indicators - Explanation</w:t>
      </w:r>
      <w:r>
        <w:rPr>
          <w:color w:val="174174"/>
          <w:spacing w:val="-10"/>
          <w:sz w:val="24"/>
          <w:szCs w:val="24"/>
        </w:rPr>
        <w:t xml:space="preserve"> </w:t>
      </w:r>
      <w:r>
        <w:rPr>
          <w:color w:val="174174"/>
          <w:spacing w:val="-12"/>
          <w:sz w:val="24"/>
          <w:szCs w:val="24"/>
        </w:rPr>
        <w:t>And Sources</w:t>
      </w:r>
    </w:p>
    <w:p w14:paraId="04DFC3F9">
      <w:pPr>
        <w:spacing w:line="38" w:lineRule="exact"/>
      </w:pPr>
    </w:p>
    <w:tbl>
      <w:tblPr>
        <w:tblStyle w:val="7"/>
        <w:tblW w:w="10204" w:type="dxa"/>
        <w:tblInd w:w="359" w:type="dxa"/>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Layout w:type="fixed"/>
        <w:tblCellMar>
          <w:top w:w="0" w:type="dxa"/>
          <w:left w:w="0" w:type="dxa"/>
          <w:bottom w:w="0" w:type="dxa"/>
          <w:right w:w="0" w:type="dxa"/>
        </w:tblCellMar>
      </w:tblPr>
      <w:tblGrid>
        <w:gridCol w:w="2348"/>
        <w:gridCol w:w="1942"/>
        <w:gridCol w:w="5914"/>
      </w:tblGrid>
      <w:tr w14:paraId="24C2383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44" w:hRule="atLeast"/>
        </w:trPr>
        <w:tc>
          <w:tcPr>
            <w:tcW w:w="2348" w:type="dxa"/>
            <w:tcBorders>
              <w:left w:val="nil"/>
            </w:tcBorders>
            <w:vAlign w:val="top"/>
          </w:tcPr>
          <w:p w14:paraId="219CADAD">
            <w:pPr>
              <w:pStyle w:val="8"/>
              <w:rPr>
                <w:sz w:val="21"/>
              </w:rPr>
            </w:pPr>
          </w:p>
        </w:tc>
        <w:tc>
          <w:tcPr>
            <w:tcW w:w="7856" w:type="dxa"/>
            <w:gridSpan w:val="2"/>
            <w:tcBorders>
              <w:right w:val="nil"/>
            </w:tcBorders>
            <w:vAlign w:val="top"/>
          </w:tcPr>
          <w:p w14:paraId="76965CC0">
            <w:pPr>
              <w:pStyle w:val="8"/>
              <w:spacing w:before="112" w:line="186" w:lineRule="auto"/>
              <w:ind w:left="76"/>
            </w:pPr>
            <w:r>
              <w:rPr>
                <w:b/>
                <w:bCs/>
                <w:color w:val="5F6A72"/>
                <w:spacing w:val="-9"/>
              </w:rPr>
              <w:t>Source</w:t>
            </w:r>
            <w:r>
              <w:rPr>
                <w:b/>
                <w:bCs/>
                <w:color w:val="5F6A72"/>
                <w:spacing w:val="2"/>
              </w:rPr>
              <w:t xml:space="preserve">                           </w:t>
            </w:r>
            <w:r>
              <w:rPr>
                <w:b/>
                <w:bCs/>
                <w:color w:val="5F6A72"/>
                <w:spacing w:val="-9"/>
              </w:rPr>
              <w:t>Rationale</w:t>
            </w:r>
          </w:p>
        </w:tc>
      </w:tr>
      <w:tr w14:paraId="369499C0">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48" w:type="dxa"/>
            <w:tcBorders>
              <w:left w:val="nil"/>
            </w:tcBorders>
            <w:shd w:val="clear" w:color="auto" w:fill="979CA7"/>
            <w:vAlign w:val="top"/>
          </w:tcPr>
          <w:p w14:paraId="728FF1F2">
            <w:pPr>
              <w:pStyle w:val="8"/>
              <w:spacing w:before="62" w:line="244" w:lineRule="exact"/>
              <w:ind w:left="13"/>
            </w:pPr>
            <w:r>
              <w:rPr>
                <w:b/>
                <w:bCs/>
                <w:color w:val="2A8ABF"/>
                <w:spacing w:val="-11"/>
                <w:position w:val="1"/>
              </w:rPr>
              <w:t>Rewards</w:t>
            </w:r>
          </w:p>
        </w:tc>
        <w:tc>
          <w:tcPr>
            <w:tcW w:w="7856" w:type="dxa"/>
            <w:gridSpan w:val="2"/>
            <w:tcBorders>
              <w:right w:val="nil"/>
            </w:tcBorders>
            <w:shd w:val="clear" w:color="auto" w:fill="979CA7"/>
            <w:vAlign w:val="top"/>
          </w:tcPr>
          <w:p w14:paraId="06A878DE">
            <w:pPr>
              <w:pStyle w:val="8"/>
              <w:rPr>
                <w:sz w:val="21"/>
              </w:rPr>
            </w:pPr>
          </w:p>
        </w:tc>
      </w:tr>
      <w:tr w14:paraId="582D610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290" w:type="dxa"/>
            <w:gridSpan w:val="2"/>
            <w:tcBorders>
              <w:left w:val="nil"/>
              <w:right w:val="single" w:color="D7DADB" w:sz="4" w:space="0"/>
            </w:tcBorders>
            <w:shd w:val="clear" w:color="auto" w:fill="EAF9FF"/>
            <w:vAlign w:val="top"/>
          </w:tcPr>
          <w:p w14:paraId="1DB9B018">
            <w:pPr>
              <w:pStyle w:val="8"/>
              <w:spacing w:before="65" w:line="233" w:lineRule="auto"/>
              <w:ind w:left="18"/>
            </w:pPr>
            <w:r>
              <w:rPr>
                <w:i/>
                <w:iCs/>
                <w:color w:val="2A8ABF"/>
                <w:spacing w:val="-2"/>
                <w:w w:val="90"/>
              </w:rPr>
              <w:t>Industry</w:t>
            </w:r>
            <w:r>
              <w:rPr>
                <w:i/>
                <w:iCs/>
                <w:color w:val="2A8ABF"/>
                <w:spacing w:val="-17"/>
              </w:rPr>
              <w:t xml:space="preserve"> </w:t>
            </w:r>
            <w:r>
              <w:rPr>
                <w:i/>
                <w:iCs/>
                <w:color w:val="2A8ABF"/>
                <w:spacing w:val="-2"/>
                <w:w w:val="90"/>
              </w:rPr>
              <w:t>Rewards</w:t>
            </w:r>
          </w:p>
        </w:tc>
        <w:tc>
          <w:tcPr>
            <w:tcW w:w="5914" w:type="dxa"/>
            <w:tcBorders>
              <w:left w:val="single" w:color="D7DADB" w:sz="4" w:space="0"/>
              <w:right w:val="nil"/>
            </w:tcBorders>
            <w:shd w:val="clear" w:color="auto" w:fill="EAF9FF"/>
            <w:vAlign w:val="top"/>
          </w:tcPr>
          <w:p w14:paraId="6A70A627">
            <w:pPr>
              <w:pStyle w:val="8"/>
              <w:rPr>
                <w:sz w:val="21"/>
              </w:rPr>
            </w:pPr>
          </w:p>
        </w:tc>
      </w:tr>
      <w:tr w14:paraId="2F31BDA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vAlign w:val="top"/>
          </w:tcPr>
          <w:p w14:paraId="30AD69EB">
            <w:pPr>
              <w:pStyle w:val="8"/>
              <w:spacing w:before="63" w:line="270" w:lineRule="auto"/>
              <w:ind w:left="6" w:right="86" w:firstLine="7"/>
            </w:pPr>
            <w:r>
              <w:rPr>
                <w:b/>
                <w:bCs/>
                <w:color w:val="2A8ABF"/>
                <w:spacing w:val="-6"/>
              </w:rPr>
              <w:t>Refining Capacity ('000b/d) -</w:t>
            </w:r>
            <w:r>
              <w:rPr>
                <w:b/>
                <w:bCs/>
                <w:color w:val="2A8ABF"/>
              </w:rPr>
              <w:t xml:space="preserve"> </w:t>
            </w:r>
            <w:r>
              <w:rPr>
                <w:b/>
                <w:bCs/>
                <w:color w:val="2A8ABF"/>
                <w:spacing w:val="-6"/>
              </w:rPr>
              <w:t>5-year</w:t>
            </w:r>
            <w:r>
              <w:rPr>
                <w:b/>
                <w:bCs/>
                <w:color w:val="2A8ABF"/>
                <w:spacing w:val="-8"/>
              </w:rPr>
              <w:t xml:space="preserve"> </w:t>
            </w:r>
            <w:r>
              <w:rPr>
                <w:b/>
                <w:bCs/>
                <w:color w:val="2A8ABF"/>
                <w:spacing w:val="-6"/>
              </w:rPr>
              <w:t>ave</w:t>
            </w:r>
          </w:p>
        </w:tc>
        <w:tc>
          <w:tcPr>
            <w:tcW w:w="7856" w:type="dxa"/>
            <w:gridSpan w:val="2"/>
            <w:tcBorders>
              <w:right w:val="nil"/>
            </w:tcBorders>
            <w:vAlign w:val="top"/>
          </w:tcPr>
          <w:p w14:paraId="71F6CF6C">
            <w:pPr>
              <w:pStyle w:val="8"/>
              <w:spacing w:before="65" w:line="234" w:lineRule="auto"/>
              <w:ind w:left="86"/>
            </w:pPr>
            <w:r>
              <w:rPr>
                <w:color w:val="5F6A72"/>
                <w:spacing w:val="-6"/>
              </w:rPr>
              <w:t>BMI forecast                      Quantifies the current size of</w:t>
            </w:r>
            <w:r>
              <w:rPr>
                <w:color w:val="5F6A72"/>
                <w:spacing w:val="-11"/>
              </w:rPr>
              <w:t xml:space="preserve"> </w:t>
            </w:r>
            <w:r>
              <w:rPr>
                <w:color w:val="5F6A72"/>
                <w:spacing w:val="-6"/>
              </w:rPr>
              <w:t>the refining sector as a comparison to peer</w:t>
            </w:r>
          </w:p>
          <w:p w14:paraId="31D23617">
            <w:pPr>
              <w:pStyle w:val="8"/>
              <w:spacing w:before="48" w:line="237" w:lineRule="exact"/>
              <w:ind w:left="2019"/>
            </w:pPr>
            <w:r>
              <w:rPr>
                <w:color w:val="5F6A72"/>
                <w:spacing w:val="-7"/>
                <w:position w:val="1"/>
              </w:rPr>
              <w:t>markets.</w:t>
            </w:r>
          </w:p>
        </w:tc>
      </w:tr>
      <w:tr w14:paraId="3B0CEFD8">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shd w:val="clear" w:color="auto" w:fill="EAF9FF"/>
            <w:vAlign w:val="top"/>
          </w:tcPr>
          <w:p w14:paraId="6AFB021D">
            <w:pPr>
              <w:pStyle w:val="8"/>
              <w:spacing w:before="63" w:line="297" w:lineRule="auto"/>
              <w:ind w:left="6" w:right="109" w:firstLine="7"/>
            </w:pPr>
            <w:r>
              <w:rPr>
                <w:b/>
                <w:bCs/>
                <w:color w:val="2A8ABF"/>
                <w:spacing w:val="-7"/>
              </w:rPr>
              <w:t>Utilisation Rates (%) - 5</w:t>
            </w:r>
            <w:r>
              <w:rPr>
                <w:b/>
                <w:bCs/>
                <w:color w:val="2A8ABF"/>
                <w:spacing w:val="-8"/>
              </w:rPr>
              <w:t>-year</w:t>
            </w:r>
            <w:r>
              <w:rPr>
                <w:b/>
                <w:bCs/>
                <w:color w:val="2A8ABF"/>
              </w:rPr>
              <w:t xml:space="preserve"> </w:t>
            </w:r>
            <w:r>
              <w:rPr>
                <w:b/>
                <w:bCs/>
                <w:color w:val="2A8ABF"/>
                <w:spacing w:val="-6"/>
              </w:rPr>
              <w:t>ave</w:t>
            </w:r>
          </w:p>
        </w:tc>
        <w:tc>
          <w:tcPr>
            <w:tcW w:w="7856" w:type="dxa"/>
            <w:gridSpan w:val="2"/>
            <w:tcBorders>
              <w:right w:val="nil"/>
            </w:tcBorders>
            <w:shd w:val="clear" w:color="auto" w:fill="EAF9FF"/>
            <w:vAlign w:val="top"/>
          </w:tcPr>
          <w:p w14:paraId="58AE4B5F">
            <w:pPr>
              <w:pStyle w:val="8"/>
              <w:spacing w:before="66" w:line="234" w:lineRule="auto"/>
              <w:ind w:left="86"/>
            </w:pPr>
            <w:r>
              <w:rPr>
                <w:color w:val="5F6A72"/>
                <w:spacing w:val="-5"/>
              </w:rPr>
              <w:t>BMI calculation                 Outlines the efficiency of</w:t>
            </w:r>
            <w:r>
              <w:rPr>
                <w:color w:val="5F6A72"/>
                <w:spacing w:val="-17"/>
              </w:rPr>
              <w:t xml:space="preserve"> </w:t>
            </w:r>
            <w:r>
              <w:rPr>
                <w:color w:val="5F6A72"/>
                <w:spacing w:val="-5"/>
              </w:rPr>
              <w:t>the existing facilities, identifying over or under</w:t>
            </w:r>
          </w:p>
          <w:p w14:paraId="0266AFE8">
            <w:pPr>
              <w:pStyle w:val="8"/>
              <w:spacing w:before="48" w:line="234" w:lineRule="auto"/>
              <w:ind w:left="2015"/>
            </w:pPr>
            <w:r>
              <w:rPr>
                <w:color w:val="5F6A72"/>
                <w:spacing w:val="-7"/>
              </w:rPr>
              <w:t>capacity.</w:t>
            </w:r>
          </w:p>
        </w:tc>
      </w:tr>
      <w:tr w14:paraId="099FD38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vAlign w:val="top"/>
          </w:tcPr>
          <w:p w14:paraId="3A328D06">
            <w:pPr>
              <w:pStyle w:val="8"/>
              <w:spacing w:before="64" w:line="270" w:lineRule="auto"/>
              <w:ind w:left="7" w:right="413" w:firstLine="6"/>
            </w:pPr>
            <w:r>
              <w:rPr>
                <w:b/>
                <w:bCs/>
                <w:color w:val="2A8ABF"/>
                <w:spacing w:val="-9"/>
              </w:rPr>
              <w:t>Domestic Fuels Demand</w:t>
            </w:r>
            <w:r>
              <w:rPr>
                <w:b/>
                <w:bCs/>
                <w:color w:val="2A8ABF"/>
                <w:spacing w:val="11"/>
              </w:rPr>
              <w:t xml:space="preserve"> </w:t>
            </w:r>
            <w:r>
              <w:rPr>
                <w:b/>
                <w:bCs/>
                <w:color w:val="2A8ABF"/>
                <w:spacing w:val="-4"/>
              </w:rPr>
              <w:t>('000b/d) - 5-year</w:t>
            </w:r>
            <w:r>
              <w:rPr>
                <w:b/>
                <w:bCs/>
                <w:color w:val="2A8ABF"/>
                <w:spacing w:val="2"/>
              </w:rPr>
              <w:t xml:space="preserve"> </w:t>
            </w:r>
            <w:r>
              <w:rPr>
                <w:b/>
                <w:bCs/>
                <w:color w:val="2A8ABF"/>
                <w:spacing w:val="-4"/>
              </w:rPr>
              <w:t>ave</w:t>
            </w:r>
          </w:p>
        </w:tc>
        <w:tc>
          <w:tcPr>
            <w:tcW w:w="7856" w:type="dxa"/>
            <w:gridSpan w:val="2"/>
            <w:tcBorders>
              <w:right w:val="nil"/>
            </w:tcBorders>
            <w:vAlign w:val="top"/>
          </w:tcPr>
          <w:p w14:paraId="4394498C">
            <w:pPr>
              <w:pStyle w:val="8"/>
              <w:spacing w:before="66" w:line="236" w:lineRule="auto"/>
              <w:ind w:left="86"/>
            </w:pPr>
            <w:r>
              <w:rPr>
                <w:color w:val="5F6A72"/>
                <w:spacing w:val="-6"/>
              </w:rPr>
              <w:t>BMI forecast                      Shows the siz</w:t>
            </w:r>
            <w:r>
              <w:rPr>
                <w:color w:val="5F6A72"/>
                <w:spacing w:val="-7"/>
              </w:rPr>
              <w:t>e of</w:t>
            </w:r>
            <w:r>
              <w:rPr>
                <w:color w:val="5F6A72"/>
                <w:spacing w:val="-20"/>
              </w:rPr>
              <w:t xml:space="preserve"> </w:t>
            </w:r>
            <w:r>
              <w:rPr>
                <w:color w:val="5F6A72"/>
                <w:spacing w:val="-7"/>
              </w:rPr>
              <w:t>the domestic market demand as a comparison to peer</w:t>
            </w:r>
          </w:p>
          <w:p w14:paraId="672ADAF1">
            <w:pPr>
              <w:pStyle w:val="8"/>
              <w:spacing w:before="46" w:line="237" w:lineRule="exact"/>
              <w:ind w:left="2019"/>
            </w:pPr>
            <w:r>
              <w:rPr>
                <w:color w:val="5F6A72"/>
                <w:spacing w:val="-7"/>
                <w:position w:val="1"/>
              </w:rPr>
              <w:t>markets.</w:t>
            </w:r>
          </w:p>
        </w:tc>
      </w:tr>
      <w:tr w14:paraId="4975908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shd w:val="clear" w:color="auto" w:fill="EAF9FF"/>
            <w:vAlign w:val="top"/>
          </w:tcPr>
          <w:p w14:paraId="44B613D9">
            <w:pPr>
              <w:pStyle w:val="8"/>
              <w:spacing w:before="64" w:line="270" w:lineRule="auto"/>
              <w:ind w:left="6" w:right="323" w:firstLine="7"/>
            </w:pPr>
            <w:r>
              <w:rPr>
                <w:b/>
                <w:bCs/>
                <w:color w:val="2A8ABF"/>
                <w:spacing w:val="-9"/>
              </w:rPr>
              <w:t>Fuel Demand (% growth</w:t>
            </w:r>
            <w:r>
              <w:rPr>
                <w:b/>
                <w:bCs/>
                <w:color w:val="2A8ABF"/>
                <w:spacing w:val="-10"/>
              </w:rPr>
              <w:t>) -</w:t>
            </w:r>
            <w:r>
              <w:rPr>
                <w:b/>
                <w:bCs/>
                <w:color w:val="2A8ABF"/>
              </w:rPr>
              <w:t xml:space="preserve"> </w:t>
            </w:r>
            <w:r>
              <w:rPr>
                <w:b/>
                <w:bCs/>
                <w:color w:val="2A8ABF"/>
                <w:spacing w:val="-6"/>
              </w:rPr>
              <w:t>5-year</w:t>
            </w:r>
            <w:r>
              <w:rPr>
                <w:b/>
                <w:bCs/>
                <w:color w:val="2A8ABF"/>
                <w:spacing w:val="-8"/>
              </w:rPr>
              <w:t xml:space="preserve"> </w:t>
            </w:r>
            <w:r>
              <w:rPr>
                <w:b/>
                <w:bCs/>
                <w:color w:val="2A8ABF"/>
                <w:spacing w:val="-6"/>
              </w:rPr>
              <w:t>ave</w:t>
            </w:r>
          </w:p>
        </w:tc>
        <w:tc>
          <w:tcPr>
            <w:tcW w:w="7856" w:type="dxa"/>
            <w:gridSpan w:val="2"/>
            <w:tcBorders>
              <w:right w:val="nil"/>
            </w:tcBorders>
            <w:shd w:val="clear" w:color="auto" w:fill="EAF9FF"/>
            <w:vAlign w:val="top"/>
          </w:tcPr>
          <w:p w14:paraId="7B5403F8">
            <w:pPr>
              <w:pStyle w:val="8"/>
              <w:spacing w:before="66" w:line="234" w:lineRule="auto"/>
              <w:ind w:left="86"/>
            </w:pPr>
            <w:r>
              <w:rPr>
                <w:color w:val="5F6A72"/>
                <w:spacing w:val="-5"/>
              </w:rPr>
              <w:t>BMI forecast                      Identifies the domestic demand opportunity and trend in consump</w:t>
            </w:r>
            <w:r>
              <w:rPr>
                <w:color w:val="5F6A72"/>
                <w:spacing w:val="-6"/>
              </w:rPr>
              <w:t>tion</w:t>
            </w:r>
          </w:p>
          <w:p w14:paraId="2C354FFB">
            <w:pPr>
              <w:pStyle w:val="8"/>
              <w:spacing w:before="48" w:line="236" w:lineRule="auto"/>
              <w:ind w:left="2019"/>
            </w:pPr>
            <w:r>
              <w:rPr>
                <w:color w:val="5F6A72"/>
                <w:spacing w:val="-5"/>
              </w:rPr>
              <w:t>patterns.</w:t>
            </w:r>
          </w:p>
        </w:tc>
      </w:tr>
      <w:tr w14:paraId="3E3935D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vAlign w:val="top"/>
          </w:tcPr>
          <w:p w14:paraId="3E005DE7">
            <w:pPr>
              <w:pStyle w:val="8"/>
              <w:spacing w:before="65" w:line="270" w:lineRule="auto"/>
              <w:ind w:left="6" w:right="475" w:firstLine="7"/>
            </w:pPr>
            <w:r>
              <w:rPr>
                <w:b/>
                <w:bCs/>
                <w:color w:val="2A8ABF"/>
                <w:spacing w:val="-9"/>
              </w:rPr>
              <w:t>Regional Fuel Demand</w:t>
            </w:r>
            <w:r>
              <w:rPr>
                <w:b/>
                <w:bCs/>
                <w:color w:val="2A8ABF"/>
                <w:spacing w:val="-10"/>
              </w:rPr>
              <w:t xml:space="preserve"> -</w:t>
            </w:r>
            <w:r>
              <w:rPr>
                <w:b/>
                <w:bCs/>
                <w:color w:val="2A8ABF"/>
              </w:rPr>
              <w:t xml:space="preserve"> </w:t>
            </w:r>
            <w:r>
              <w:rPr>
                <w:b/>
                <w:bCs/>
                <w:color w:val="2A8ABF"/>
                <w:spacing w:val="-6"/>
              </w:rPr>
              <w:t>5-year</w:t>
            </w:r>
            <w:r>
              <w:rPr>
                <w:b/>
                <w:bCs/>
                <w:color w:val="2A8ABF"/>
                <w:spacing w:val="-8"/>
              </w:rPr>
              <w:t xml:space="preserve"> </w:t>
            </w:r>
            <w:r>
              <w:rPr>
                <w:b/>
                <w:bCs/>
                <w:color w:val="2A8ABF"/>
                <w:spacing w:val="-6"/>
              </w:rPr>
              <w:t>ave</w:t>
            </w:r>
          </w:p>
        </w:tc>
        <w:tc>
          <w:tcPr>
            <w:tcW w:w="7856" w:type="dxa"/>
            <w:gridSpan w:val="2"/>
            <w:tcBorders>
              <w:right w:val="nil"/>
            </w:tcBorders>
            <w:vAlign w:val="top"/>
          </w:tcPr>
          <w:p w14:paraId="46AF2155">
            <w:pPr>
              <w:pStyle w:val="8"/>
              <w:spacing w:before="67" w:line="234" w:lineRule="auto"/>
              <w:ind w:left="86"/>
            </w:pPr>
            <w:r>
              <w:rPr>
                <w:color w:val="5F6A72"/>
                <w:spacing w:val="-5"/>
              </w:rPr>
              <w:t xml:space="preserve">BMI forecast                  </w:t>
            </w:r>
            <w:r>
              <w:rPr>
                <w:color w:val="5F6A72"/>
                <w:spacing w:val="-6"/>
              </w:rPr>
              <w:t xml:space="preserve">    Shows the regional export market size to represent the opportunity for</w:t>
            </w:r>
          </w:p>
          <w:p w14:paraId="69D9C464">
            <w:pPr>
              <w:pStyle w:val="8"/>
              <w:spacing w:before="48" w:line="236" w:lineRule="auto"/>
              <w:ind w:left="2015"/>
            </w:pPr>
            <w:r>
              <w:rPr>
                <w:color w:val="5F6A72"/>
                <w:spacing w:val="-7"/>
              </w:rPr>
              <w:t>exports.</w:t>
            </w:r>
          </w:p>
        </w:tc>
      </w:tr>
      <w:tr w14:paraId="3754FB8C">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shd w:val="clear" w:color="auto" w:fill="EAF9FF"/>
            <w:vAlign w:val="top"/>
          </w:tcPr>
          <w:p w14:paraId="4EAF5287">
            <w:pPr>
              <w:pStyle w:val="8"/>
              <w:spacing w:before="65" w:line="210" w:lineRule="exact"/>
              <w:ind w:left="13"/>
            </w:pPr>
            <w:r>
              <w:rPr>
                <w:b/>
                <w:bCs/>
                <w:color w:val="2A8ABF"/>
                <w:spacing w:val="-7"/>
                <w:position w:val="2"/>
              </w:rPr>
              <w:t>Life Span Of</w:t>
            </w:r>
            <w:r>
              <w:rPr>
                <w:b/>
                <w:bCs/>
                <w:color w:val="2A8ABF"/>
                <w:spacing w:val="2"/>
                <w:position w:val="2"/>
              </w:rPr>
              <w:t xml:space="preserve"> </w:t>
            </w:r>
            <w:r>
              <w:rPr>
                <w:b/>
                <w:bCs/>
                <w:color w:val="2A8ABF"/>
                <w:spacing w:val="-7"/>
                <w:position w:val="2"/>
              </w:rPr>
              <w:t>Infrastructure</w:t>
            </w:r>
          </w:p>
        </w:tc>
        <w:tc>
          <w:tcPr>
            <w:tcW w:w="7856" w:type="dxa"/>
            <w:gridSpan w:val="2"/>
            <w:tcBorders>
              <w:right w:val="nil"/>
            </w:tcBorders>
            <w:shd w:val="clear" w:color="auto" w:fill="EAF9FF"/>
            <w:vAlign w:val="top"/>
          </w:tcPr>
          <w:p w14:paraId="037A6E32">
            <w:pPr>
              <w:pStyle w:val="8"/>
              <w:spacing w:before="67" w:line="234" w:lineRule="auto"/>
              <w:ind w:left="86"/>
            </w:pPr>
            <w:r>
              <w:rPr>
                <w:color w:val="5F6A72"/>
                <w:spacing w:val="-4"/>
              </w:rPr>
              <w:t>BMI calculation                 Ap</w:t>
            </w:r>
            <w:r>
              <w:rPr>
                <w:color w:val="5F6A72"/>
                <w:spacing w:val="-5"/>
              </w:rPr>
              <w:t>proximate calculation of</w:t>
            </w:r>
            <w:r>
              <w:rPr>
                <w:color w:val="5F6A72"/>
                <w:spacing w:val="-20"/>
              </w:rPr>
              <w:t xml:space="preserve"> </w:t>
            </w:r>
            <w:r>
              <w:rPr>
                <w:color w:val="5F6A72"/>
                <w:spacing w:val="-5"/>
              </w:rPr>
              <w:t>the life span of</w:t>
            </w:r>
            <w:r>
              <w:rPr>
                <w:color w:val="5F6A72"/>
                <w:spacing w:val="-14"/>
              </w:rPr>
              <w:t xml:space="preserve"> </w:t>
            </w:r>
            <w:r>
              <w:rPr>
                <w:color w:val="5F6A72"/>
                <w:spacing w:val="-5"/>
              </w:rPr>
              <w:t>infrastructure to identify the</w:t>
            </w:r>
          </w:p>
          <w:p w14:paraId="39610457">
            <w:pPr>
              <w:pStyle w:val="8"/>
              <w:spacing w:before="48" w:line="234" w:lineRule="auto"/>
              <w:ind w:left="2019"/>
            </w:pPr>
            <w:r>
              <w:rPr>
                <w:color w:val="5F6A72"/>
                <w:spacing w:val="-6"/>
              </w:rPr>
              <w:t>remaining operating life.</w:t>
            </w:r>
          </w:p>
        </w:tc>
      </w:tr>
      <w:tr w14:paraId="72C518FD">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836" w:hRule="atLeast"/>
        </w:trPr>
        <w:tc>
          <w:tcPr>
            <w:tcW w:w="2348" w:type="dxa"/>
            <w:tcBorders>
              <w:left w:val="nil"/>
            </w:tcBorders>
            <w:vAlign w:val="top"/>
          </w:tcPr>
          <w:p w14:paraId="5BC3F173">
            <w:pPr>
              <w:pStyle w:val="8"/>
              <w:spacing w:before="65" w:line="244" w:lineRule="exact"/>
            </w:pPr>
            <w:r>
              <w:rPr>
                <w:b/>
                <w:bCs/>
                <w:color w:val="2A8ABF"/>
                <w:spacing w:val="-7"/>
                <w:position w:val="1"/>
              </w:rPr>
              <w:t>Theoretical Net Crude</w:t>
            </w:r>
          </w:p>
          <w:p w14:paraId="30B34270">
            <w:pPr>
              <w:pStyle w:val="8"/>
              <w:spacing w:before="6" w:line="296" w:lineRule="auto"/>
              <w:ind w:left="6" w:right="308" w:firstLine="7"/>
            </w:pPr>
            <w:r>
              <w:rPr>
                <w:b/>
                <w:bCs/>
                <w:color w:val="2A8ABF"/>
                <w:spacing w:val="-5"/>
              </w:rPr>
              <w:t>Exports ('000b/d) -</w:t>
            </w:r>
            <w:r>
              <w:rPr>
                <w:b/>
                <w:bCs/>
                <w:color w:val="2A8ABF"/>
                <w:spacing w:val="-2"/>
              </w:rPr>
              <w:t xml:space="preserve"> </w:t>
            </w:r>
            <w:r>
              <w:rPr>
                <w:b/>
                <w:bCs/>
                <w:color w:val="2A8ABF"/>
                <w:spacing w:val="-5"/>
              </w:rPr>
              <w:t>5-year</w:t>
            </w:r>
            <w:r>
              <w:rPr>
                <w:b/>
                <w:bCs/>
                <w:color w:val="2A8ABF"/>
              </w:rPr>
              <w:t xml:space="preserve"> </w:t>
            </w:r>
            <w:r>
              <w:rPr>
                <w:b/>
                <w:bCs/>
                <w:color w:val="2A8ABF"/>
                <w:spacing w:val="-6"/>
              </w:rPr>
              <w:t>ave</w:t>
            </w:r>
          </w:p>
        </w:tc>
        <w:tc>
          <w:tcPr>
            <w:tcW w:w="7856" w:type="dxa"/>
            <w:gridSpan w:val="2"/>
            <w:tcBorders>
              <w:right w:val="nil"/>
            </w:tcBorders>
            <w:vAlign w:val="top"/>
          </w:tcPr>
          <w:p w14:paraId="477A2FA1">
            <w:pPr>
              <w:pStyle w:val="8"/>
              <w:spacing w:before="68" w:line="234" w:lineRule="auto"/>
              <w:ind w:left="86"/>
            </w:pPr>
            <w:r>
              <w:rPr>
                <w:color w:val="5F6A72"/>
                <w:spacing w:val="-6"/>
              </w:rPr>
              <w:t>BMI calculation                  Identifies spare capacity of</w:t>
            </w:r>
            <w:r>
              <w:rPr>
                <w:color w:val="5F6A72"/>
                <w:spacing w:val="-15"/>
              </w:rPr>
              <w:t xml:space="preserve"> </w:t>
            </w:r>
            <w:r>
              <w:rPr>
                <w:color w:val="5F6A72"/>
                <w:spacing w:val="-6"/>
              </w:rPr>
              <w:t>domestic oil supply as a po</w:t>
            </w:r>
            <w:r>
              <w:rPr>
                <w:color w:val="5F6A72"/>
                <w:spacing w:val="-7"/>
              </w:rPr>
              <w:t>tential feedstock.</w:t>
            </w:r>
          </w:p>
        </w:tc>
      </w:tr>
      <w:tr w14:paraId="59052D3E">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290" w:type="dxa"/>
            <w:gridSpan w:val="2"/>
            <w:tcBorders>
              <w:left w:val="nil"/>
              <w:right w:val="single" w:color="D7DADB" w:sz="4" w:space="0"/>
            </w:tcBorders>
            <w:shd w:val="clear" w:color="auto" w:fill="EAF9FF"/>
            <w:vAlign w:val="top"/>
          </w:tcPr>
          <w:p w14:paraId="292E5517">
            <w:pPr>
              <w:pStyle w:val="8"/>
              <w:spacing w:before="68" w:line="233" w:lineRule="auto"/>
              <w:ind w:left="23"/>
            </w:pPr>
            <w:r>
              <w:rPr>
                <w:i/>
                <w:iCs/>
                <w:color w:val="2A8ABF"/>
                <w:spacing w:val="-4"/>
                <w:w w:val="91"/>
              </w:rPr>
              <w:t>Country</w:t>
            </w:r>
            <w:r>
              <w:rPr>
                <w:i/>
                <w:iCs/>
                <w:color w:val="2A8ABF"/>
                <w:spacing w:val="-8"/>
              </w:rPr>
              <w:t xml:space="preserve"> </w:t>
            </w:r>
            <w:r>
              <w:rPr>
                <w:i/>
                <w:iCs/>
                <w:color w:val="2A8ABF"/>
                <w:spacing w:val="-4"/>
                <w:w w:val="91"/>
              </w:rPr>
              <w:t>Rewards</w:t>
            </w:r>
          </w:p>
        </w:tc>
        <w:tc>
          <w:tcPr>
            <w:tcW w:w="5914" w:type="dxa"/>
            <w:tcBorders>
              <w:left w:val="single" w:color="D7DADB" w:sz="4" w:space="0"/>
              <w:right w:val="nil"/>
            </w:tcBorders>
            <w:shd w:val="clear" w:color="auto" w:fill="EAF9FF"/>
            <w:vAlign w:val="top"/>
          </w:tcPr>
          <w:p w14:paraId="0A254D6E">
            <w:pPr>
              <w:pStyle w:val="8"/>
              <w:rPr>
                <w:sz w:val="21"/>
              </w:rPr>
            </w:pPr>
          </w:p>
        </w:tc>
      </w:tr>
      <w:tr w14:paraId="0EE2E56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48" w:type="dxa"/>
            <w:tcBorders>
              <w:left w:val="nil"/>
            </w:tcBorders>
            <w:vAlign w:val="top"/>
          </w:tcPr>
          <w:p w14:paraId="1AB99C1A">
            <w:pPr>
              <w:pStyle w:val="8"/>
              <w:spacing w:before="66" w:line="241" w:lineRule="auto"/>
              <w:ind w:left="4"/>
            </w:pPr>
            <w:r>
              <w:rPr>
                <w:b/>
                <w:bCs/>
                <w:color w:val="2A8ABF"/>
                <w:spacing w:val="-8"/>
              </w:rPr>
              <w:t>State asset ownership</w:t>
            </w:r>
            <w:r>
              <w:rPr>
                <w:b/>
                <w:bCs/>
                <w:color w:val="2A8ABF"/>
                <w:spacing w:val="-7"/>
              </w:rPr>
              <w:t xml:space="preserve"> </w:t>
            </w:r>
            <w:r>
              <w:rPr>
                <w:b/>
                <w:bCs/>
                <w:color w:val="2A8ABF"/>
                <w:spacing w:val="-8"/>
              </w:rPr>
              <w:t>(%)</w:t>
            </w:r>
          </w:p>
        </w:tc>
        <w:tc>
          <w:tcPr>
            <w:tcW w:w="7856" w:type="dxa"/>
            <w:gridSpan w:val="2"/>
            <w:tcBorders>
              <w:right w:val="nil"/>
            </w:tcBorders>
            <w:vAlign w:val="top"/>
          </w:tcPr>
          <w:p w14:paraId="67AC8BB7">
            <w:pPr>
              <w:pStyle w:val="8"/>
              <w:spacing w:before="68" w:line="234" w:lineRule="auto"/>
              <w:ind w:left="86"/>
            </w:pPr>
            <w:r>
              <w:rPr>
                <w:color w:val="5F6A72"/>
                <w:spacing w:val="-5"/>
              </w:rPr>
              <w:t xml:space="preserve">BMI calculation          </w:t>
            </w:r>
            <w:r>
              <w:rPr>
                <w:color w:val="5F6A72"/>
                <w:spacing w:val="-6"/>
              </w:rPr>
              <w:t xml:space="preserve">        Indicates how much of</w:t>
            </w:r>
            <w:r>
              <w:rPr>
                <w:color w:val="5F6A72"/>
                <w:spacing w:val="-20"/>
              </w:rPr>
              <w:t xml:space="preserve"> </w:t>
            </w:r>
            <w:r>
              <w:rPr>
                <w:color w:val="5F6A72"/>
                <w:spacing w:val="-6"/>
              </w:rPr>
              <w:t>the given market is open for private investment.</w:t>
            </w:r>
          </w:p>
        </w:tc>
      </w:tr>
      <w:tr w14:paraId="6104FFF7">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48" w:type="dxa"/>
            <w:tcBorders>
              <w:left w:val="nil"/>
            </w:tcBorders>
            <w:shd w:val="clear" w:color="auto" w:fill="EAF9FF"/>
            <w:vAlign w:val="top"/>
          </w:tcPr>
          <w:p w14:paraId="6987C198">
            <w:pPr>
              <w:pStyle w:val="8"/>
              <w:spacing w:before="67" w:line="210" w:lineRule="exact"/>
              <w:ind w:left="13"/>
            </w:pPr>
            <w:r>
              <w:rPr>
                <w:b/>
                <w:bCs/>
                <w:color w:val="2A8ABF"/>
                <w:spacing w:val="-8"/>
                <w:position w:val="2"/>
              </w:rPr>
              <w:t>Population</w:t>
            </w:r>
          </w:p>
        </w:tc>
        <w:tc>
          <w:tcPr>
            <w:tcW w:w="7856" w:type="dxa"/>
            <w:gridSpan w:val="2"/>
            <w:tcBorders>
              <w:right w:val="nil"/>
            </w:tcBorders>
            <w:shd w:val="clear" w:color="auto" w:fill="EAF9FF"/>
            <w:vAlign w:val="top"/>
          </w:tcPr>
          <w:p w14:paraId="035E64B5">
            <w:pPr>
              <w:pStyle w:val="8"/>
              <w:spacing w:before="69" w:line="236" w:lineRule="auto"/>
              <w:ind w:left="86"/>
            </w:pPr>
            <w:r>
              <w:rPr>
                <w:color w:val="5F6A72"/>
                <w:spacing w:val="-7"/>
              </w:rPr>
              <w:t>BMI calculation                  Assesses market size based on total</w:t>
            </w:r>
            <w:r>
              <w:rPr>
                <w:color w:val="5F6A72"/>
                <w:spacing w:val="-8"/>
              </w:rPr>
              <w:t xml:space="preserve"> population size.</w:t>
            </w:r>
          </w:p>
        </w:tc>
      </w:tr>
      <w:tr w14:paraId="73F5987A">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vAlign w:val="top"/>
          </w:tcPr>
          <w:p w14:paraId="489F29AB">
            <w:pPr>
              <w:pStyle w:val="8"/>
              <w:spacing w:before="67" w:line="241" w:lineRule="auto"/>
              <w:ind w:left="13"/>
            </w:pPr>
            <w:r>
              <w:rPr>
                <w:b/>
                <w:bCs/>
                <w:color w:val="2A8ABF"/>
                <w:spacing w:val="-9"/>
              </w:rPr>
              <w:t>Population Growth (%)</w:t>
            </w:r>
          </w:p>
        </w:tc>
        <w:tc>
          <w:tcPr>
            <w:tcW w:w="7856" w:type="dxa"/>
            <w:gridSpan w:val="2"/>
            <w:tcBorders>
              <w:right w:val="nil"/>
            </w:tcBorders>
            <w:vAlign w:val="top"/>
          </w:tcPr>
          <w:p w14:paraId="02D61066">
            <w:pPr>
              <w:pStyle w:val="8"/>
              <w:spacing w:before="69" w:line="234" w:lineRule="auto"/>
              <w:ind w:left="86"/>
            </w:pPr>
            <w:r>
              <w:rPr>
                <w:color w:val="5F6A72"/>
                <w:spacing w:val="-6"/>
              </w:rPr>
              <w:t>BMI calculation                 Assesses potential</w:t>
            </w:r>
            <w:r>
              <w:rPr>
                <w:color w:val="5F6A72"/>
                <w:spacing w:val="-2"/>
              </w:rPr>
              <w:t xml:space="preserve"> </w:t>
            </w:r>
            <w:r>
              <w:rPr>
                <w:color w:val="5F6A72"/>
                <w:spacing w:val="-6"/>
              </w:rPr>
              <w:t>market size based on the p</w:t>
            </w:r>
            <w:r>
              <w:rPr>
                <w:color w:val="5F6A72"/>
                <w:spacing w:val="-7"/>
              </w:rPr>
              <w:t>opulation growth rate over five</w:t>
            </w:r>
          </w:p>
          <w:p w14:paraId="3F7F1353">
            <w:pPr>
              <w:pStyle w:val="8"/>
              <w:spacing w:before="122" w:line="124" w:lineRule="exact"/>
              <w:ind w:left="2007"/>
            </w:pPr>
            <w:r>
              <w:rPr>
                <w:color w:val="5F6A72"/>
                <w:spacing w:val="-9"/>
              </w:rPr>
              <w:t>years.</w:t>
            </w:r>
          </w:p>
        </w:tc>
      </w:tr>
      <w:tr w14:paraId="3D14EAF1">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48" w:type="dxa"/>
            <w:tcBorders>
              <w:left w:val="nil"/>
            </w:tcBorders>
            <w:shd w:val="clear" w:color="auto" w:fill="979CA7"/>
            <w:vAlign w:val="top"/>
          </w:tcPr>
          <w:p w14:paraId="53D92853">
            <w:pPr>
              <w:pStyle w:val="8"/>
              <w:spacing w:before="110" w:line="185" w:lineRule="auto"/>
              <w:ind w:left="13"/>
            </w:pPr>
            <w:r>
              <w:rPr>
                <w:b/>
                <w:bCs/>
                <w:color w:val="2A8ABF"/>
                <w:spacing w:val="-11"/>
              </w:rPr>
              <w:t>Risks</w:t>
            </w:r>
          </w:p>
        </w:tc>
        <w:tc>
          <w:tcPr>
            <w:tcW w:w="7856" w:type="dxa"/>
            <w:gridSpan w:val="2"/>
            <w:tcBorders>
              <w:right w:val="nil"/>
            </w:tcBorders>
            <w:shd w:val="clear" w:color="auto" w:fill="979CA7"/>
            <w:vAlign w:val="top"/>
          </w:tcPr>
          <w:p w14:paraId="14F4B3FF">
            <w:pPr>
              <w:pStyle w:val="8"/>
              <w:rPr>
                <w:sz w:val="21"/>
              </w:rPr>
            </w:pPr>
          </w:p>
        </w:tc>
      </w:tr>
      <w:tr w14:paraId="659EA1F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290" w:type="dxa"/>
            <w:gridSpan w:val="2"/>
            <w:tcBorders>
              <w:left w:val="nil"/>
              <w:right w:val="single" w:color="D7DADB" w:sz="4" w:space="0"/>
            </w:tcBorders>
            <w:vAlign w:val="top"/>
          </w:tcPr>
          <w:p w14:paraId="022DE2A1">
            <w:pPr>
              <w:pStyle w:val="8"/>
              <w:spacing w:before="70" w:line="233" w:lineRule="auto"/>
              <w:ind w:left="18"/>
            </w:pPr>
            <w:r>
              <w:rPr>
                <w:i/>
                <w:iCs/>
                <w:color w:val="2A8ABF"/>
                <w:spacing w:val="-1"/>
                <w:w w:val="88"/>
              </w:rPr>
              <w:t>Industry</w:t>
            </w:r>
            <w:r>
              <w:rPr>
                <w:i/>
                <w:iCs/>
                <w:color w:val="2A8ABF"/>
                <w:spacing w:val="-13"/>
              </w:rPr>
              <w:t xml:space="preserve"> </w:t>
            </w:r>
            <w:r>
              <w:rPr>
                <w:i/>
                <w:iCs/>
                <w:color w:val="2A8ABF"/>
                <w:spacing w:val="-1"/>
                <w:w w:val="88"/>
              </w:rPr>
              <w:t>Risks</w:t>
            </w:r>
          </w:p>
        </w:tc>
        <w:tc>
          <w:tcPr>
            <w:tcW w:w="5914" w:type="dxa"/>
            <w:tcBorders>
              <w:left w:val="single" w:color="D7DADB" w:sz="4" w:space="0"/>
              <w:right w:val="nil"/>
            </w:tcBorders>
            <w:vAlign w:val="top"/>
          </w:tcPr>
          <w:p w14:paraId="7EEA6F1B">
            <w:pPr>
              <w:pStyle w:val="8"/>
              <w:rPr>
                <w:sz w:val="21"/>
              </w:rPr>
            </w:pPr>
          </w:p>
        </w:tc>
      </w:tr>
      <w:tr w14:paraId="7F47218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586" w:hRule="atLeast"/>
        </w:trPr>
        <w:tc>
          <w:tcPr>
            <w:tcW w:w="2348" w:type="dxa"/>
            <w:tcBorders>
              <w:left w:val="nil"/>
            </w:tcBorders>
            <w:shd w:val="clear" w:color="auto" w:fill="EAF9FF"/>
            <w:vAlign w:val="top"/>
          </w:tcPr>
          <w:p w14:paraId="26DFAE9F">
            <w:pPr>
              <w:pStyle w:val="8"/>
              <w:spacing w:before="68" w:line="241" w:lineRule="auto"/>
              <w:ind w:left="13"/>
            </w:pPr>
            <w:r>
              <w:rPr>
                <w:b/>
                <w:bCs/>
                <w:color w:val="2A8ABF"/>
                <w:spacing w:val="-10"/>
              </w:rPr>
              <w:t>Logistics Risk</w:t>
            </w:r>
          </w:p>
        </w:tc>
        <w:tc>
          <w:tcPr>
            <w:tcW w:w="1942" w:type="dxa"/>
            <w:tcBorders>
              <w:right w:val="nil"/>
            </w:tcBorders>
            <w:shd w:val="clear" w:color="auto" w:fill="EAF9FF"/>
            <w:vAlign w:val="top"/>
          </w:tcPr>
          <w:p w14:paraId="4CB33C53">
            <w:pPr>
              <w:pStyle w:val="8"/>
              <w:spacing w:before="71" w:line="236" w:lineRule="auto"/>
              <w:ind w:left="86"/>
            </w:pPr>
            <w:r>
              <w:rPr>
                <w:color w:val="5F6A72"/>
                <w:spacing w:val="-10"/>
              </w:rPr>
              <w:t>BMI Operational Risk</w:t>
            </w:r>
          </w:p>
          <w:p w14:paraId="060B5A6B">
            <w:pPr>
              <w:pStyle w:val="8"/>
              <w:spacing w:before="46" w:line="237" w:lineRule="exact"/>
              <w:ind w:left="86"/>
            </w:pPr>
            <w:r>
              <w:rPr>
                <w:color w:val="5F6A72"/>
                <w:spacing w:val="-8"/>
                <w:position w:val="1"/>
              </w:rPr>
              <w:t>Index</w:t>
            </w:r>
          </w:p>
        </w:tc>
        <w:tc>
          <w:tcPr>
            <w:tcW w:w="5914" w:type="dxa"/>
            <w:tcBorders>
              <w:left w:val="nil"/>
              <w:right w:val="nil"/>
            </w:tcBorders>
            <w:shd w:val="clear" w:color="auto" w:fill="EAF9FF"/>
            <w:vAlign w:val="top"/>
          </w:tcPr>
          <w:p w14:paraId="40D88BAF">
            <w:pPr>
              <w:pStyle w:val="8"/>
              <w:spacing w:before="70" w:line="234" w:lineRule="auto"/>
              <w:ind w:left="81"/>
            </w:pPr>
            <w:r>
              <w:rPr>
                <w:color w:val="5F6A72"/>
                <w:spacing w:val="-6"/>
              </w:rPr>
              <w:t>Offers a comparative indicator on ease</w:t>
            </w:r>
            <w:r>
              <w:rPr>
                <w:color w:val="5F6A72"/>
                <w:spacing w:val="-7"/>
              </w:rPr>
              <w:t xml:space="preserve"> of</w:t>
            </w:r>
            <w:r>
              <w:rPr>
                <w:color w:val="5F6A72"/>
                <w:spacing w:val="-20"/>
              </w:rPr>
              <w:t xml:space="preserve"> </w:t>
            </w:r>
            <w:r>
              <w:rPr>
                <w:color w:val="5F6A72"/>
                <w:spacing w:val="-7"/>
              </w:rPr>
              <w:t>transport for feedstock</w:t>
            </w:r>
            <w:r>
              <w:rPr>
                <w:color w:val="5F6A72"/>
                <w:spacing w:val="-8"/>
              </w:rPr>
              <w:t xml:space="preserve"> </w:t>
            </w:r>
            <w:r>
              <w:rPr>
                <w:color w:val="5F6A72"/>
                <w:spacing w:val="-7"/>
              </w:rPr>
              <w:t>supply,</w:t>
            </w:r>
            <w:r>
              <w:rPr>
                <w:color w:val="5F6A72"/>
                <w:spacing w:val="-10"/>
              </w:rPr>
              <w:t xml:space="preserve"> </w:t>
            </w:r>
            <w:r>
              <w:rPr>
                <w:color w:val="5F6A72"/>
                <w:spacing w:val="-7"/>
              </w:rPr>
              <w:t>fuels</w:t>
            </w:r>
          </w:p>
          <w:p w14:paraId="463BECB0">
            <w:pPr>
              <w:pStyle w:val="8"/>
              <w:spacing w:before="48" w:line="234" w:lineRule="auto"/>
              <w:ind w:left="80"/>
            </w:pPr>
            <w:r>
              <w:rPr>
                <w:color w:val="5F6A72"/>
                <w:spacing w:val="-3"/>
              </w:rPr>
              <w:t>distribution and import/export flexibility.</w:t>
            </w:r>
          </w:p>
        </w:tc>
      </w:tr>
      <w:tr w14:paraId="1DAF6E34">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2348" w:type="dxa"/>
            <w:tcBorders>
              <w:left w:val="nil"/>
            </w:tcBorders>
            <w:vAlign w:val="top"/>
          </w:tcPr>
          <w:p w14:paraId="5D99CABB">
            <w:pPr>
              <w:pStyle w:val="8"/>
              <w:spacing w:before="69" w:line="243" w:lineRule="exact"/>
              <w:ind w:left="13"/>
            </w:pPr>
            <w:r>
              <w:rPr>
                <w:b/>
                <w:bCs/>
                <w:color w:val="2A8ABF"/>
                <w:spacing w:val="-10"/>
                <w:position w:val="1"/>
              </w:rPr>
              <w:t>Fuel</w:t>
            </w:r>
            <w:r>
              <w:rPr>
                <w:b/>
                <w:bCs/>
                <w:color w:val="2A8ABF"/>
                <w:spacing w:val="-4"/>
                <w:position w:val="1"/>
              </w:rPr>
              <w:t xml:space="preserve"> </w:t>
            </w:r>
            <w:r>
              <w:rPr>
                <w:b/>
                <w:bCs/>
                <w:color w:val="2A8ABF"/>
                <w:spacing w:val="-10"/>
                <w:position w:val="1"/>
              </w:rPr>
              <w:t>Subsidies</w:t>
            </w:r>
          </w:p>
        </w:tc>
        <w:tc>
          <w:tcPr>
            <w:tcW w:w="7856" w:type="dxa"/>
            <w:gridSpan w:val="2"/>
            <w:tcBorders>
              <w:right w:val="nil"/>
            </w:tcBorders>
            <w:vAlign w:val="top"/>
          </w:tcPr>
          <w:p w14:paraId="2D105F6A">
            <w:pPr>
              <w:pStyle w:val="8"/>
              <w:spacing w:before="71" w:line="236" w:lineRule="auto"/>
              <w:ind w:left="86"/>
            </w:pPr>
            <w:r>
              <w:rPr>
                <w:color w:val="5F6A72"/>
                <w:spacing w:val="-7"/>
              </w:rPr>
              <w:t>BMI calculation                  Penalises a markets’</w:t>
            </w:r>
            <w:r>
              <w:rPr>
                <w:color w:val="5F6A72"/>
                <w:spacing w:val="-20"/>
              </w:rPr>
              <w:t xml:space="preserve"> </w:t>
            </w:r>
            <w:r>
              <w:rPr>
                <w:color w:val="5F6A72"/>
                <w:spacing w:val="-7"/>
              </w:rPr>
              <w:t>score if</w:t>
            </w:r>
            <w:r>
              <w:rPr>
                <w:color w:val="5F6A72"/>
                <w:spacing w:val="-20"/>
              </w:rPr>
              <w:t xml:space="preserve"> </w:t>
            </w:r>
            <w:r>
              <w:rPr>
                <w:color w:val="5F6A72"/>
                <w:spacing w:val="-7"/>
              </w:rPr>
              <w:t>fuels prices are sold at below market costs.</w:t>
            </w:r>
          </w:p>
        </w:tc>
      </w:tr>
      <w:tr w14:paraId="4D150F4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336" w:hRule="atLeast"/>
        </w:trPr>
        <w:tc>
          <w:tcPr>
            <w:tcW w:w="4290" w:type="dxa"/>
            <w:gridSpan w:val="2"/>
            <w:tcBorders>
              <w:left w:val="nil"/>
              <w:right w:val="single" w:color="D7DADB" w:sz="4" w:space="0"/>
            </w:tcBorders>
            <w:shd w:val="clear" w:color="auto" w:fill="EAF9FF"/>
            <w:vAlign w:val="top"/>
          </w:tcPr>
          <w:p w14:paraId="2ED70CBD">
            <w:pPr>
              <w:pStyle w:val="8"/>
              <w:spacing w:before="71" w:line="233" w:lineRule="auto"/>
              <w:ind w:left="23"/>
            </w:pPr>
            <w:r>
              <w:rPr>
                <w:i/>
                <w:iCs/>
                <w:color w:val="2A8ABF"/>
                <w:spacing w:val="-2"/>
                <w:w w:val="89"/>
              </w:rPr>
              <w:t>Country</w:t>
            </w:r>
            <w:r>
              <w:rPr>
                <w:i/>
                <w:iCs/>
                <w:color w:val="2A8ABF"/>
                <w:spacing w:val="-16"/>
              </w:rPr>
              <w:t xml:space="preserve"> </w:t>
            </w:r>
            <w:r>
              <w:rPr>
                <w:i/>
                <w:iCs/>
                <w:color w:val="2A8ABF"/>
                <w:spacing w:val="-2"/>
                <w:w w:val="89"/>
              </w:rPr>
              <w:t>Risks</w:t>
            </w:r>
          </w:p>
        </w:tc>
        <w:tc>
          <w:tcPr>
            <w:tcW w:w="5914" w:type="dxa"/>
            <w:tcBorders>
              <w:left w:val="single" w:color="D7DADB" w:sz="4" w:space="0"/>
              <w:right w:val="nil"/>
            </w:tcBorders>
            <w:shd w:val="clear" w:color="auto" w:fill="EAF9FF"/>
            <w:vAlign w:val="top"/>
          </w:tcPr>
          <w:p w14:paraId="79070E0E">
            <w:pPr>
              <w:pStyle w:val="8"/>
              <w:rPr>
                <w:sz w:val="21"/>
              </w:rPr>
            </w:pPr>
          </w:p>
        </w:tc>
      </w:tr>
      <w:tr w14:paraId="57548D7F">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2348" w:type="dxa"/>
            <w:tcBorders>
              <w:left w:val="nil"/>
            </w:tcBorders>
            <w:vAlign w:val="top"/>
          </w:tcPr>
          <w:p w14:paraId="6CE90B2E">
            <w:pPr>
              <w:pStyle w:val="8"/>
              <w:spacing w:before="69" w:line="291" w:lineRule="auto"/>
              <w:ind w:left="13" w:right="280"/>
            </w:pPr>
            <w:r>
              <w:rPr>
                <w:b/>
                <w:bCs/>
                <w:color w:val="2A8ABF"/>
                <w:spacing w:val="-11"/>
              </w:rPr>
              <w:t>Long-Term Economic Risk</w:t>
            </w:r>
            <w:r>
              <w:rPr>
                <w:b/>
                <w:bCs/>
                <w:color w:val="2A8ABF"/>
                <w:spacing w:val="17"/>
              </w:rPr>
              <w:t xml:space="preserve"> </w:t>
            </w:r>
            <w:r>
              <w:rPr>
                <w:b/>
                <w:bCs/>
                <w:color w:val="2A8ABF"/>
                <w:spacing w:val="-7"/>
              </w:rPr>
              <w:t>Index</w:t>
            </w:r>
          </w:p>
        </w:tc>
        <w:tc>
          <w:tcPr>
            <w:tcW w:w="7856" w:type="dxa"/>
            <w:gridSpan w:val="2"/>
            <w:tcBorders>
              <w:right w:val="nil"/>
            </w:tcBorders>
            <w:vAlign w:val="top"/>
          </w:tcPr>
          <w:p w14:paraId="741EE846">
            <w:pPr>
              <w:pStyle w:val="8"/>
              <w:spacing w:before="72" w:line="234" w:lineRule="auto"/>
              <w:ind w:left="86"/>
            </w:pPr>
            <w:r>
              <w:rPr>
                <w:color w:val="5F6A72"/>
                <w:spacing w:val="-8"/>
              </w:rPr>
              <w:t>BMI Country Risk Index      The Long-Term Economic Risk Index takes into account the structural</w:t>
            </w:r>
          </w:p>
          <w:p w14:paraId="0C70F805">
            <w:pPr>
              <w:pStyle w:val="8"/>
              <w:spacing w:before="48" w:line="234" w:lineRule="auto"/>
              <w:ind w:left="2015"/>
            </w:pPr>
            <w:r>
              <w:rPr>
                <w:color w:val="5F6A72"/>
                <w:spacing w:val="-5"/>
              </w:rPr>
              <w:t>characteristics of</w:t>
            </w:r>
            <w:r>
              <w:rPr>
                <w:color w:val="5F6A72"/>
                <w:spacing w:val="-15"/>
              </w:rPr>
              <w:t xml:space="preserve"> </w:t>
            </w:r>
            <w:r>
              <w:rPr>
                <w:color w:val="5F6A72"/>
                <w:spacing w:val="-5"/>
              </w:rPr>
              <w:t>economic growth, the labou</w:t>
            </w:r>
            <w:r>
              <w:rPr>
                <w:color w:val="5F6A72"/>
                <w:spacing w:val="-6"/>
              </w:rPr>
              <w:t>r market, price stability,</w:t>
            </w:r>
          </w:p>
          <w:p w14:paraId="03EC4A2A">
            <w:pPr>
              <w:pStyle w:val="8"/>
              <w:spacing w:before="47" w:line="271" w:lineRule="auto"/>
              <w:ind w:left="2007" w:right="342" w:firstLine="8"/>
            </w:pPr>
            <w:r>
              <w:rPr>
                <w:color w:val="5F6A72"/>
                <w:spacing w:val="-7"/>
              </w:rPr>
              <w:t>exchange rate stability and the sustainability of</w:t>
            </w:r>
            <w:r>
              <w:rPr>
                <w:color w:val="5F6A72"/>
                <w:spacing w:val="-3"/>
              </w:rPr>
              <w:t xml:space="preserve"> </w:t>
            </w:r>
            <w:r>
              <w:rPr>
                <w:color w:val="5F6A72"/>
                <w:spacing w:val="-7"/>
              </w:rPr>
              <w:t>the balance of payments, as</w:t>
            </w:r>
            <w:r>
              <w:rPr>
                <w:color w:val="5F6A72"/>
              </w:rPr>
              <w:t xml:space="preserve"> </w:t>
            </w:r>
            <w:r>
              <w:rPr>
                <w:color w:val="5F6A72"/>
                <w:spacing w:val="-6"/>
              </w:rPr>
              <w:t>well as fiscal and external deb</w:t>
            </w:r>
            <w:r>
              <w:rPr>
                <w:color w:val="5F6A72"/>
                <w:spacing w:val="-7"/>
              </w:rPr>
              <w:t>t outlooks</w:t>
            </w:r>
            <w:r>
              <w:rPr>
                <w:color w:val="5F6A72"/>
                <w:spacing w:val="-10"/>
              </w:rPr>
              <w:t xml:space="preserve"> </w:t>
            </w:r>
            <w:r>
              <w:rPr>
                <w:color w:val="5F6A72"/>
                <w:spacing w:val="-7"/>
              </w:rPr>
              <w:t>for</w:t>
            </w:r>
            <w:r>
              <w:rPr>
                <w:color w:val="5F6A72"/>
                <w:spacing w:val="-11"/>
              </w:rPr>
              <w:t xml:space="preserve"> </w:t>
            </w:r>
            <w:r>
              <w:rPr>
                <w:color w:val="5F6A72"/>
                <w:spacing w:val="-7"/>
              </w:rPr>
              <w:t>the coming</w:t>
            </w:r>
            <w:r>
              <w:rPr>
                <w:color w:val="5F6A72"/>
                <w:spacing w:val="-6"/>
              </w:rPr>
              <w:t xml:space="preserve"> </w:t>
            </w:r>
            <w:r>
              <w:rPr>
                <w:color w:val="5F6A72"/>
                <w:spacing w:val="-7"/>
              </w:rPr>
              <w:t>decade.</w:t>
            </w:r>
          </w:p>
        </w:tc>
      </w:tr>
      <w:tr w14:paraId="4B10BC66">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1085" w:hRule="atLeast"/>
        </w:trPr>
        <w:tc>
          <w:tcPr>
            <w:tcW w:w="2348" w:type="dxa"/>
            <w:tcBorders>
              <w:left w:val="nil"/>
            </w:tcBorders>
            <w:shd w:val="clear" w:color="auto" w:fill="EAF9FF"/>
            <w:vAlign w:val="top"/>
          </w:tcPr>
          <w:p w14:paraId="4DDC672D">
            <w:pPr>
              <w:pStyle w:val="8"/>
              <w:spacing w:before="70" w:line="291" w:lineRule="auto"/>
              <w:ind w:left="13" w:right="239" w:hanging="9"/>
            </w:pPr>
            <w:r>
              <w:rPr>
                <w:b/>
                <w:bCs/>
                <w:color w:val="2A8ABF"/>
                <w:spacing w:val="-9"/>
              </w:rPr>
              <w:t>Short-Term Economic Risk</w:t>
            </w:r>
            <w:r>
              <w:rPr>
                <w:b/>
                <w:bCs/>
                <w:color w:val="2A8ABF"/>
                <w:spacing w:val="1"/>
              </w:rPr>
              <w:t xml:space="preserve"> </w:t>
            </w:r>
            <w:r>
              <w:rPr>
                <w:b/>
                <w:bCs/>
                <w:color w:val="2A8ABF"/>
                <w:spacing w:val="-7"/>
              </w:rPr>
              <w:t>Index</w:t>
            </w:r>
          </w:p>
        </w:tc>
        <w:tc>
          <w:tcPr>
            <w:tcW w:w="7856" w:type="dxa"/>
            <w:gridSpan w:val="2"/>
            <w:tcBorders>
              <w:right w:val="nil"/>
            </w:tcBorders>
            <w:shd w:val="clear" w:color="auto" w:fill="EAF9FF"/>
            <w:vAlign w:val="top"/>
          </w:tcPr>
          <w:p w14:paraId="470DF46A">
            <w:pPr>
              <w:pStyle w:val="8"/>
              <w:spacing w:before="73" w:line="234" w:lineRule="auto"/>
              <w:ind w:left="86"/>
            </w:pPr>
            <w:r>
              <w:rPr>
                <w:color w:val="5F6A72"/>
                <w:spacing w:val="-8"/>
              </w:rPr>
              <w:t>BMI Country Risk Index      The Short-Term Economic Risk Index seeks to define current</w:t>
            </w:r>
            <w:r>
              <w:rPr>
                <w:color w:val="5F6A72"/>
                <w:spacing w:val="3"/>
              </w:rPr>
              <w:t xml:space="preserve"> </w:t>
            </w:r>
            <w:r>
              <w:rPr>
                <w:color w:val="5F6A72"/>
                <w:spacing w:val="-8"/>
              </w:rPr>
              <w:t>vulnerabilities</w:t>
            </w:r>
          </w:p>
          <w:p w14:paraId="75855F70">
            <w:pPr>
              <w:pStyle w:val="8"/>
              <w:spacing w:before="48" w:line="234" w:lineRule="auto"/>
              <w:ind w:left="2013"/>
            </w:pPr>
            <w:r>
              <w:rPr>
                <w:color w:val="5F6A72"/>
                <w:spacing w:val="-8"/>
              </w:rPr>
              <w:t>and assess real GDP growth, inflation, unemployment, exchange ra</w:t>
            </w:r>
            <w:r>
              <w:rPr>
                <w:color w:val="5F6A72"/>
                <w:spacing w:val="-9"/>
              </w:rPr>
              <w:t>te</w:t>
            </w:r>
          </w:p>
          <w:p w14:paraId="271E723C">
            <w:pPr>
              <w:pStyle w:val="8"/>
              <w:spacing w:before="47" w:line="271" w:lineRule="auto"/>
              <w:ind w:left="2014" w:right="219" w:hanging="4"/>
            </w:pPr>
            <w:r>
              <w:rPr>
                <w:color w:val="5F6A72"/>
                <w:spacing w:val="-7"/>
              </w:rPr>
              <w:t>fluctuation, balance of payments dynamics, as</w:t>
            </w:r>
            <w:r>
              <w:rPr>
                <w:color w:val="5F6A72"/>
                <w:spacing w:val="-14"/>
              </w:rPr>
              <w:t xml:space="preserve"> </w:t>
            </w:r>
            <w:r>
              <w:rPr>
                <w:color w:val="5F6A72"/>
                <w:spacing w:val="-7"/>
              </w:rPr>
              <w:t>well as fiscal a</w:t>
            </w:r>
            <w:r>
              <w:rPr>
                <w:color w:val="5F6A72"/>
                <w:spacing w:val="-8"/>
              </w:rPr>
              <w:t>nd external</w:t>
            </w:r>
            <w:r>
              <w:rPr>
                <w:color w:val="5F6A72"/>
                <w:spacing w:val="-6"/>
              </w:rPr>
              <w:t xml:space="preserve"> </w:t>
            </w:r>
            <w:r>
              <w:rPr>
                <w:color w:val="5F6A72"/>
                <w:spacing w:val="-8"/>
              </w:rPr>
              <w:t>debt</w:t>
            </w:r>
            <w:r>
              <w:rPr>
                <w:color w:val="5F6A72"/>
              </w:rPr>
              <w:t xml:space="preserve"> </w:t>
            </w:r>
            <w:r>
              <w:rPr>
                <w:color w:val="5F6A72"/>
                <w:spacing w:val="-6"/>
              </w:rPr>
              <w:t>credentials over the coming</w:t>
            </w:r>
            <w:r>
              <w:rPr>
                <w:color w:val="5F6A72"/>
                <w:spacing w:val="-10"/>
              </w:rPr>
              <w:t xml:space="preserve"> </w:t>
            </w:r>
            <w:r>
              <w:rPr>
                <w:color w:val="5F6A72"/>
                <w:spacing w:val="-6"/>
              </w:rPr>
              <w:t>tw</w:t>
            </w:r>
            <w:r>
              <w:rPr>
                <w:color w:val="5F6A72"/>
                <w:spacing w:val="-7"/>
              </w:rPr>
              <w:t>o</w:t>
            </w:r>
            <w:r>
              <w:rPr>
                <w:color w:val="5F6A72"/>
                <w:spacing w:val="-14"/>
              </w:rPr>
              <w:t xml:space="preserve"> </w:t>
            </w:r>
            <w:r>
              <w:rPr>
                <w:color w:val="5F6A72"/>
                <w:spacing w:val="-7"/>
              </w:rPr>
              <w:t>years.</w:t>
            </w:r>
          </w:p>
        </w:tc>
      </w:tr>
      <w:tr w14:paraId="0409328B">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836" w:hRule="atLeast"/>
        </w:trPr>
        <w:tc>
          <w:tcPr>
            <w:tcW w:w="2348" w:type="dxa"/>
            <w:tcBorders>
              <w:left w:val="nil"/>
            </w:tcBorders>
            <w:vAlign w:val="top"/>
          </w:tcPr>
          <w:p w14:paraId="5FED9A8C">
            <w:pPr>
              <w:pStyle w:val="8"/>
              <w:spacing w:before="72" w:line="244" w:lineRule="exact"/>
              <w:ind w:left="13"/>
            </w:pPr>
            <w:r>
              <w:rPr>
                <w:b/>
                <w:bCs/>
                <w:color w:val="2A8ABF"/>
                <w:spacing w:val="-8"/>
                <w:position w:val="1"/>
              </w:rPr>
              <w:t>Political Risk Index</w:t>
            </w:r>
          </w:p>
        </w:tc>
        <w:tc>
          <w:tcPr>
            <w:tcW w:w="7856" w:type="dxa"/>
            <w:gridSpan w:val="2"/>
            <w:tcBorders>
              <w:right w:val="nil"/>
            </w:tcBorders>
            <w:vAlign w:val="top"/>
          </w:tcPr>
          <w:p w14:paraId="3CFF245C">
            <w:pPr>
              <w:pStyle w:val="8"/>
              <w:spacing w:before="74" w:line="234" w:lineRule="auto"/>
              <w:ind w:left="86"/>
            </w:pPr>
            <w:r>
              <w:rPr>
                <w:color w:val="5F6A72"/>
                <w:spacing w:val="-8"/>
              </w:rPr>
              <w:t>BMI Country Risk Index      The Pol</w:t>
            </w:r>
            <w:r>
              <w:rPr>
                <w:color w:val="5F6A72"/>
                <w:spacing w:val="-9"/>
              </w:rPr>
              <w:t>itical Risk Index is a score made up of</w:t>
            </w:r>
            <w:r>
              <w:rPr>
                <w:color w:val="5F6A72"/>
                <w:spacing w:val="-20"/>
              </w:rPr>
              <w:t xml:space="preserve"> </w:t>
            </w:r>
            <w:r>
              <w:rPr>
                <w:color w:val="5F6A72"/>
                <w:spacing w:val="-9"/>
              </w:rPr>
              <w:t>the mean average across three</w:t>
            </w:r>
          </w:p>
          <w:p w14:paraId="22BC0A7A">
            <w:pPr>
              <w:pStyle w:val="8"/>
              <w:spacing w:before="47" w:line="271" w:lineRule="auto"/>
              <w:ind w:left="2013" w:right="515" w:firstLine="1"/>
            </w:pPr>
            <w:r>
              <w:rPr>
                <w:color w:val="5F6A72"/>
                <w:spacing w:val="-9"/>
              </w:rPr>
              <w:t>distinct pillars: Governance Risk, Society Risk and Security Ris</w:t>
            </w:r>
            <w:r>
              <w:rPr>
                <w:color w:val="5F6A72"/>
                <w:spacing w:val="-10"/>
              </w:rPr>
              <w:t>k. These are</w:t>
            </w:r>
            <w:r>
              <w:rPr>
                <w:color w:val="5F6A72"/>
              </w:rPr>
              <w:t xml:space="preserve"> </w:t>
            </w:r>
            <w:r>
              <w:rPr>
                <w:color w:val="5F6A72"/>
                <w:spacing w:val="-7"/>
              </w:rPr>
              <w:t>aggregated into an over</w:t>
            </w:r>
            <w:r>
              <w:rPr>
                <w:color w:val="5F6A72"/>
                <w:spacing w:val="-8"/>
              </w:rPr>
              <w:t>all assessment of Political Risk.</w:t>
            </w:r>
          </w:p>
        </w:tc>
      </w:tr>
      <w:tr w14:paraId="1443E285">
        <w:tblPrEx>
          <w:tblBorders>
            <w:top w:val="single" w:color="D7DADB" w:sz="6" w:space="0"/>
            <w:left w:val="single" w:color="D7DADB" w:sz="6" w:space="0"/>
            <w:bottom w:val="single" w:color="D7DADB" w:sz="6" w:space="0"/>
            <w:right w:val="single" w:color="D7DADB" w:sz="6" w:space="0"/>
            <w:insideH w:val="single" w:color="D7DADB" w:sz="6" w:space="0"/>
            <w:insideV w:val="single" w:color="D7DADB" w:sz="6" w:space="0"/>
          </w:tblBorders>
          <w:tblCellMar>
            <w:top w:w="0" w:type="dxa"/>
            <w:left w:w="0" w:type="dxa"/>
            <w:bottom w:w="0" w:type="dxa"/>
            <w:right w:w="0" w:type="dxa"/>
          </w:tblCellMar>
        </w:tblPrEx>
        <w:trPr>
          <w:trHeight w:val="740" w:hRule="atLeast"/>
        </w:trPr>
        <w:tc>
          <w:tcPr>
            <w:tcW w:w="4290" w:type="dxa"/>
            <w:gridSpan w:val="2"/>
            <w:tcBorders>
              <w:left w:val="nil"/>
              <w:bottom w:val="single" w:color="000000" w:sz="4" w:space="0"/>
              <w:right w:val="nil"/>
            </w:tcBorders>
            <w:vAlign w:val="top"/>
          </w:tcPr>
          <w:p w14:paraId="1C74DEC1">
            <w:pPr>
              <w:pStyle w:val="8"/>
              <w:spacing w:before="73" w:line="209" w:lineRule="exact"/>
              <w:ind w:left="8"/>
            </w:pPr>
            <w:r>
              <mc:AlternateContent>
                <mc:Choice Requires="wps">
                  <w:drawing>
                    <wp:anchor distT="0" distB="0" distL="0" distR="0" simplePos="0" relativeHeight="252008448" behindDoc="1" locked="0" layoutInCell="1" allowOverlap="1">
                      <wp:simplePos x="0" y="0"/>
                      <wp:positionH relativeFrom="column">
                        <wp:posOffset>0</wp:posOffset>
                      </wp:positionH>
                      <wp:positionV relativeFrom="paragraph">
                        <wp:posOffset>-7620</wp:posOffset>
                      </wp:positionV>
                      <wp:extent cx="6480175" cy="382270"/>
                      <wp:effectExtent l="0" t="0" r="0" b="0"/>
                      <wp:wrapNone/>
                      <wp:docPr id="990" name="Rect 990"/>
                      <wp:cNvGraphicFramePr/>
                      <a:graphic xmlns:a="http://schemas.openxmlformats.org/drawingml/2006/main">
                        <a:graphicData uri="http://schemas.microsoft.com/office/word/2010/wordprocessingShape">
                          <wps:wsp>
                            <wps:cNvSpPr/>
                            <wps:spPr>
                              <a:xfrm>
                                <a:off x="0" y="-7743"/>
                                <a:ext cx="6480175" cy="382270"/>
                              </a:xfrm>
                              <a:prstGeom prst="rect">
                                <a:avLst/>
                              </a:prstGeom>
                              <a:solidFill>
                                <a:srgbClr val="33CCFF">
                                  <a:alpha val="980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90" o:spid="_x0000_s1026" o:spt="1" style="position:absolute;left:0pt;margin-left:0pt;margin-top:-0.6pt;height:30.1pt;width:510.25pt;z-index:-251308032;mso-width-relative:page;mso-height-relative:page;" fillcolor="#33CCFF" filled="t" stroked="f" coordsize="21600,21600" o:gfxdata="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xfBzB1QAAAAcBAAAPAAAAAAAAAAEAIAAAACIAAABkcnMvZG93&#10;bnJldi54bWxQSwECFAAUAAAACACHTuJATPYP1DwCAACKBAAADgAAAAAAAAABACAAAAAkAQAAZHJz&#10;L2Uyb0RvYy54bWxQSwUGAAAAAAYABgBZAQAA0gUAAAAA&#10;">
                      <v:fill on="t" opacity="6424f" focussize="0,0"/>
                      <v:stroke on="f" weight="0pt"/>
                      <v:imagedata o:title=""/>
                      <o:lock v:ext="edit" aspectratio="f"/>
                      <v:textbox inset="0mm,0mm,0mm,0mm"/>
                    </v:rect>
                  </w:pict>
                </mc:Fallback>
              </mc:AlternateContent>
            </w:r>
            <w:r>
              <w:rPr>
                <w:b/>
                <w:bCs/>
                <w:color w:val="2A8ABF"/>
                <w:spacing w:val="-7"/>
                <w:position w:val="2"/>
              </w:rPr>
              <w:t xml:space="preserve">Operational Risk Index              </w:t>
            </w:r>
            <w:r>
              <w:rPr>
                <w:color w:val="5F6A72"/>
                <w:spacing w:val="-7"/>
                <w:position w:val="2"/>
              </w:rPr>
              <w:t>B</w:t>
            </w:r>
            <w:r>
              <w:rPr>
                <w:color w:val="5F6A72"/>
                <w:spacing w:val="-8"/>
                <w:position w:val="2"/>
              </w:rPr>
              <w:t>MI Operational Risk</w:t>
            </w:r>
          </w:p>
          <w:p w14:paraId="16E43D42">
            <w:pPr>
              <w:pStyle w:val="8"/>
              <w:spacing w:before="42" w:line="238" w:lineRule="exact"/>
              <w:ind w:left="2442"/>
            </w:pPr>
            <w:r>
              <w:rPr>
                <w:color w:val="5F6A72"/>
                <w:spacing w:val="-8"/>
                <w:position w:val="1"/>
              </w:rPr>
              <w:t>Index</w:t>
            </w:r>
          </w:p>
        </w:tc>
        <w:tc>
          <w:tcPr>
            <w:tcW w:w="5914" w:type="dxa"/>
            <w:tcBorders>
              <w:left w:val="nil"/>
              <w:bottom w:val="single" w:color="000000" w:sz="4" w:space="0"/>
              <w:right w:val="nil"/>
            </w:tcBorders>
            <w:vAlign w:val="top"/>
          </w:tcPr>
          <w:p w14:paraId="082F2AB2">
            <w:pPr>
              <w:pStyle w:val="8"/>
              <w:spacing w:before="75" w:line="234" w:lineRule="auto"/>
              <w:ind w:left="81"/>
            </w:pPr>
            <w:r>
              <w:rPr>
                <w:color w:val="5F6A72"/>
                <w:spacing w:val="-7"/>
              </w:rPr>
              <w:t>Our Operational Risk Index focuses on existing conditions relating to four main</w:t>
            </w:r>
          </w:p>
          <w:p w14:paraId="2903AFF5">
            <w:pPr>
              <w:pStyle w:val="8"/>
              <w:spacing w:before="48" w:line="234" w:lineRule="auto"/>
              <w:ind w:left="85"/>
            </w:pPr>
            <w:r>
              <w:rPr>
                <w:color w:val="5F6A72"/>
                <w:spacing w:val="-8"/>
              </w:rPr>
              <w:t xml:space="preserve">risk areas: Labour Market, Trade &amp; </w:t>
            </w:r>
            <w:r>
              <w:rPr>
                <w:color w:val="5F6A72"/>
                <w:spacing w:val="-9"/>
              </w:rPr>
              <w:t>Investment, Logistics, and Crime &amp; Security.</w:t>
            </w:r>
          </w:p>
        </w:tc>
      </w:tr>
    </w:tbl>
    <w:p w14:paraId="298192C0">
      <w:pPr>
        <w:pStyle w:val="4"/>
        <w:spacing w:before="20" w:line="186" w:lineRule="auto"/>
        <w:ind w:left="368"/>
        <w:rPr>
          <w:sz w:val="15"/>
          <w:szCs w:val="15"/>
        </w:rPr>
      </w:pPr>
      <w:r>
        <w:rPr>
          <w:i/>
          <w:iCs/>
          <w:color w:val="333333"/>
          <w:spacing w:val="-7"/>
          <w:w w:val="93"/>
          <w:sz w:val="15"/>
          <w:szCs w:val="15"/>
        </w:rPr>
        <w:t>Source: BMI</w:t>
      </w:r>
    </w:p>
    <w:p w14:paraId="7114DD1A">
      <w:pPr>
        <w:spacing w:line="186" w:lineRule="auto"/>
        <w:rPr>
          <w:sz w:val="15"/>
          <w:szCs w:val="15"/>
        </w:rPr>
        <w:sectPr>
          <w:footerReference r:id="rId103" w:type="default"/>
          <w:pgSz w:w="11906" w:h="16838"/>
          <w:pgMar w:top="400" w:right="490" w:bottom="883" w:left="490" w:header="0" w:footer="0" w:gutter="0"/>
          <w:cols w:space="720" w:num="1"/>
        </w:sectPr>
      </w:pPr>
    </w:p>
    <w:p w14:paraId="51075C1F">
      <w:pPr>
        <w:pStyle w:val="4"/>
        <w:spacing w:line="260" w:lineRule="auto"/>
      </w:pPr>
    </w:p>
    <w:p w14:paraId="0A7C730D">
      <w:pPr>
        <w:pStyle w:val="4"/>
        <w:spacing w:line="261" w:lineRule="auto"/>
      </w:pPr>
    </w:p>
    <w:p w14:paraId="12A6D4CA">
      <w:pPr>
        <w:pStyle w:val="4"/>
        <w:spacing w:line="261" w:lineRule="auto"/>
      </w:pPr>
    </w:p>
    <w:p w14:paraId="2FB849CB">
      <w:pPr>
        <w:pStyle w:val="4"/>
        <w:spacing w:line="261" w:lineRule="auto"/>
      </w:pPr>
    </w:p>
    <w:p w14:paraId="1589AF1F">
      <w:pPr>
        <w:pStyle w:val="4"/>
        <w:spacing w:line="261" w:lineRule="auto"/>
      </w:pPr>
    </w:p>
    <w:p w14:paraId="544F9E79">
      <w:pPr>
        <w:spacing w:line="600" w:lineRule="exact"/>
      </w:pPr>
      <w:r>
        <w:rPr>
          <w:position w:val="-12"/>
        </w:rPr>
        <w:drawing>
          <wp:inline distT="0" distB="0" distL="0" distR="0">
            <wp:extent cx="1326515" cy="381000"/>
            <wp:effectExtent l="0" t="0" r="0" b="0"/>
            <wp:docPr id="992" name="IM 992"/>
            <wp:cNvGraphicFramePr/>
            <a:graphic xmlns:a="http://schemas.openxmlformats.org/drawingml/2006/main">
              <a:graphicData uri="http://schemas.openxmlformats.org/drawingml/2006/picture">
                <pic:pic xmlns:pic="http://schemas.openxmlformats.org/drawingml/2006/picture">
                  <pic:nvPicPr>
                    <pic:cNvPr id="992" name="IM 992"/>
                    <pic:cNvPicPr/>
                  </pic:nvPicPr>
                  <pic:blipFill>
                    <a:blip r:embed="rId162"/>
                    <a:stretch>
                      <a:fillRect/>
                    </a:stretch>
                  </pic:blipFill>
                  <pic:spPr>
                    <a:xfrm>
                      <a:off x="0" y="0"/>
                      <a:ext cx="1326705" cy="381075"/>
                    </a:xfrm>
                    <a:prstGeom prst="rect">
                      <a:avLst/>
                    </a:prstGeom>
                  </pic:spPr>
                </pic:pic>
              </a:graphicData>
            </a:graphic>
          </wp:inline>
        </w:drawing>
      </w:r>
    </w:p>
    <w:p w14:paraId="0E3E0604">
      <w:pPr>
        <w:pStyle w:val="4"/>
        <w:spacing w:before="123" w:line="194" w:lineRule="auto"/>
        <w:ind w:left="6"/>
        <w:rPr>
          <w:sz w:val="18"/>
          <w:szCs w:val="18"/>
        </w:rPr>
      </w:pPr>
      <w:r>
        <w:rPr>
          <w:color w:val="174173"/>
          <w:spacing w:val="3"/>
          <w:sz w:val="18"/>
          <w:szCs w:val="18"/>
        </w:rPr>
        <w:t>a</w:t>
      </w:r>
      <w:r>
        <w:rPr>
          <w:color w:val="174173"/>
          <w:spacing w:val="36"/>
          <w:sz w:val="18"/>
          <w:szCs w:val="18"/>
        </w:rPr>
        <w:t xml:space="preserve"> </w:t>
      </w:r>
      <w:r>
        <w:rPr>
          <w:color w:val="174173"/>
          <w:spacing w:val="3"/>
          <w:sz w:val="18"/>
          <w:szCs w:val="18"/>
        </w:rPr>
        <w:t>Fitchsolutions</w:t>
      </w:r>
      <w:r>
        <w:rPr>
          <w:color w:val="174173"/>
          <w:spacing w:val="20"/>
          <w:sz w:val="18"/>
          <w:szCs w:val="18"/>
        </w:rPr>
        <w:t xml:space="preserve"> </w:t>
      </w:r>
      <w:r>
        <w:rPr>
          <w:color w:val="174173"/>
          <w:spacing w:val="3"/>
          <w:sz w:val="18"/>
          <w:szCs w:val="18"/>
        </w:rPr>
        <w:t>company</w:t>
      </w:r>
    </w:p>
    <w:p w14:paraId="5CFC6C70">
      <w:pPr>
        <w:pStyle w:val="4"/>
        <w:spacing w:line="357" w:lineRule="auto"/>
      </w:pPr>
    </w:p>
    <w:p w14:paraId="2FF50628">
      <w:pPr>
        <w:pStyle w:val="4"/>
        <w:spacing w:before="57" w:line="257" w:lineRule="exact"/>
        <w:ind w:left="12"/>
        <w:rPr>
          <w:sz w:val="20"/>
          <w:szCs w:val="20"/>
        </w:rPr>
      </w:pPr>
      <w:r>
        <w:rPr>
          <w:color w:val="174174"/>
          <w:spacing w:val="10"/>
          <w:position w:val="3"/>
          <w:sz w:val="20"/>
          <w:szCs w:val="20"/>
        </w:rPr>
        <w:t>30 North Colonnade, Canary Wharf, London,</w:t>
      </w:r>
      <w:r>
        <w:rPr>
          <w:color w:val="174174"/>
          <w:spacing w:val="25"/>
          <w:w w:val="101"/>
          <w:position w:val="3"/>
          <w:sz w:val="20"/>
          <w:szCs w:val="20"/>
        </w:rPr>
        <w:t xml:space="preserve"> </w:t>
      </w:r>
      <w:r>
        <w:rPr>
          <w:color w:val="174174"/>
          <w:spacing w:val="10"/>
          <w:position w:val="3"/>
          <w:sz w:val="20"/>
          <w:szCs w:val="20"/>
        </w:rPr>
        <w:t>E14 5GN,</w:t>
      </w:r>
      <w:r>
        <w:rPr>
          <w:color w:val="174174"/>
          <w:spacing w:val="16"/>
          <w:position w:val="3"/>
          <w:sz w:val="20"/>
          <w:szCs w:val="20"/>
        </w:rPr>
        <w:t xml:space="preserve"> </w:t>
      </w:r>
      <w:r>
        <w:rPr>
          <w:color w:val="174174"/>
          <w:spacing w:val="10"/>
          <w:position w:val="3"/>
          <w:sz w:val="20"/>
          <w:szCs w:val="20"/>
        </w:rPr>
        <w:t>UK</w:t>
      </w:r>
    </w:p>
    <w:p w14:paraId="14426186">
      <w:pPr>
        <w:pStyle w:val="4"/>
        <w:spacing w:before="98" w:line="257" w:lineRule="exact"/>
        <w:ind w:left="12"/>
        <w:rPr>
          <w:sz w:val="20"/>
          <w:szCs w:val="20"/>
        </w:rPr>
      </w:pPr>
      <w:r>
        <w:rPr>
          <w:color w:val="174174"/>
          <w:position w:val="3"/>
          <w:sz w:val="20"/>
          <w:szCs w:val="20"/>
        </w:rPr>
        <w:t>Tel</w:t>
      </w:r>
      <w:r>
        <w:rPr>
          <w:color w:val="174174"/>
          <w:spacing w:val="14"/>
          <w:position w:val="3"/>
          <w:sz w:val="20"/>
          <w:szCs w:val="20"/>
        </w:rPr>
        <w:t>: +44 (0)20</w:t>
      </w:r>
      <w:r>
        <w:rPr>
          <w:color w:val="174174"/>
          <w:spacing w:val="29"/>
          <w:position w:val="3"/>
          <w:sz w:val="20"/>
          <w:szCs w:val="20"/>
        </w:rPr>
        <w:t xml:space="preserve"> </w:t>
      </w:r>
      <w:r>
        <w:rPr>
          <w:color w:val="174174"/>
          <w:spacing w:val="14"/>
          <w:position w:val="3"/>
          <w:sz w:val="20"/>
          <w:szCs w:val="20"/>
        </w:rPr>
        <w:t>7248</w:t>
      </w:r>
      <w:r>
        <w:rPr>
          <w:color w:val="174174"/>
          <w:spacing w:val="17"/>
          <w:position w:val="3"/>
          <w:sz w:val="20"/>
          <w:szCs w:val="20"/>
        </w:rPr>
        <w:t xml:space="preserve"> </w:t>
      </w:r>
      <w:r>
        <w:rPr>
          <w:color w:val="174174"/>
          <w:spacing w:val="14"/>
          <w:position w:val="3"/>
          <w:sz w:val="20"/>
          <w:szCs w:val="20"/>
        </w:rPr>
        <w:t>0468</w:t>
      </w:r>
    </w:p>
    <w:p w14:paraId="73E20104">
      <w:pPr>
        <w:pStyle w:val="4"/>
        <w:spacing w:before="101" w:line="248" w:lineRule="exact"/>
        <w:ind w:left="22"/>
        <w:rPr>
          <w:sz w:val="20"/>
          <w:szCs w:val="20"/>
        </w:rPr>
      </w:pPr>
      <w:r>
        <w:rPr>
          <w:color w:val="174174"/>
          <w:position w:val="2"/>
          <w:sz w:val="20"/>
          <w:szCs w:val="20"/>
        </w:rPr>
        <w:t>Fax</w:t>
      </w:r>
      <w:r>
        <w:rPr>
          <w:color w:val="174174"/>
          <w:spacing w:val="14"/>
          <w:position w:val="2"/>
          <w:sz w:val="20"/>
          <w:szCs w:val="20"/>
        </w:rPr>
        <w:t>: +44 (0)20</w:t>
      </w:r>
      <w:r>
        <w:rPr>
          <w:color w:val="174174"/>
          <w:spacing w:val="27"/>
          <w:position w:val="2"/>
          <w:sz w:val="20"/>
          <w:szCs w:val="20"/>
        </w:rPr>
        <w:t xml:space="preserve"> </w:t>
      </w:r>
      <w:r>
        <w:rPr>
          <w:color w:val="174174"/>
          <w:spacing w:val="14"/>
          <w:position w:val="2"/>
          <w:sz w:val="20"/>
          <w:szCs w:val="20"/>
        </w:rPr>
        <w:t>7248</w:t>
      </w:r>
      <w:r>
        <w:rPr>
          <w:color w:val="174174"/>
          <w:spacing w:val="17"/>
          <w:position w:val="2"/>
          <w:sz w:val="20"/>
          <w:szCs w:val="20"/>
        </w:rPr>
        <w:t xml:space="preserve"> </w:t>
      </w:r>
      <w:r>
        <w:rPr>
          <w:color w:val="174174"/>
          <w:spacing w:val="14"/>
          <w:position w:val="2"/>
          <w:sz w:val="20"/>
          <w:szCs w:val="20"/>
        </w:rPr>
        <w:t>0467</w:t>
      </w:r>
    </w:p>
    <w:p w14:paraId="08FE8363">
      <w:pPr>
        <w:pStyle w:val="4"/>
        <w:spacing w:before="104" w:line="257" w:lineRule="exact"/>
        <w:ind w:left="11"/>
        <w:rPr>
          <w:sz w:val="20"/>
          <w:szCs w:val="20"/>
        </w:rPr>
      </w:pPr>
      <w:r>
        <w:rPr>
          <w:color w:val="174174"/>
          <w:spacing w:val="13"/>
          <w:position w:val="1"/>
          <w:sz w:val="20"/>
          <w:szCs w:val="20"/>
        </w:rPr>
        <w:t xml:space="preserve">Web: </w:t>
      </w:r>
      <w:r>
        <w:fldChar w:fldCharType="begin"/>
      </w:r>
      <w:r>
        <w:instrText xml:space="preserve"> HYPERLINK "https://www.fitchsolutions.com/bmiIISSSSNN::1748-3808" </w:instrText>
      </w:r>
      <w:r>
        <w:fldChar w:fldCharType="separate"/>
      </w:r>
      <w:r>
        <w:rPr>
          <w:color w:val="174174"/>
          <w:spacing w:val="13"/>
          <w:position w:val="1"/>
          <w:sz w:val="20"/>
          <w:szCs w:val="20"/>
        </w:rPr>
        <w:t>www.fitchsolutions.com/bmi</w:t>
      </w:r>
      <w:r>
        <w:rPr>
          <w:color w:val="174174"/>
          <w:spacing w:val="13"/>
          <w:position w:val="1"/>
          <w:sz w:val="20"/>
          <w:szCs w:val="20"/>
        </w:rPr>
        <w:fldChar w:fldCharType="end"/>
      </w:r>
    </w:p>
    <w:p w14:paraId="3DBB9BC8">
      <w:pPr>
        <w:pStyle w:val="4"/>
        <w:spacing w:line="266" w:lineRule="auto"/>
      </w:pPr>
    </w:p>
    <w:p w14:paraId="3E4FE272">
      <w:pPr>
        <w:pStyle w:val="4"/>
        <w:spacing w:line="266" w:lineRule="auto"/>
      </w:pPr>
    </w:p>
    <w:p w14:paraId="2FCC0F3D">
      <w:pPr>
        <w:pStyle w:val="4"/>
        <w:spacing w:before="57" w:line="257" w:lineRule="exact"/>
        <w:ind w:left="19"/>
        <w:rPr>
          <w:sz w:val="20"/>
          <w:szCs w:val="20"/>
        </w:rPr>
      </w:pPr>
      <w:r>
        <w:fldChar w:fldCharType="begin"/>
      </w:r>
      <w:r>
        <w:instrText xml:space="preserve"> HYPERLINK "https://www.fitchsolutions.com/bmiIISSSSNN::1748-3808" </w:instrText>
      </w:r>
      <w:r>
        <w:fldChar w:fldCharType="separate"/>
      </w:r>
      <w:r>
        <w:rPr>
          <w:color w:val="174174"/>
          <w:spacing w:val="-20"/>
          <w:w w:val="88"/>
          <w:position w:val="1"/>
          <w:sz w:val="20"/>
          <w:szCs w:val="20"/>
        </w:rPr>
        <w:t>IISSSSNN::</w:t>
      </w:r>
      <w:r>
        <w:rPr>
          <w:color w:val="174174"/>
          <w:spacing w:val="9"/>
          <w:position w:val="1"/>
          <w:sz w:val="20"/>
          <w:szCs w:val="20"/>
        </w:rPr>
        <w:t xml:space="preserve"> </w:t>
      </w:r>
      <w:r>
        <w:rPr>
          <w:color w:val="174174"/>
          <w:spacing w:val="-20"/>
          <w:w w:val="88"/>
          <w:position w:val="1"/>
          <w:sz w:val="20"/>
          <w:szCs w:val="20"/>
        </w:rPr>
        <w:t>1748-3808</w:t>
      </w:r>
      <w:r>
        <w:rPr>
          <w:color w:val="174174"/>
          <w:spacing w:val="-20"/>
          <w:w w:val="88"/>
          <w:position w:val="1"/>
          <w:sz w:val="20"/>
          <w:szCs w:val="20"/>
        </w:rPr>
        <w:fldChar w:fldCharType="end"/>
      </w:r>
    </w:p>
    <w:p w14:paraId="0A537AE5">
      <w:pPr>
        <w:pStyle w:val="4"/>
        <w:spacing w:before="152" w:line="257" w:lineRule="exact"/>
        <w:ind w:left="15"/>
        <w:rPr>
          <w:sz w:val="20"/>
          <w:szCs w:val="20"/>
        </w:rPr>
      </w:pPr>
      <w:r>
        <w:rPr>
          <w:color w:val="174174"/>
          <w:position w:val="3"/>
          <w:sz w:val="20"/>
          <w:szCs w:val="20"/>
        </w:rPr>
        <w:t>Copy</w:t>
      </w:r>
      <w:r>
        <w:rPr>
          <w:color w:val="174174"/>
          <w:spacing w:val="18"/>
          <w:position w:val="3"/>
          <w:sz w:val="20"/>
          <w:szCs w:val="20"/>
        </w:rPr>
        <w:t xml:space="preserve"> </w:t>
      </w:r>
      <w:r>
        <w:rPr>
          <w:color w:val="174174"/>
          <w:position w:val="3"/>
          <w:sz w:val="20"/>
          <w:szCs w:val="20"/>
        </w:rPr>
        <w:t>Deadline</w:t>
      </w:r>
      <w:r>
        <w:rPr>
          <w:color w:val="174174"/>
          <w:spacing w:val="7"/>
          <w:position w:val="3"/>
          <w:sz w:val="20"/>
          <w:szCs w:val="20"/>
        </w:rPr>
        <w:t>:</w:t>
      </w:r>
      <w:r>
        <w:rPr>
          <w:color w:val="174174"/>
          <w:spacing w:val="-20"/>
          <w:position w:val="3"/>
          <w:sz w:val="20"/>
          <w:szCs w:val="20"/>
        </w:rPr>
        <w:t xml:space="preserve"> </w:t>
      </w:r>
      <w:r>
        <w:rPr>
          <w:color w:val="174174"/>
          <w:position w:val="3"/>
          <w:sz w:val="20"/>
          <w:szCs w:val="20"/>
        </w:rPr>
        <w:t>April</w:t>
      </w:r>
      <w:r>
        <w:rPr>
          <w:color w:val="174174"/>
          <w:spacing w:val="7"/>
          <w:position w:val="3"/>
          <w:sz w:val="20"/>
          <w:szCs w:val="20"/>
        </w:rPr>
        <w:t xml:space="preserve"> 2025</w:t>
      </w:r>
    </w:p>
    <w:p w14:paraId="696CDE30">
      <w:pPr>
        <w:pStyle w:val="4"/>
      </w:pPr>
    </w:p>
    <w:p w14:paraId="12D3123F">
      <w:pPr>
        <w:pStyle w:val="4"/>
      </w:pPr>
    </w:p>
    <w:p w14:paraId="239BADF9">
      <w:pPr>
        <w:pStyle w:val="4"/>
      </w:pPr>
    </w:p>
    <w:p w14:paraId="3F66996B">
      <w:pPr>
        <w:pStyle w:val="4"/>
      </w:pPr>
    </w:p>
    <w:p w14:paraId="395DA6AA">
      <w:pPr>
        <w:pStyle w:val="4"/>
      </w:pPr>
    </w:p>
    <w:p w14:paraId="1CB0F63C">
      <w:pPr>
        <w:pStyle w:val="4"/>
      </w:pPr>
    </w:p>
    <w:p w14:paraId="2DA268AF">
      <w:pPr>
        <w:pStyle w:val="4"/>
      </w:pPr>
    </w:p>
    <w:p w14:paraId="27514780">
      <w:pPr>
        <w:pStyle w:val="4"/>
      </w:pPr>
    </w:p>
    <w:p w14:paraId="0A7DFBF2">
      <w:pPr>
        <w:pStyle w:val="4"/>
        <w:spacing w:line="241" w:lineRule="auto"/>
      </w:pPr>
    </w:p>
    <w:p w14:paraId="1C5179FF">
      <w:pPr>
        <w:pStyle w:val="4"/>
        <w:spacing w:line="241" w:lineRule="auto"/>
      </w:pPr>
    </w:p>
    <w:p w14:paraId="772B737C">
      <w:pPr>
        <w:pStyle w:val="4"/>
        <w:spacing w:line="241" w:lineRule="auto"/>
      </w:pPr>
    </w:p>
    <w:p w14:paraId="1F1AB7BF">
      <w:pPr>
        <w:pStyle w:val="4"/>
        <w:spacing w:line="241" w:lineRule="auto"/>
      </w:pPr>
    </w:p>
    <w:p w14:paraId="133F9850">
      <w:pPr>
        <w:pStyle w:val="4"/>
        <w:spacing w:line="241" w:lineRule="auto"/>
      </w:pPr>
    </w:p>
    <w:p w14:paraId="3D1518AD">
      <w:pPr>
        <w:pStyle w:val="4"/>
        <w:spacing w:line="241" w:lineRule="auto"/>
      </w:pPr>
    </w:p>
    <w:p w14:paraId="02ABAA94">
      <w:pPr>
        <w:pStyle w:val="4"/>
        <w:spacing w:line="241" w:lineRule="auto"/>
      </w:pPr>
    </w:p>
    <w:p w14:paraId="49EEBE9D">
      <w:pPr>
        <w:pStyle w:val="4"/>
        <w:spacing w:line="241" w:lineRule="auto"/>
      </w:pPr>
    </w:p>
    <w:p w14:paraId="78A7D562">
      <w:pPr>
        <w:pStyle w:val="4"/>
        <w:spacing w:line="241" w:lineRule="auto"/>
      </w:pPr>
    </w:p>
    <w:p w14:paraId="2633B4CE">
      <w:pPr>
        <w:pStyle w:val="4"/>
        <w:spacing w:line="241" w:lineRule="auto"/>
      </w:pPr>
    </w:p>
    <w:p w14:paraId="6F0D8AB6">
      <w:pPr>
        <w:pStyle w:val="4"/>
        <w:spacing w:line="241" w:lineRule="auto"/>
      </w:pPr>
    </w:p>
    <w:p w14:paraId="5D8C5644">
      <w:pPr>
        <w:pStyle w:val="4"/>
        <w:spacing w:line="241" w:lineRule="auto"/>
      </w:pPr>
    </w:p>
    <w:p w14:paraId="7C370E82">
      <w:pPr>
        <w:pStyle w:val="4"/>
        <w:spacing w:line="241" w:lineRule="auto"/>
      </w:pPr>
    </w:p>
    <w:p w14:paraId="348FB6FE">
      <w:pPr>
        <w:pStyle w:val="4"/>
        <w:spacing w:line="241" w:lineRule="auto"/>
      </w:pPr>
    </w:p>
    <w:p w14:paraId="27C01636">
      <w:pPr>
        <w:pStyle w:val="4"/>
        <w:spacing w:line="241" w:lineRule="auto"/>
      </w:pPr>
    </w:p>
    <w:p w14:paraId="3BBEB363">
      <w:pPr>
        <w:pStyle w:val="4"/>
        <w:spacing w:line="241" w:lineRule="auto"/>
      </w:pPr>
    </w:p>
    <w:p w14:paraId="1E27D9DE">
      <w:pPr>
        <w:pStyle w:val="4"/>
        <w:spacing w:line="241" w:lineRule="auto"/>
      </w:pPr>
    </w:p>
    <w:p w14:paraId="15E7691B">
      <w:pPr>
        <w:pStyle w:val="4"/>
        <w:spacing w:line="241" w:lineRule="auto"/>
      </w:pPr>
    </w:p>
    <w:p w14:paraId="098B8DDA">
      <w:pPr>
        <w:pStyle w:val="4"/>
        <w:spacing w:line="241" w:lineRule="auto"/>
      </w:pPr>
    </w:p>
    <w:p w14:paraId="307BEAB6">
      <w:pPr>
        <w:pStyle w:val="4"/>
        <w:spacing w:line="241" w:lineRule="auto"/>
      </w:pPr>
    </w:p>
    <w:p w14:paraId="181BCBF5">
      <w:pPr>
        <w:pStyle w:val="4"/>
        <w:spacing w:line="241" w:lineRule="auto"/>
      </w:pPr>
    </w:p>
    <w:p w14:paraId="77516F51">
      <w:pPr>
        <w:pStyle w:val="4"/>
        <w:spacing w:before="35" w:line="149" w:lineRule="exact"/>
        <w:ind w:left="6"/>
        <w:rPr>
          <w:sz w:val="12"/>
          <w:szCs w:val="12"/>
        </w:rPr>
      </w:pPr>
      <w:r>
        <w:rPr>
          <w:color w:val="174174"/>
          <w:spacing w:val="6"/>
          <w:position w:val="1"/>
          <w:sz w:val="12"/>
          <w:szCs w:val="12"/>
        </w:rPr>
        <w:t>© 2025</w:t>
      </w:r>
      <w:r>
        <w:rPr>
          <w:color w:val="174174"/>
          <w:spacing w:val="15"/>
          <w:position w:val="1"/>
          <w:sz w:val="12"/>
          <w:szCs w:val="12"/>
        </w:rPr>
        <w:t xml:space="preserve"> </w:t>
      </w:r>
      <w:r>
        <w:rPr>
          <w:color w:val="174174"/>
          <w:spacing w:val="6"/>
          <w:position w:val="1"/>
          <w:sz w:val="12"/>
          <w:szCs w:val="12"/>
        </w:rPr>
        <w:t>Fitch Solutions Group</w:t>
      </w:r>
      <w:r>
        <w:rPr>
          <w:color w:val="174174"/>
          <w:spacing w:val="14"/>
          <w:w w:val="102"/>
          <w:position w:val="1"/>
          <w:sz w:val="12"/>
          <w:szCs w:val="12"/>
        </w:rPr>
        <w:t xml:space="preserve"> </w:t>
      </w:r>
      <w:r>
        <w:rPr>
          <w:color w:val="174174"/>
          <w:spacing w:val="6"/>
          <w:position w:val="1"/>
          <w:sz w:val="12"/>
          <w:szCs w:val="12"/>
        </w:rPr>
        <w:t>Limited. All</w:t>
      </w:r>
      <w:r>
        <w:rPr>
          <w:color w:val="174174"/>
          <w:spacing w:val="13"/>
          <w:position w:val="1"/>
          <w:sz w:val="12"/>
          <w:szCs w:val="12"/>
        </w:rPr>
        <w:t xml:space="preserve"> </w:t>
      </w:r>
      <w:r>
        <w:rPr>
          <w:color w:val="174174"/>
          <w:spacing w:val="6"/>
          <w:position w:val="1"/>
          <w:sz w:val="12"/>
          <w:szCs w:val="12"/>
        </w:rPr>
        <w:t>rights</w:t>
      </w:r>
      <w:r>
        <w:rPr>
          <w:color w:val="174174"/>
          <w:spacing w:val="13"/>
          <w:position w:val="1"/>
          <w:sz w:val="12"/>
          <w:szCs w:val="12"/>
        </w:rPr>
        <w:t xml:space="preserve"> </w:t>
      </w:r>
      <w:r>
        <w:rPr>
          <w:color w:val="174174"/>
          <w:spacing w:val="6"/>
          <w:position w:val="1"/>
          <w:sz w:val="12"/>
          <w:szCs w:val="12"/>
        </w:rPr>
        <w:t>re</w:t>
      </w:r>
      <w:r>
        <w:rPr>
          <w:color w:val="174174"/>
          <w:spacing w:val="5"/>
          <w:position w:val="1"/>
          <w:sz w:val="12"/>
          <w:szCs w:val="12"/>
        </w:rPr>
        <w:t>served.</w:t>
      </w:r>
    </w:p>
    <w:p w14:paraId="2F9AEE8F">
      <w:pPr>
        <w:pStyle w:val="4"/>
        <w:spacing w:line="262" w:lineRule="auto"/>
      </w:pPr>
    </w:p>
    <w:p w14:paraId="75CC6B29">
      <w:pPr>
        <w:pStyle w:val="4"/>
        <w:spacing w:before="35" w:line="272" w:lineRule="auto"/>
        <w:ind w:left="8" w:right="118" w:hanging="4"/>
        <w:rPr>
          <w:sz w:val="12"/>
          <w:szCs w:val="12"/>
        </w:rPr>
      </w:pPr>
      <w:r>
        <w:rPr>
          <w:color w:val="174174"/>
          <w:spacing w:val="6"/>
          <w:sz w:val="12"/>
          <w:szCs w:val="12"/>
        </w:rPr>
        <w:t>All</w:t>
      </w:r>
      <w:r>
        <w:rPr>
          <w:color w:val="174174"/>
          <w:spacing w:val="13"/>
          <w:w w:val="102"/>
          <w:sz w:val="12"/>
          <w:szCs w:val="12"/>
        </w:rPr>
        <w:t xml:space="preserve"> </w:t>
      </w:r>
      <w:r>
        <w:rPr>
          <w:color w:val="174174"/>
          <w:spacing w:val="6"/>
          <w:sz w:val="12"/>
          <w:szCs w:val="12"/>
        </w:rPr>
        <w:t>information, analysis, forecasts and data</w:t>
      </w:r>
      <w:r>
        <w:rPr>
          <w:color w:val="174174"/>
          <w:spacing w:val="13"/>
          <w:sz w:val="12"/>
          <w:szCs w:val="12"/>
        </w:rPr>
        <w:t xml:space="preserve"> </w:t>
      </w:r>
      <w:r>
        <w:rPr>
          <w:color w:val="174174"/>
          <w:spacing w:val="6"/>
          <w:sz w:val="12"/>
          <w:szCs w:val="12"/>
        </w:rPr>
        <w:t>provided</w:t>
      </w:r>
      <w:r>
        <w:rPr>
          <w:color w:val="174174"/>
          <w:spacing w:val="13"/>
          <w:sz w:val="12"/>
          <w:szCs w:val="12"/>
        </w:rPr>
        <w:t xml:space="preserve"> </w:t>
      </w:r>
      <w:r>
        <w:rPr>
          <w:color w:val="174174"/>
          <w:spacing w:val="6"/>
          <w:sz w:val="12"/>
          <w:szCs w:val="12"/>
        </w:rPr>
        <w:t>by</w:t>
      </w:r>
      <w:r>
        <w:rPr>
          <w:color w:val="174174"/>
          <w:spacing w:val="14"/>
          <w:w w:val="102"/>
          <w:sz w:val="12"/>
          <w:szCs w:val="12"/>
        </w:rPr>
        <w:t xml:space="preserve"> </w:t>
      </w:r>
      <w:r>
        <w:rPr>
          <w:color w:val="174174"/>
          <w:spacing w:val="6"/>
          <w:sz w:val="12"/>
          <w:szCs w:val="12"/>
        </w:rPr>
        <w:t>Fitch Solutions Group</w:t>
      </w:r>
      <w:r>
        <w:rPr>
          <w:color w:val="174174"/>
          <w:spacing w:val="14"/>
          <w:w w:val="101"/>
          <w:sz w:val="12"/>
          <w:szCs w:val="12"/>
        </w:rPr>
        <w:t xml:space="preserve"> </w:t>
      </w:r>
      <w:r>
        <w:rPr>
          <w:color w:val="174174"/>
          <w:spacing w:val="6"/>
          <w:sz w:val="12"/>
          <w:szCs w:val="12"/>
        </w:rPr>
        <w:t>Limited</w:t>
      </w:r>
      <w:r>
        <w:rPr>
          <w:color w:val="174174"/>
          <w:spacing w:val="8"/>
          <w:w w:val="101"/>
          <w:sz w:val="12"/>
          <w:szCs w:val="12"/>
        </w:rPr>
        <w:t xml:space="preserve"> </w:t>
      </w:r>
      <w:r>
        <w:rPr>
          <w:color w:val="174174"/>
          <w:spacing w:val="6"/>
          <w:sz w:val="12"/>
          <w:szCs w:val="12"/>
        </w:rPr>
        <w:t>are</w:t>
      </w:r>
      <w:r>
        <w:rPr>
          <w:color w:val="174174"/>
          <w:spacing w:val="8"/>
          <w:sz w:val="12"/>
          <w:szCs w:val="12"/>
        </w:rPr>
        <w:t xml:space="preserve"> </w:t>
      </w:r>
      <w:r>
        <w:rPr>
          <w:color w:val="174174"/>
          <w:spacing w:val="6"/>
          <w:sz w:val="12"/>
          <w:szCs w:val="12"/>
        </w:rPr>
        <w:t>for the</w:t>
      </w:r>
      <w:r>
        <w:rPr>
          <w:color w:val="174174"/>
          <w:spacing w:val="9"/>
          <w:sz w:val="12"/>
          <w:szCs w:val="12"/>
        </w:rPr>
        <w:t xml:space="preserve"> </w:t>
      </w:r>
      <w:r>
        <w:rPr>
          <w:color w:val="174174"/>
          <w:spacing w:val="6"/>
          <w:sz w:val="12"/>
          <w:szCs w:val="12"/>
        </w:rPr>
        <w:t>exclusive</w:t>
      </w:r>
      <w:r>
        <w:rPr>
          <w:color w:val="174174"/>
          <w:spacing w:val="12"/>
          <w:sz w:val="12"/>
          <w:szCs w:val="12"/>
        </w:rPr>
        <w:t xml:space="preserve"> </w:t>
      </w:r>
      <w:r>
        <w:rPr>
          <w:color w:val="174174"/>
          <w:spacing w:val="6"/>
          <w:sz w:val="12"/>
          <w:szCs w:val="12"/>
        </w:rPr>
        <w:t>use</w:t>
      </w:r>
      <w:r>
        <w:rPr>
          <w:color w:val="174174"/>
          <w:spacing w:val="9"/>
          <w:w w:val="101"/>
          <w:sz w:val="12"/>
          <w:szCs w:val="12"/>
        </w:rPr>
        <w:t xml:space="preserve"> </w:t>
      </w:r>
      <w:r>
        <w:rPr>
          <w:color w:val="174174"/>
          <w:spacing w:val="6"/>
          <w:sz w:val="12"/>
          <w:szCs w:val="12"/>
        </w:rPr>
        <w:t>of</w:t>
      </w:r>
      <w:r>
        <w:rPr>
          <w:color w:val="174174"/>
          <w:spacing w:val="7"/>
          <w:sz w:val="12"/>
          <w:szCs w:val="12"/>
        </w:rPr>
        <w:t xml:space="preserve"> </w:t>
      </w:r>
      <w:r>
        <w:rPr>
          <w:color w:val="174174"/>
          <w:spacing w:val="6"/>
          <w:sz w:val="12"/>
          <w:szCs w:val="12"/>
        </w:rPr>
        <w:t>subscribing</w:t>
      </w:r>
      <w:r>
        <w:rPr>
          <w:color w:val="174174"/>
          <w:spacing w:val="13"/>
          <w:w w:val="102"/>
          <w:sz w:val="12"/>
          <w:szCs w:val="12"/>
        </w:rPr>
        <w:t xml:space="preserve"> </w:t>
      </w:r>
      <w:r>
        <w:rPr>
          <w:color w:val="174174"/>
          <w:spacing w:val="6"/>
          <w:sz w:val="12"/>
          <w:szCs w:val="12"/>
        </w:rPr>
        <w:t>persons</w:t>
      </w:r>
      <w:r>
        <w:rPr>
          <w:color w:val="174174"/>
          <w:spacing w:val="9"/>
          <w:w w:val="101"/>
          <w:sz w:val="12"/>
          <w:szCs w:val="12"/>
        </w:rPr>
        <w:t xml:space="preserve"> </w:t>
      </w:r>
      <w:r>
        <w:rPr>
          <w:color w:val="174174"/>
          <w:spacing w:val="6"/>
          <w:sz w:val="12"/>
          <w:szCs w:val="12"/>
        </w:rPr>
        <w:t>or</w:t>
      </w:r>
      <w:r>
        <w:rPr>
          <w:color w:val="174174"/>
          <w:spacing w:val="9"/>
          <w:sz w:val="12"/>
          <w:szCs w:val="12"/>
        </w:rPr>
        <w:t xml:space="preserve"> </w:t>
      </w:r>
      <w:r>
        <w:rPr>
          <w:color w:val="174174"/>
          <w:spacing w:val="6"/>
          <w:sz w:val="12"/>
          <w:szCs w:val="12"/>
        </w:rPr>
        <w:t>organisations</w:t>
      </w:r>
      <w:r>
        <w:rPr>
          <w:color w:val="174174"/>
          <w:spacing w:val="11"/>
          <w:sz w:val="12"/>
          <w:szCs w:val="12"/>
        </w:rPr>
        <w:t xml:space="preserve"> </w:t>
      </w:r>
      <w:r>
        <w:rPr>
          <w:color w:val="174174"/>
          <w:spacing w:val="6"/>
          <w:sz w:val="12"/>
          <w:szCs w:val="12"/>
        </w:rPr>
        <w:t>(inclu</w:t>
      </w:r>
      <w:r>
        <w:rPr>
          <w:color w:val="174174"/>
          <w:spacing w:val="5"/>
          <w:sz w:val="12"/>
          <w:szCs w:val="12"/>
        </w:rPr>
        <w:t>ding</w:t>
      </w:r>
      <w:r>
        <w:rPr>
          <w:color w:val="174174"/>
          <w:spacing w:val="7"/>
          <w:sz w:val="12"/>
          <w:szCs w:val="12"/>
        </w:rPr>
        <w:t xml:space="preserve"> </w:t>
      </w:r>
      <w:r>
        <w:rPr>
          <w:color w:val="174174"/>
          <w:spacing w:val="5"/>
          <w:sz w:val="12"/>
          <w:szCs w:val="12"/>
        </w:rPr>
        <w:t>those</w:t>
      </w:r>
      <w:r>
        <w:rPr>
          <w:color w:val="174174"/>
          <w:sz w:val="12"/>
          <w:szCs w:val="12"/>
        </w:rPr>
        <w:t xml:space="preserve"> </w:t>
      </w:r>
      <w:r>
        <w:rPr>
          <w:color w:val="174174"/>
          <w:spacing w:val="6"/>
          <w:sz w:val="12"/>
          <w:szCs w:val="12"/>
        </w:rPr>
        <w:t>using the service on a trial</w:t>
      </w:r>
      <w:r>
        <w:rPr>
          <w:color w:val="174174"/>
          <w:spacing w:val="13"/>
          <w:w w:val="101"/>
          <w:sz w:val="12"/>
          <w:szCs w:val="12"/>
        </w:rPr>
        <w:t xml:space="preserve"> </w:t>
      </w:r>
      <w:r>
        <w:rPr>
          <w:color w:val="174174"/>
          <w:spacing w:val="6"/>
          <w:sz w:val="12"/>
          <w:szCs w:val="12"/>
        </w:rPr>
        <w:t>basis). All such</w:t>
      </w:r>
      <w:r>
        <w:rPr>
          <w:color w:val="174174"/>
          <w:spacing w:val="9"/>
          <w:w w:val="101"/>
          <w:sz w:val="12"/>
          <w:szCs w:val="12"/>
        </w:rPr>
        <w:t xml:space="preserve"> </w:t>
      </w:r>
      <w:r>
        <w:rPr>
          <w:color w:val="174174"/>
          <w:spacing w:val="6"/>
          <w:sz w:val="12"/>
          <w:szCs w:val="12"/>
        </w:rPr>
        <w:t>content</w:t>
      </w:r>
      <w:r>
        <w:rPr>
          <w:color w:val="174174"/>
          <w:spacing w:val="13"/>
          <w:sz w:val="12"/>
          <w:szCs w:val="12"/>
        </w:rPr>
        <w:t xml:space="preserve"> </w:t>
      </w:r>
      <w:r>
        <w:rPr>
          <w:color w:val="174174"/>
          <w:spacing w:val="6"/>
          <w:sz w:val="12"/>
          <w:szCs w:val="12"/>
        </w:rPr>
        <w:t>is</w:t>
      </w:r>
      <w:r>
        <w:rPr>
          <w:color w:val="174174"/>
          <w:spacing w:val="9"/>
          <w:w w:val="101"/>
          <w:sz w:val="12"/>
          <w:szCs w:val="12"/>
        </w:rPr>
        <w:t xml:space="preserve"> </w:t>
      </w:r>
      <w:r>
        <w:rPr>
          <w:color w:val="174174"/>
          <w:spacing w:val="6"/>
          <w:sz w:val="12"/>
          <w:szCs w:val="12"/>
        </w:rPr>
        <w:t>copyrighted</w:t>
      </w:r>
      <w:r>
        <w:rPr>
          <w:color w:val="174174"/>
          <w:spacing w:val="13"/>
          <w:sz w:val="12"/>
          <w:szCs w:val="12"/>
        </w:rPr>
        <w:t xml:space="preserve"> </w:t>
      </w:r>
      <w:r>
        <w:rPr>
          <w:color w:val="174174"/>
          <w:spacing w:val="6"/>
          <w:sz w:val="12"/>
          <w:szCs w:val="12"/>
        </w:rPr>
        <w:t>in the</w:t>
      </w:r>
      <w:r>
        <w:rPr>
          <w:color w:val="174174"/>
          <w:spacing w:val="13"/>
          <w:sz w:val="12"/>
          <w:szCs w:val="12"/>
        </w:rPr>
        <w:t xml:space="preserve"> </w:t>
      </w:r>
      <w:r>
        <w:rPr>
          <w:color w:val="174174"/>
          <w:spacing w:val="6"/>
          <w:sz w:val="12"/>
          <w:szCs w:val="12"/>
        </w:rPr>
        <w:t>name</w:t>
      </w:r>
      <w:r>
        <w:rPr>
          <w:color w:val="174174"/>
          <w:spacing w:val="9"/>
          <w:w w:val="101"/>
          <w:sz w:val="12"/>
          <w:szCs w:val="12"/>
        </w:rPr>
        <w:t xml:space="preserve"> </w:t>
      </w:r>
      <w:r>
        <w:rPr>
          <w:color w:val="174174"/>
          <w:spacing w:val="6"/>
          <w:sz w:val="12"/>
          <w:szCs w:val="12"/>
        </w:rPr>
        <w:t>of</w:t>
      </w:r>
      <w:r>
        <w:rPr>
          <w:color w:val="174174"/>
          <w:spacing w:val="14"/>
          <w:w w:val="101"/>
          <w:sz w:val="12"/>
          <w:szCs w:val="12"/>
        </w:rPr>
        <w:t xml:space="preserve"> </w:t>
      </w:r>
      <w:r>
        <w:rPr>
          <w:color w:val="174174"/>
          <w:spacing w:val="6"/>
          <w:sz w:val="12"/>
          <w:szCs w:val="12"/>
        </w:rPr>
        <w:t>Fitch</w:t>
      </w:r>
      <w:r>
        <w:rPr>
          <w:color w:val="174174"/>
          <w:spacing w:val="9"/>
          <w:w w:val="101"/>
          <w:sz w:val="12"/>
          <w:szCs w:val="12"/>
        </w:rPr>
        <w:t xml:space="preserve"> </w:t>
      </w:r>
      <w:r>
        <w:rPr>
          <w:color w:val="174174"/>
          <w:spacing w:val="6"/>
          <w:sz w:val="12"/>
          <w:szCs w:val="12"/>
        </w:rPr>
        <w:t>Solutions</w:t>
      </w:r>
      <w:r>
        <w:rPr>
          <w:color w:val="174174"/>
          <w:spacing w:val="10"/>
          <w:w w:val="102"/>
          <w:sz w:val="12"/>
          <w:szCs w:val="12"/>
        </w:rPr>
        <w:t xml:space="preserve"> </w:t>
      </w:r>
      <w:r>
        <w:rPr>
          <w:color w:val="174174"/>
          <w:spacing w:val="6"/>
          <w:sz w:val="12"/>
          <w:szCs w:val="12"/>
        </w:rPr>
        <w:t>Group</w:t>
      </w:r>
      <w:r>
        <w:rPr>
          <w:color w:val="174174"/>
          <w:spacing w:val="14"/>
          <w:w w:val="102"/>
          <w:sz w:val="12"/>
          <w:szCs w:val="12"/>
        </w:rPr>
        <w:t xml:space="preserve"> </w:t>
      </w:r>
      <w:r>
        <w:rPr>
          <w:color w:val="174174"/>
          <w:spacing w:val="6"/>
          <w:sz w:val="12"/>
          <w:szCs w:val="12"/>
        </w:rPr>
        <w:t>Limited</w:t>
      </w:r>
      <w:r>
        <w:rPr>
          <w:color w:val="174174"/>
          <w:spacing w:val="8"/>
          <w:w w:val="101"/>
          <w:sz w:val="12"/>
          <w:szCs w:val="12"/>
        </w:rPr>
        <w:t xml:space="preserve"> </w:t>
      </w:r>
      <w:r>
        <w:rPr>
          <w:color w:val="174174"/>
          <w:spacing w:val="6"/>
          <w:sz w:val="12"/>
          <w:szCs w:val="12"/>
        </w:rPr>
        <w:t>and</w:t>
      </w:r>
      <w:r>
        <w:rPr>
          <w:color w:val="174174"/>
          <w:spacing w:val="8"/>
          <w:sz w:val="12"/>
          <w:szCs w:val="12"/>
        </w:rPr>
        <w:t xml:space="preserve"> </w:t>
      </w:r>
      <w:r>
        <w:rPr>
          <w:color w:val="174174"/>
          <w:spacing w:val="6"/>
          <w:sz w:val="12"/>
          <w:szCs w:val="12"/>
        </w:rPr>
        <w:t>as</w:t>
      </w:r>
      <w:r>
        <w:rPr>
          <w:color w:val="174174"/>
          <w:spacing w:val="8"/>
          <w:sz w:val="12"/>
          <w:szCs w:val="12"/>
        </w:rPr>
        <w:t xml:space="preserve"> </w:t>
      </w:r>
      <w:r>
        <w:rPr>
          <w:color w:val="174174"/>
          <w:spacing w:val="6"/>
          <w:sz w:val="12"/>
          <w:szCs w:val="12"/>
        </w:rPr>
        <w:t>such</w:t>
      </w:r>
      <w:r>
        <w:rPr>
          <w:color w:val="174174"/>
          <w:spacing w:val="13"/>
          <w:sz w:val="12"/>
          <w:szCs w:val="12"/>
        </w:rPr>
        <w:t xml:space="preserve"> </w:t>
      </w:r>
      <w:r>
        <w:rPr>
          <w:color w:val="174174"/>
          <w:spacing w:val="6"/>
          <w:sz w:val="12"/>
          <w:szCs w:val="12"/>
        </w:rPr>
        <w:t>no</w:t>
      </w:r>
      <w:r>
        <w:rPr>
          <w:color w:val="174174"/>
          <w:spacing w:val="13"/>
          <w:sz w:val="12"/>
          <w:szCs w:val="12"/>
        </w:rPr>
        <w:t xml:space="preserve"> </w:t>
      </w:r>
      <w:r>
        <w:rPr>
          <w:color w:val="174174"/>
          <w:spacing w:val="6"/>
          <w:sz w:val="12"/>
          <w:szCs w:val="12"/>
        </w:rPr>
        <w:t>part</w:t>
      </w:r>
      <w:r>
        <w:rPr>
          <w:color w:val="174174"/>
          <w:spacing w:val="9"/>
          <w:sz w:val="12"/>
          <w:szCs w:val="12"/>
        </w:rPr>
        <w:t xml:space="preserve"> </w:t>
      </w:r>
      <w:r>
        <w:rPr>
          <w:color w:val="174174"/>
          <w:spacing w:val="6"/>
          <w:sz w:val="12"/>
          <w:szCs w:val="12"/>
        </w:rPr>
        <w:t>of</w:t>
      </w:r>
      <w:r>
        <w:rPr>
          <w:color w:val="174174"/>
          <w:spacing w:val="7"/>
          <w:sz w:val="12"/>
          <w:szCs w:val="12"/>
        </w:rPr>
        <w:t xml:space="preserve"> </w:t>
      </w:r>
      <w:r>
        <w:rPr>
          <w:color w:val="174174"/>
          <w:spacing w:val="6"/>
          <w:sz w:val="12"/>
          <w:szCs w:val="12"/>
        </w:rPr>
        <w:t>th</w:t>
      </w:r>
      <w:r>
        <w:rPr>
          <w:color w:val="174174"/>
          <w:spacing w:val="5"/>
          <w:sz w:val="12"/>
          <w:szCs w:val="12"/>
        </w:rPr>
        <w:t>is</w:t>
      </w:r>
      <w:r>
        <w:rPr>
          <w:color w:val="174174"/>
          <w:spacing w:val="9"/>
          <w:w w:val="102"/>
          <w:sz w:val="12"/>
          <w:szCs w:val="12"/>
        </w:rPr>
        <w:t xml:space="preserve"> </w:t>
      </w:r>
      <w:r>
        <w:rPr>
          <w:color w:val="174174"/>
          <w:spacing w:val="5"/>
          <w:sz w:val="12"/>
          <w:szCs w:val="12"/>
        </w:rPr>
        <w:t>content</w:t>
      </w:r>
      <w:r>
        <w:rPr>
          <w:color w:val="174174"/>
          <w:spacing w:val="13"/>
          <w:sz w:val="12"/>
          <w:szCs w:val="12"/>
        </w:rPr>
        <w:t xml:space="preserve"> </w:t>
      </w:r>
      <w:r>
        <w:rPr>
          <w:color w:val="174174"/>
          <w:spacing w:val="5"/>
          <w:sz w:val="12"/>
          <w:szCs w:val="12"/>
        </w:rPr>
        <w:t>may</w:t>
      </w:r>
      <w:r>
        <w:rPr>
          <w:color w:val="174174"/>
          <w:spacing w:val="13"/>
          <w:sz w:val="12"/>
          <w:szCs w:val="12"/>
        </w:rPr>
        <w:t xml:space="preserve"> </w:t>
      </w:r>
      <w:r>
        <w:rPr>
          <w:color w:val="174174"/>
          <w:spacing w:val="5"/>
          <w:sz w:val="12"/>
          <w:szCs w:val="12"/>
        </w:rPr>
        <w:t>be</w:t>
      </w:r>
      <w:r>
        <w:rPr>
          <w:color w:val="174174"/>
          <w:spacing w:val="13"/>
          <w:sz w:val="12"/>
          <w:szCs w:val="12"/>
        </w:rPr>
        <w:t xml:space="preserve"> </w:t>
      </w:r>
      <w:r>
        <w:rPr>
          <w:color w:val="174174"/>
          <w:spacing w:val="5"/>
          <w:sz w:val="12"/>
          <w:szCs w:val="12"/>
        </w:rPr>
        <w:t>reproduced,</w:t>
      </w:r>
      <w:r>
        <w:rPr>
          <w:color w:val="174174"/>
          <w:sz w:val="12"/>
          <w:szCs w:val="12"/>
        </w:rPr>
        <w:t xml:space="preserve">  </w:t>
      </w:r>
      <w:r>
        <w:rPr>
          <w:color w:val="174174"/>
          <w:spacing w:val="7"/>
          <w:sz w:val="12"/>
          <w:szCs w:val="12"/>
        </w:rPr>
        <w:t>repackaged, copied or redistributed without the express</w:t>
      </w:r>
      <w:r>
        <w:rPr>
          <w:color w:val="174174"/>
          <w:spacing w:val="9"/>
          <w:w w:val="102"/>
          <w:sz w:val="12"/>
          <w:szCs w:val="12"/>
        </w:rPr>
        <w:t xml:space="preserve"> </w:t>
      </w:r>
      <w:r>
        <w:rPr>
          <w:color w:val="174174"/>
          <w:spacing w:val="7"/>
          <w:sz w:val="12"/>
          <w:szCs w:val="12"/>
        </w:rPr>
        <w:t>conse</w:t>
      </w:r>
      <w:r>
        <w:rPr>
          <w:color w:val="174174"/>
          <w:spacing w:val="6"/>
          <w:sz w:val="12"/>
          <w:szCs w:val="12"/>
        </w:rPr>
        <w:t>nt</w:t>
      </w:r>
      <w:r>
        <w:rPr>
          <w:color w:val="174174"/>
          <w:spacing w:val="9"/>
          <w:w w:val="101"/>
          <w:sz w:val="12"/>
          <w:szCs w:val="12"/>
        </w:rPr>
        <w:t xml:space="preserve"> </w:t>
      </w:r>
      <w:r>
        <w:rPr>
          <w:color w:val="174174"/>
          <w:spacing w:val="6"/>
          <w:sz w:val="12"/>
          <w:szCs w:val="12"/>
        </w:rPr>
        <w:t>of</w:t>
      </w:r>
      <w:r>
        <w:rPr>
          <w:color w:val="174174"/>
          <w:spacing w:val="14"/>
          <w:w w:val="101"/>
          <w:sz w:val="12"/>
          <w:szCs w:val="12"/>
        </w:rPr>
        <w:t xml:space="preserve"> </w:t>
      </w:r>
      <w:r>
        <w:rPr>
          <w:color w:val="174174"/>
          <w:spacing w:val="6"/>
          <w:sz w:val="12"/>
          <w:szCs w:val="12"/>
        </w:rPr>
        <w:t>Fitch</w:t>
      </w:r>
      <w:r>
        <w:rPr>
          <w:color w:val="174174"/>
          <w:spacing w:val="9"/>
          <w:sz w:val="12"/>
          <w:szCs w:val="12"/>
        </w:rPr>
        <w:t xml:space="preserve"> </w:t>
      </w:r>
      <w:r>
        <w:rPr>
          <w:color w:val="174174"/>
          <w:spacing w:val="6"/>
          <w:sz w:val="12"/>
          <w:szCs w:val="12"/>
        </w:rPr>
        <w:t>Solutions</w:t>
      </w:r>
      <w:r>
        <w:rPr>
          <w:color w:val="174174"/>
          <w:spacing w:val="11"/>
          <w:sz w:val="12"/>
          <w:szCs w:val="12"/>
        </w:rPr>
        <w:t xml:space="preserve"> </w:t>
      </w:r>
      <w:r>
        <w:rPr>
          <w:color w:val="174174"/>
          <w:spacing w:val="6"/>
          <w:sz w:val="12"/>
          <w:szCs w:val="12"/>
        </w:rPr>
        <w:t>Group</w:t>
      </w:r>
      <w:r>
        <w:rPr>
          <w:color w:val="174174"/>
          <w:spacing w:val="14"/>
          <w:w w:val="102"/>
          <w:sz w:val="12"/>
          <w:szCs w:val="12"/>
        </w:rPr>
        <w:t xml:space="preserve"> </w:t>
      </w:r>
      <w:r>
        <w:rPr>
          <w:color w:val="174174"/>
          <w:spacing w:val="6"/>
          <w:sz w:val="12"/>
          <w:szCs w:val="12"/>
        </w:rPr>
        <w:t>Limited.</w:t>
      </w:r>
    </w:p>
    <w:p w14:paraId="03B82868">
      <w:pPr>
        <w:pStyle w:val="4"/>
        <w:spacing w:line="262" w:lineRule="auto"/>
      </w:pPr>
    </w:p>
    <w:p w14:paraId="0C3E767F">
      <w:pPr>
        <w:pStyle w:val="4"/>
        <w:spacing w:before="35" w:line="272" w:lineRule="auto"/>
        <w:ind w:left="4" w:right="127"/>
        <w:jc w:val="both"/>
        <w:rPr>
          <w:sz w:val="12"/>
          <w:szCs w:val="12"/>
        </w:rPr>
      </w:pPr>
      <w:r>
        <w:rPr>
          <w:color w:val="174174"/>
          <w:spacing w:val="6"/>
          <w:sz w:val="12"/>
          <w:szCs w:val="12"/>
        </w:rPr>
        <w:t>All content,</w:t>
      </w:r>
      <w:r>
        <w:rPr>
          <w:color w:val="174174"/>
          <w:spacing w:val="13"/>
          <w:w w:val="101"/>
          <w:sz w:val="12"/>
          <w:szCs w:val="12"/>
        </w:rPr>
        <w:t xml:space="preserve"> </w:t>
      </w:r>
      <w:r>
        <w:rPr>
          <w:color w:val="174174"/>
          <w:spacing w:val="6"/>
          <w:sz w:val="12"/>
          <w:szCs w:val="12"/>
        </w:rPr>
        <w:t>including forecasts, analysis and opinion,</w:t>
      </w:r>
      <w:r>
        <w:rPr>
          <w:color w:val="174174"/>
          <w:spacing w:val="13"/>
          <w:sz w:val="12"/>
          <w:szCs w:val="12"/>
        </w:rPr>
        <w:t xml:space="preserve"> </w:t>
      </w:r>
      <w:r>
        <w:rPr>
          <w:color w:val="174174"/>
          <w:spacing w:val="6"/>
          <w:sz w:val="12"/>
          <w:szCs w:val="12"/>
        </w:rPr>
        <w:t>is</w:t>
      </w:r>
      <w:r>
        <w:rPr>
          <w:color w:val="174174"/>
          <w:spacing w:val="13"/>
          <w:sz w:val="12"/>
          <w:szCs w:val="12"/>
        </w:rPr>
        <w:t xml:space="preserve"> </w:t>
      </w:r>
      <w:r>
        <w:rPr>
          <w:color w:val="174174"/>
          <w:spacing w:val="6"/>
          <w:sz w:val="12"/>
          <w:szCs w:val="12"/>
        </w:rPr>
        <w:t>based on</w:t>
      </w:r>
      <w:r>
        <w:rPr>
          <w:color w:val="174174"/>
          <w:spacing w:val="13"/>
          <w:w w:val="101"/>
          <w:sz w:val="12"/>
          <w:szCs w:val="12"/>
        </w:rPr>
        <w:t xml:space="preserve"> </w:t>
      </w:r>
      <w:r>
        <w:rPr>
          <w:color w:val="174174"/>
          <w:spacing w:val="6"/>
          <w:sz w:val="12"/>
          <w:szCs w:val="12"/>
        </w:rPr>
        <w:t>information and</w:t>
      </w:r>
      <w:r>
        <w:rPr>
          <w:color w:val="174174"/>
          <w:spacing w:val="8"/>
          <w:sz w:val="12"/>
          <w:szCs w:val="12"/>
        </w:rPr>
        <w:t xml:space="preserve"> </w:t>
      </w:r>
      <w:r>
        <w:rPr>
          <w:color w:val="174174"/>
          <w:spacing w:val="6"/>
          <w:sz w:val="12"/>
          <w:szCs w:val="12"/>
        </w:rPr>
        <w:t>sources</w:t>
      </w:r>
      <w:r>
        <w:rPr>
          <w:color w:val="174174"/>
          <w:spacing w:val="12"/>
          <w:w w:val="102"/>
          <w:sz w:val="12"/>
          <w:szCs w:val="12"/>
        </w:rPr>
        <w:t xml:space="preserve"> </w:t>
      </w:r>
      <w:r>
        <w:rPr>
          <w:color w:val="174174"/>
          <w:spacing w:val="6"/>
          <w:sz w:val="12"/>
          <w:szCs w:val="12"/>
        </w:rPr>
        <w:t>believed</w:t>
      </w:r>
      <w:r>
        <w:rPr>
          <w:color w:val="174174"/>
          <w:spacing w:val="7"/>
          <w:sz w:val="12"/>
          <w:szCs w:val="12"/>
        </w:rPr>
        <w:t xml:space="preserve"> </w:t>
      </w:r>
      <w:r>
        <w:rPr>
          <w:color w:val="174174"/>
          <w:spacing w:val="6"/>
          <w:sz w:val="12"/>
          <w:szCs w:val="12"/>
        </w:rPr>
        <w:t>to</w:t>
      </w:r>
      <w:r>
        <w:rPr>
          <w:color w:val="174174"/>
          <w:spacing w:val="13"/>
          <w:w w:val="102"/>
          <w:sz w:val="12"/>
          <w:szCs w:val="12"/>
        </w:rPr>
        <w:t xml:space="preserve"> </w:t>
      </w:r>
      <w:r>
        <w:rPr>
          <w:color w:val="174174"/>
          <w:spacing w:val="6"/>
          <w:sz w:val="12"/>
          <w:szCs w:val="12"/>
        </w:rPr>
        <w:t>be</w:t>
      </w:r>
      <w:r>
        <w:rPr>
          <w:color w:val="174174"/>
          <w:spacing w:val="8"/>
          <w:w w:val="101"/>
          <w:sz w:val="12"/>
          <w:szCs w:val="12"/>
        </w:rPr>
        <w:t xml:space="preserve"> </w:t>
      </w:r>
      <w:r>
        <w:rPr>
          <w:color w:val="174174"/>
          <w:spacing w:val="6"/>
          <w:sz w:val="12"/>
          <w:szCs w:val="12"/>
        </w:rPr>
        <w:t>accurate</w:t>
      </w:r>
      <w:r>
        <w:rPr>
          <w:color w:val="174174"/>
          <w:spacing w:val="8"/>
          <w:w w:val="101"/>
          <w:sz w:val="12"/>
          <w:szCs w:val="12"/>
        </w:rPr>
        <w:t xml:space="preserve"> </w:t>
      </w:r>
      <w:r>
        <w:rPr>
          <w:color w:val="174174"/>
          <w:spacing w:val="6"/>
          <w:sz w:val="12"/>
          <w:szCs w:val="12"/>
        </w:rPr>
        <w:t>and</w:t>
      </w:r>
      <w:r>
        <w:rPr>
          <w:color w:val="174174"/>
          <w:spacing w:val="13"/>
          <w:sz w:val="12"/>
          <w:szCs w:val="12"/>
        </w:rPr>
        <w:t xml:space="preserve"> </w:t>
      </w:r>
      <w:r>
        <w:rPr>
          <w:color w:val="174174"/>
          <w:spacing w:val="6"/>
          <w:sz w:val="12"/>
          <w:szCs w:val="12"/>
        </w:rPr>
        <w:t>r</w:t>
      </w:r>
      <w:r>
        <w:rPr>
          <w:color w:val="174174"/>
          <w:spacing w:val="5"/>
          <w:sz w:val="12"/>
          <w:szCs w:val="12"/>
        </w:rPr>
        <w:t>eliable</w:t>
      </w:r>
      <w:r>
        <w:rPr>
          <w:color w:val="174174"/>
          <w:spacing w:val="8"/>
          <w:w w:val="101"/>
          <w:sz w:val="12"/>
          <w:szCs w:val="12"/>
        </w:rPr>
        <w:t xml:space="preserve"> </w:t>
      </w:r>
      <w:r>
        <w:rPr>
          <w:color w:val="174174"/>
          <w:spacing w:val="5"/>
          <w:sz w:val="12"/>
          <w:szCs w:val="12"/>
        </w:rPr>
        <w:t>at</w:t>
      </w:r>
      <w:r>
        <w:rPr>
          <w:color w:val="174174"/>
          <w:spacing w:val="7"/>
          <w:sz w:val="12"/>
          <w:szCs w:val="12"/>
        </w:rPr>
        <w:t xml:space="preserve"> </w:t>
      </w:r>
      <w:r>
        <w:rPr>
          <w:color w:val="174174"/>
          <w:spacing w:val="5"/>
          <w:sz w:val="12"/>
          <w:szCs w:val="12"/>
        </w:rPr>
        <w:t>the</w:t>
      </w:r>
      <w:r>
        <w:rPr>
          <w:color w:val="174174"/>
          <w:spacing w:val="8"/>
          <w:sz w:val="12"/>
          <w:szCs w:val="12"/>
        </w:rPr>
        <w:t xml:space="preserve"> </w:t>
      </w:r>
      <w:r>
        <w:rPr>
          <w:color w:val="174174"/>
          <w:spacing w:val="5"/>
          <w:sz w:val="12"/>
          <w:szCs w:val="12"/>
        </w:rPr>
        <w:t>time</w:t>
      </w:r>
      <w:r>
        <w:rPr>
          <w:color w:val="174174"/>
          <w:spacing w:val="9"/>
          <w:w w:val="101"/>
          <w:sz w:val="12"/>
          <w:szCs w:val="12"/>
        </w:rPr>
        <w:t xml:space="preserve"> </w:t>
      </w:r>
      <w:r>
        <w:rPr>
          <w:color w:val="174174"/>
          <w:spacing w:val="5"/>
          <w:sz w:val="12"/>
          <w:szCs w:val="12"/>
        </w:rPr>
        <w:t>of</w:t>
      </w:r>
      <w:r>
        <w:rPr>
          <w:color w:val="174174"/>
          <w:spacing w:val="13"/>
          <w:sz w:val="12"/>
          <w:szCs w:val="12"/>
        </w:rPr>
        <w:t xml:space="preserve"> </w:t>
      </w:r>
      <w:r>
        <w:rPr>
          <w:color w:val="174174"/>
          <w:spacing w:val="5"/>
          <w:sz w:val="12"/>
          <w:szCs w:val="12"/>
        </w:rPr>
        <w:t>publishing.</w:t>
      </w:r>
      <w:r>
        <w:rPr>
          <w:color w:val="174174"/>
          <w:spacing w:val="14"/>
          <w:w w:val="101"/>
          <w:sz w:val="12"/>
          <w:szCs w:val="12"/>
        </w:rPr>
        <w:t xml:space="preserve"> </w:t>
      </w:r>
      <w:r>
        <w:rPr>
          <w:color w:val="174174"/>
          <w:spacing w:val="5"/>
          <w:sz w:val="12"/>
          <w:szCs w:val="12"/>
        </w:rPr>
        <w:t>Fitch</w:t>
      </w:r>
      <w:r>
        <w:rPr>
          <w:color w:val="174174"/>
          <w:spacing w:val="9"/>
          <w:sz w:val="12"/>
          <w:szCs w:val="12"/>
        </w:rPr>
        <w:t xml:space="preserve"> </w:t>
      </w:r>
      <w:r>
        <w:rPr>
          <w:color w:val="174174"/>
          <w:spacing w:val="5"/>
          <w:sz w:val="12"/>
          <w:szCs w:val="12"/>
        </w:rPr>
        <w:t>Solutions</w:t>
      </w:r>
      <w:r>
        <w:rPr>
          <w:color w:val="174174"/>
          <w:sz w:val="12"/>
          <w:szCs w:val="12"/>
        </w:rPr>
        <w:t xml:space="preserve"> </w:t>
      </w:r>
      <w:r>
        <w:rPr>
          <w:color w:val="174174"/>
          <w:spacing w:val="7"/>
          <w:sz w:val="12"/>
          <w:szCs w:val="12"/>
        </w:rPr>
        <w:t>Group</w:t>
      </w:r>
      <w:r>
        <w:rPr>
          <w:color w:val="174174"/>
          <w:spacing w:val="14"/>
          <w:w w:val="102"/>
          <w:sz w:val="12"/>
          <w:szCs w:val="12"/>
        </w:rPr>
        <w:t xml:space="preserve"> </w:t>
      </w:r>
      <w:r>
        <w:rPr>
          <w:color w:val="174174"/>
          <w:spacing w:val="7"/>
          <w:sz w:val="12"/>
          <w:szCs w:val="12"/>
        </w:rPr>
        <w:t>Limited</w:t>
      </w:r>
      <w:r>
        <w:rPr>
          <w:color w:val="174174"/>
          <w:spacing w:val="13"/>
          <w:sz w:val="12"/>
          <w:szCs w:val="12"/>
        </w:rPr>
        <w:t xml:space="preserve"> </w:t>
      </w:r>
      <w:r>
        <w:rPr>
          <w:color w:val="174174"/>
          <w:spacing w:val="7"/>
          <w:sz w:val="12"/>
          <w:szCs w:val="12"/>
        </w:rPr>
        <w:t>makes</w:t>
      </w:r>
      <w:r>
        <w:rPr>
          <w:color w:val="174174"/>
          <w:spacing w:val="13"/>
          <w:sz w:val="12"/>
          <w:szCs w:val="12"/>
        </w:rPr>
        <w:t xml:space="preserve"> </w:t>
      </w:r>
      <w:r>
        <w:rPr>
          <w:color w:val="174174"/>
          <w:spacing w:val="7"/>
          <w:sz w:val="12"/>
          <w:szCs w:val="12"/>
        </w:rPr>
        <w:t>no</w:t>
      </w:r>
      <w:r>
        <w:rPr>
          <w:color w:val="174174"/>
          <w:spacing w:val="13"/>
          <w:sz w:val="12"/>
          <w:szCs w:val="12"/>
        </w:rPr>
        <w:t xml:space="preserve"> </w:t>
      </w:r>
      <w:r>
        <w:rPr>
          <w:color w:val="174174"/>
          <w:spacing w:val="7"/>
          <w:sz w:val="12"/>
          <w:szCs w:val="12"/>
        </w:rPr>
        <w:t>representation or warranty of any kind</w:t>
      </w:r>
      <w:r>
        <w:rPr>
          <w:color w:val="174174"/>
          <w:spacing w:val="6"/>
          <w:sz w:val="12"/>
          <w:szCs w:val="12"/>
        </w:rPr>
        <w:t xml:space="preserve"> as</w:t>
      </w:r>
      <w:r>
        <w:rPr>
          <w:color w:val="174174"/>
          <w:spacing w:val="7"/>
          <w:sz w:val="12"/>
          <w:szCs w:val="12"/>
        </w:rPr>
        <w:t xml:space="preserve"> </w:t>
      </w:r>
      <w:r>
        <w:rPr>
          <w:color w:val="174174"/>
          <w:spacing w:val="6"/>
          <w:sz w:val="12"/>
          <w:szCs w:val="12"/>
        </w:rPr>
        <w:t>to</w:t>
      </w:r>
      <w:r>
        <w:rPr>
          <w:color w:val="174174"/>
          <w:spacing w:val="8"/>
          <w:w w:val="101"/>
          <w:sz w:val="12"/>
          <w:szCs w:val="12"/>
        </w:rPr>
        <w:t xml:space="preserve"> </w:t>
      </w:r>
      <w:r>
        <w:rPr>
          <w:color w:val="174174"/>
          <w:spacing w:val="6"/>
          <w:sz w:val="12"/>
          <w:szCs w:val="12"/>
        </w:rPr>
        <w:t>the</w:t>
      </w:r>
      <w:r>
        <w:rPr>
          <w:color w:val="174174"/>
          <w:spacing w:val="8"/>
          <w:sz w:val="12"/>
          <w:szCs w:val="12"/>
        </w:rPr>
        <w:t xml:space="preserve"> </w:t>
      </w:r>
      <w:r>
        <w:rPr>
          <w:color w:val="174174"/>
          <w:spacing w:val="6"/>
          <w:sz w:val="12"/>
          <w:szCs w:val="12"/>
        </w:rPr>
        <w:t>accuracy</w:t>
      </w:r>
      <w:r>
        <w:rPr>
          <w:color w:val="174174"/>
          <w:spacing w:val="9"/>
          <w:w w:val="101"/>
          <w:sz w:val="12"/>
          <w:szCs w:val="12"/>
        </w:rPr>
        <w:t xml:space="preserve"> </w:t>
      </w:r>
      <w:r>
        <w:rPr>
          <w:color w:val="174174"/>
          <w:spacing w:val="6"/>
          <w:sz w:val="12"/>
          <w:szCs w:val="12"/>
        </w:rPr>
        <w:t>or</w:t>
      </w:r>
      <w:r>
        <w:rPr>
          <w:color w:val="174174"/>
          <w:spacing w:val="9"/>
          <w:sz w:val="12"/>
          <w:szCs w:val="12"/>
        </w:rPr>
        <w:t xml:space="preserve"> </w:t>
      </w:r>
      <w:r>
        <w:rPr>
          <w:color w:val="174174"/>
          <w:spacing w:val="6"/>
          <w:sz w:val="12"/>
          <w:szCs w:val="12"/>
        </w:rPr>
        <w:t>completeness</w:t>
      </w:r>
      <w:r>
        <w:rPr>
          <w:color w:val="174174"/>
          <w:spacing w:val="9"/>
          <w:w w:val="101"/>
          <w:sz w:val="12"/>
          <w:szCs w:val="12"/>
        </w:rPr>
        <w:t xml:space="preserve"> </w:t>
      </w:r>
      <w:r>
        <w:rPr>
          <w:color w:val="174174"/>
          <w:spacing w:val="6"/>
          <w:sz w:val="12"/>
          <w:szCs w:val="12"/>
        </w:rPr>
        <w:t>of</w:t>
      </w:r>
      <w:r>
        <w:rPr>
          <w:color w:val="174174"/>
          <w:spacing w:val="8"/>
          <w:w w:val="101"/>
          <w:sz w:val="12"/>
          <w:szCs w:val="12"/>
        </w:rPr>
        <w:t xml:space="preserve"> </w:t>
      </w:r>
      <w:r>
        <w:rPr>
          <w:color w:val="174174"/>
          <w:spacing w:val="6"/>
          <w:sz w:val="12"/>
          <w:szCs w:val="12"/>
        </w:rPr>
        <w:t>any</w:t>
      </w:r>
      <w:r>
        <w:rPr>
          <w:color w:val="174174"/>
          <w:spacing w:val="13"/>
          <w:sz w:val="12"/>
          <w:szCs w:val="12"/>
        </w:rPr>
        <w:t xml:space="preserve"> </w:t>
      </w:r>
      <w:r>
        <w:rPr>
          <w:color w:val="174174"/>
          <w:spacing w:val="6"/>
          <w:sz w:val="12"/>
          <w:szCs w:val="12"/>
        </w:rPr>
        <w:t>information</w:t>
      </w:r>
      <w:r>
        <w:rPr>
          <w:color w:val="174174"/>
          <w:spacing w:val="13"/>
          <w:sz w:val="12"/>
          <w:szCs w:val="12"/>
        </w:rPr>
        <w:t xml:space="preserve"> </w:t>
      </w:r>
      <w:r>
        <w:rPr>
          <w:color w:val="174174"/>
          <w:spacing w:val="6"/>
          <w:sz w:val="12"/>
          <w:szCs w:val="12"/>
        </w:rPr>
        <w:t>provided,</w:t>
      </w:r>
      <w:r>
        <w:rPr>
          <w:color w:val="174174"/>
          <w:spacing w:val="8"/>
          <w:w w:val="101"/>
          <w:sz w:val="12"/>
          <w:szCs w:val="12"/>
        </w:rPr>
        <w:t xml:space="preserve"> </w:t>
      </w:r>
      <w:r>
        <w:rPr>
          <w:color w:val="174174"/>
          <w:spacing w:val="6"/>
          <w:sz w:val="12"/>
          <w:szCs w:val="12"/>
        </w:rPr>
        <w:t>and</w:t>
      </w:r>
      <w:r>
        <w:rPr>
          <w:color w:val="174174"/>
          <w:spacing w:val="8"/>
          <w:w w:val="101"/>
          <w:sz w:val="12"/>
          <w:szCs w:val="12"/>
        </w:rPr>
        <w:t xml:space="preserve"> </w:t>
      </w:r>
      <w:r>
        <w:rPr>
          <w:color w:val="174174"/>
          <w:spacing w:val="6"/>
          <w:sz w:val="12"/>
          <w:szCs w:val="12"/>
        </w:rPr>
        <w:t>accepts</w:t>
      </w:r>
      <w:r>
        <w:rPr>
          <w:color w:val="174174"/>
          <w:spacing w:val="13"/>
          <w:sz w:val="12"/>
          <w:szCs w:val="12"/>
        </w:rPr>
        <w:t xml:space="preserve"> </w:t>
      </w:r>
      <w:r>
        <w:rPr>
          <w:color w:val="174174"/>
          <w:spacing w:val="6"/>
          <w:sz w:val="12"/>
          <w:szCs w:val="12"/>
        </w:rPr>
        <w:t>no</w:t>
      </w:r>
      <w:r>
        <w:rPr>
          <w:color w:val="174174"/>
          <w:spacing w:val="13"/>
          <w:w w:val="102"/>
          <w:sz w:val="12"/>
          <w:szCs w:val="12"/>
        </w:rPr>
        <w:t xml:space="preserve"> </w:t>
      </w:r>
      <w:r>
        <w:rPr>
          <w:color w:val="174174"/>
          <w:spacing w:val="6"/>
          <w:sz w:val="12"/>
          <w:szCs w:val="12"/>
        </w:rPr>
        <w:t>liability</w:t>
      </w:r>
      <w:r>
        <w:rPr>
          <w:color w:val="174174"/>
          <w:spacing w:val="8"/>
          <w:sz w:val="12"/>
          <w:szCs w:val="12"/>
        </w:rPr>
        <w:t xml:space="preserve"> </w:t>
      </w:r>
      <w:r>
        <w:rPr>
          <w:color w:val="174174"/>
          <w:spacing w:val="6"/>
          <w:sz w:val="12"/>
          <w:szCs w:val="12"/>
        </w:rPr>
        <w:t>whatsoever</w:t>
      </w:r>
      <w:r>
        <w:rPr>
          <w:color w:val="174174"/>
          <w:spacing w:val="7"/>
          <w:sz w:val="12"/>
          <w:szCs w:val="12"/>
        </w:rPr>
        <w:t xml:space="preserve"> </w:t>
      </w:r>
      <w:r>
        <w:rPr>
          <w:color w:val="174174"/>
          <w:spacing w:val="6"/>
          <w:sz w:val="12"/>
          <w:szCs w:val="12"/>
        </w:rPr>
        <w:t>for</w:t>
      </w:r>
      <w:r>
        <w:rPr>
          <w:color w:val="174174"/>
          <w:sz w:val="12"/>
          <w:szCs w:val="12"/>
        </w:rPr>
        <w:t xml:space="preserve"> </w:t>
      </w:r>
      <w:r>
        <w:rPr>
          <w:color w:val="174174"/>
          <w:spacing w:val="6"/>
          <w:sz w:val="12"/>
          <w:szCs w:val="12"/>
        </w:rPr>
        <w:t>any</w:t>
      </w:r>
      <w:r>
        <w:rPr>
          <w:color w:val="174174"/>
          <w:spacing w:val="14"/>
          <w:w w:val="102"/>
          <w:sz w:val="12"/>
          <w:szCs w:val="12"/>
        </w:rPr>
        <w:t xml:space="preserve"> </w:t>
      </w:r>
      <w:r>
        <w:rPr>
          <w:color w:val="174174"/>
          <w:spacing w:val="6"/>
          <w:sz w:val="12"/>
          <w:szCs w:val="12"/>
        </w:rPr>
        <w:t>loss or damage</w:t>
      </w:r>
      <w:r>
        <w:rPr>
          <w:color w:val="174174"/>
          <w:spacing w:val="13"/>
          <w:sz w:val="12"/>
          <w:szCs w:val="12"/>
        </w:rPr>
        <w:t xml:space="preserve"> </w:t>
      </w:r>
      <w:r>
        <w:rPr>
          <w:color w:val="174174"/>
          <w:spacing w:val="6"/>
          <w:sz w:val="12"/>
          <w:szCs w:val="12"/>
        </w:rPr>
        <w:t>resulting from opinion, errors,</w:t>
      </w:r>
      <w:r>
        <w:rPr>
          <w:color w:val="174174"/>
          <w:spacing w:val="13"/>
          <w:w w:val="101"/>
          <w:sz w:val="12"/>
          <w:szCs w:val="12"/>
        </w:rPr>
        <w:t xml:space="preserve"> </w:t>
      </w:r>
      <w:r>
        <w:rPr>
          <w:color w:val="174174"/>
          <w:spacing w:val="6"/>
          <w:sz w:val="12"/>
          <w:szCs w:val="12"/>
        </w:rPr>
        <w:t>inaccuracies or</w:t>
      </w:r>
      <w:r>
        <w:rPr>
          <w:color w:val="174174"/>
          <w:spacing w:val="9"/>
          <w:sz w:val="12"/>
          <w:szCs w:val="12"/>
        </w:rPr>
        <w:t xml:space="preserve"> </w:t>
      </w:r>
      <w:r>
        <w:rPr>
          <w:color w:val="174174"/>
          <w:spacing w:val="6"/>
          <w:sz w:val="12"/>
          <w:szCs w:val="12"/>
        </w:rPr>
        <w:t>omissions</w:t>
      </w:r>
      <w:r>
        <w:rPr>
          <w:color w:val="174174"/>
          <w:spacing w:val="8"/>
          <w:w w:val="101"/>
          <w:sz w:val="12"/>
          <w:szCs w:val="12"/>
        </w:rPr>
        <w:t xml:space="preserve"> </w:t>
      </w:r>
      <w:r>
        <w:rPr>
          <w:color w:val="174174"/>
          <w:spacing w:val="6"/>
          <w:sz w:val="12"/>
          <w:szCs w:val="12"/>
        </w:rPr>
        <w:t>affecting</w:t>
      </w:r>
      <w:r>
        <w:rPr>
          <w:color w:val="174174"/>
          <w:spacing w:val="8"/>
          <w:w w:val="101"/>
          <w:sz w:val="12"/>
          <w:szCs w:val="12"/>
        </w:rPr>
        <w:t xml:space="preserve"> </w:t>
      </w:r>
      <w:r>
        <w:rPr>
          <w:color w:val="174174"/>
          <w:spacing w:val="6"/>
          <w:sz w:val="12"/>
          <w:szCs w:val="12"/>
        </w:rPr>
        <w:t>any</w:t>
      </w:r>
      <w:r>
        <w:rPr>
          <w:color w:val="174174"/>
          <w:spacing w:val="13"/>
          <w:sz w:val="12"/>
          <w:szCs w:val="12"/>
        </w:rPr>
        <w:t xml:space="preserve"> </w:t>
      </w:r>
      <w:r>
        <w:rPr>
          <w:color w:val="174174"/>
          <w:spacing w:val="6"/>
          <w:sz w:val="12"/>
          <w:szCs w:val="12"/>
        </w:rPr>
        <w:t>part</w:t>
      </w:r>
      <w:r>
        <w:rPr>
          <w:color w:val="174174"/>
          <w:spacing w:val="9"/>
          <w:sz w:val="12"/>
          <w:szCs w:val="12"/>
        </w:rPr>
        <w:t xml:space="preserve"> </w:t>
      </w:r>
      <w:r>
        <w:rPr>
          <w:color w:val="174174"/>
          <w:spacing w:val="6"/>
          <w:sz w:val="12"/>
          <w:szCs w:val="12"/>
        </w:rPr>
        <w:t>of</w:t>
      </w:r>
      <w:r>
        <w:rPr>
          <w:color w:val="174174"/>
          <w:spacing w:val="7"/>
          <w:sz w:val="12"/>
          <w:szCs w:val="12"/>
        </w:rPr>
        <w:t xml:space="preserve"> </w:t>
      </w:r>
      <w:r>
        <w:rPr>
          <w:color w:val="174174"/>
          <w:spacing w:val="6"/>
          <w:sz w:val="12"/>
          <w:szCs w:val="12"/>
        </w:rPr>
        <w:t>the</w:t>
      </w:r>
      <w:r>
        <w:rPr>
          <w:color w:val="174174"/>
          <w:spacing w:val="10"/>
          <w:sz w:val="12"/>
          <w:szCs w:val="12"/>
        </w:rPr>
        <w:t xml:space="preserve"> </w:t>
      </w:r>
      <w:r>
        <w:rPr>
          <w:color w:val="174174"/>
          <w:spacing w:val="6"/>
          <w:sz w:val="12"/>
          <w:szCs w:val="12"/>
        </w:rPr>
        <w:t>content.</w:t>
      </w:r>
    </w:p>
    <w:p w14:paraId="34A87278">
      <w:pPr>
        <w:pStyle w:val="4"/>
        <w:spacing w:line="263" w:lineRule="auto"/>
      </w:pPr>
    </w:p>
    <w:p w14:paraId="625177A0">
      <w:pPr>
        <w:pStyle w:val="4"/>
        <w:spacing w:before="36" w:line="268" w:lineRule="auto"/>
        <w:ind w:left="11" w:hanging="6"/>
        <w:rPr>
          <w:sz w:val="12"/>
          <w:szCs w:val="12"/>
        </w:rPr>
      </w:pPr>
      <w:r>
        <w:rPr>
          <w:color w:val="174174"/>
          <w:spacing w:val="6"/>
          <w:sz w:val="12"/>
          <w:szCs w:val="12"/>
        </w:rPr>
        <w:t>This</w:t>
      </w:r>
      <w:r>
        <w:rPr>
          <w:color w:val="174174"/>
          <w:spacing w:val="13"/>
          <w:w w:val="102"/>
          <w:sz w:val="12"/>
          <w:szCs w:val="12"/>
        </w:rPr>
        <w:t xml:space="preserve"> </w:t>
      </w:r>
      <w:r>
        <w:rPr>
          <w:color w:val="174174"/>
          <w:spacing w:val="6"/>
          <w:sz w:val="12"/>
          <w:szCs w:val="12"/>
        </w:rPr>
        <w:t>report from</w:t>
      </w:r>
      <w:r>
        <w:rPr>
          <w:color w:val="174174"/>
          <w:spacing w:val="14"/>
          <w:w w:val="102"/>
          <w:sz w:val="12"/>
          <w:szCs w:val="12"/>
        </w:rPr>
        <w:t xml:space="preserve"> </w:t>
      </w:r>
      <w:r>
        <w:rPr>
          <w:color w:val="174174"/>
          <w:spacing w:val="6"/>
          <w:sz w:val="12"/>
          <w:szCs w:val="12"/>
        </w:rPr>
        <w:t>BMI – A</w:t>
      </w:r>
      <w:r>
        <w:rPr>
          <w:color w:val="174174"/>
          <w:spacing w:val="14"/>
          <w:w w:val="101"/>
          <w:sz w:val="12"/>
          <w:szCs w:val="12"/>
        </w:rPr>
        <w:t xml:space="preserve"> </w:t>
      </w:r>
      <w:r>
        <w:rPr>
          <w:color w:val="174174"/>
          <w:spacing w:val="6"/>
          <w:sz w:val="12"/>
          <w:szCs w:val="12"/>
        </w:rPr>
        <w:t>Fitch Solutions Company</w:t>
      </w:r>
      <w:r>
        <w:rPr>
          <w:color w:val="174174"/>
          <w:spacing w:val="13"/>
          <w:w w:val="101"/>
          <w:sz w:val="12"/>
          <w:szCs w:val="12"/>
        </w:rPr>
        <w:t xml:space="preserve"> </w:t>
      </w:r>
      <w:r>
        <w:rPr>
          <w:color w:val="174174"/>
          <w:spacing w:val="6"/>
          <w:sz w:val="12"/>
          <w:szCs w:val="12"/>
        </w:rPr>
        <w:t>is a</w:t>
      </w:r>
      <w:r>
        <w:rPr>
          <w:color w:val="174174"/>
          <w:spacing w:val="13"/>
          <w:sz w:val="12"/>
          <w:szCs w:val="12"/>
        </w:rPr>
        <w:t xml:space="preserve"> </w:t>
      </w:r>
      <w:r>
        <w:rPr>
          <w:color w:val="174174"/>
          <w:spacing w:val="6"/>
          <w:sz w:val="12"/>
          <w:szCs w:val="12"/>
        </w:rPr>
        <w:t>product</w:t>
      </w:r>
      <w:r>
        <w:rPr>
          <w:color w:val="174174"/>
          <w:spacing w:val="9"/>
          <w:sz w:val="12"/>
          <w:szCs w:val="12"/>
        </w:rPr>
        <w:t xml:space="preserve"> </w:t>
      </w:r>
      <w:r>
        <w:rPr>
          <w:color w:val="174174"/>
          <w:spacing w:val="6"/>
          <w:sz w:val="12"/>
          <w:szCs w:val="12"/>
        </w:rPr>
        <w:t>of</w:t>
      </w:r>
      <w:r>
        <w:rPr>
          <w:color w:val="174174"/>
          <w:spacing w:val="14"/>
          <w:w w:val="102"/>
          <w:sz w:val="12"/>
          <w:szCs w:val="12"/>
        </w:rPr>
        <w:t xml:space="preserve"> </w:t>
      </w:r>
      <w:r>
        <w:rPr>
          <w:color w:val="174174"/>
          <w:spacing w:val="6"/>
          <w:sz w:val="12"/>
          <w:szCs w:val="12"/>
        </w:rPr>
        <w:t>Fitch</w:t>
      </w:r>
      <w:r>
        <w:rPr>
          <w:color w:val="174174"/>
          <w:spacing w:val="9"/>
          <w:sz w:val="12"/>
          <w:szCs w:val="12"/>
        </w:rPr>
        <w:t xml:space="preserve"> </w:t>
      </w:r>
      <w:r>
        <w:rPr>
          <w:color w:val="174174"/>
          <w:spacing w:val="6"/>
          <w:sz w:val="12"/>
          <w:szCs w:val="12"/>
        </w:rPr>
        <w:t>Solutions</w:t>
      </w:r>
      <w:r>
        <w:rPr>
          <w:color w:val="174174"/>
          <w:spacing w:val="10"/>
          <w:w w:val="102"/>
          <w:sz w:val="12"/>
          <w:szCs w:val="12"/>
        </w:rPr>
        <w:t xml:space="preserve"> </w:t>
      </w:r>
      <w:r>
        <w:rPr>
          <w:color w:val="174174"/>
          <w:spacing w:val="6"/>
          <w:sz w:val="12"/>
          <w:szCs w:val="12"/>
        </w:rPr>
        <w:t>Group</w:t>
      </w:r>
      <w:r>
        <w:rPr>
          <w:color w:val="174174"/>
          <w:spacing w:val="14"/>
          <w:w w:val="102"/>
          <w:sz w:val="12"/>
          <w:szCs w:val="12"/>
        </w:rPr>
        <w:t xml:space="preserve"> </w:t>
      </w:r>
      <w:r>
        <w:rPr>
          <w:color w:val="174174"/>
          <w:spacing w:val="6"/>
          <w:sz w:val="12"/>
          <w:szCs w:val="12"/>
        </w:rPr>
        <w:t>Limited;</w:t>
      </w:r>
      <w:r>
        <w:rPr>
          <w:color w:val="174174"/>
          <w:spacing w:val="13"/>
          <w:w w:val="101"/>
          <w:sz w:val="12"/>
          <w:szCs w:val="12"/>
        </w:rPr>
        <w:t xml:space="preserve"> </w:t>
      </w:r>
      <w:r>
        <w:rPr>
          <w:color w:val="174174"/>
          <w:spacing w:val="6"/>
          <w:sz w:val="12"/>
          <w:szCs w:val="12"/>
        </w:rPr>
        <w:t>UK</w:t>
      </w:r>
      <w:r>
        <w:rPr>
          <w:color w:val="174174"/>
          <w:spacing w:val="10"/>
          <w:w w:val="102"/>
          <w:sz w:val="12"/>
          <w:szCs w:val="12"/>
        </w:rPr>
        <w:t xml:space="preserve"> </w:t>
      </w:r>
      <w:r>
        <w:rPr>
          <w:color w:val="174174"/>
          <w:spacing w:val="6"/>
          <w:sz w:val="12"/>
          <w:szCs w:val="12"/>
        </w:rPr>
        <w:t>Compa</w:t>
      </w:r>
      <w:r>
        <w:rPr>
          <w:color w:val="174174"/>
          <w:spacing w:val="5"/>
          <w:sz w:val="12"/>
          <w:szCs w:val="12"/>
        </w:rPr>
        <w:t>ny</w:t>
      </w:r>
      <w:r>
        <w:rPr>
          <w:color w:val="174174"/>
          <w:spacing w:val="13"/>
          <w:sz w:val="12"/>
          <w:szCs w:val="12"/>
        </w:rPr>
        <w:t xml:space="preserve"> </w:t>
      </w:r>
      <w:r>
        <w:rPr>
          <w:color w:val="174174"/>
          <w:spacing w:val="5"/>
          <w:sz w:val="12"/>
          <w:szCs w:val="12"/>
        </w:rPr>
        <w:t>registration</w:t>
      </w:r>
      <w:r>
        <w:rPr>
          <w:color w:val="174174"/>
          <w:spacing w:val="13"/>
          <w:sz w:val="12"/>
          <w:szCs w:val="12"/>
        </w:rPr>
        <w:t xml:space="preserve"> </w:t>
      </w:r>
      <w:r>
        <w:rPr>
          <w:color w:val="174174"/>
          <w:spacing w:val="5"/>
          <w:sz w:val="12"/>
          <w:szCs w:val="12"/>
        </w:rPr>
        <w:t>number</w:t>
      </w:r>
      <w:r>
        <w:rPr>
          <w:color w:val="174174"/>
          <w:spacing w:val="10"/>
          <w:sz w:val="12"/>
          <w:szCs w:val="12"/>
        </w:rPr>
        <w:t xml:space="preserve"> </w:t>
      </w:r>
      <w:r>
        <w:rPr>
          <w:color w:val="174174"/>
          <w:spacing w:val="5"/>
          <w:sz w:val="12"/>
          <w:szCs w:val="12"/>
        </w:rPr>
        <w:t>08789939</w:t>
      </w:r>
      <w:r>
        <w:rPr>
          <w:color w:val="174174"/>
          <w:spacing w:val="11"/>
          <w:sz w:val="12"/>
          <w:szCs w:val="12"/>
        </w:rPr>
        <w:t xml:space="preserve"> </w:t>
      </w:r>
      <w:r>
        <w:rPr>
          <w:color w:val="174174"/>
          <w:spacing w:val="5"/>
          <w:sz w:val="12"/>
          <w:szCs w:val="12"/>
        </w:rPr>
        <w:t>('FSG').</w:t>
      </w:r>
      <w:r>
        <w:rPr>
          <w:color w:val="174174"/>
          <w:spacing w:val="14"/>
          <w:w w:val="101"/>
          <w:sz w:val="12"/>
          <w:szCs w:val="12"/>
        </w:rPr>
        <w:t xml:space="preserve"> </w:t>
      </w:r>
      <w:r>
        <w:rPr>
          <w:color w:val="174174"/>
          <w:spacing w:val="5"/>
          <w:sz w:val="12"/>
          <w:szCs w:val="12"/>
        </w:rPr>
        <w:t>FSG</w:t>
      </w:r>
      <w:r>
        <w:rPr>
          <w:color w:val="174174"/>
          <w:spacing w:val="13"/>
          <w:w w:val="101"/>
          <w:sz w:val="12"/>
          <w:szCs w:val="12"/>
        </w:rPr>
        <w:t xml:space="preserve"> </w:t>
      </w:r>
      <w:r>
        <w:rPr>
          <w:color w:val="174174"/>
          <w:spacing w:val="5"/>
          <w:sz w:val="12"/>
          <w:szCs w:val="12"/>
        </w:rPr>
        <w:t>is</w:t>
      </w:r>
      <w:r>
        <w:rPr>
          <w:color w:val="174174"/>
          <w:spacing w:val="8"/>
          <w:w w:val="101"/>
          <w:sz w:val="12"/>
          <w:szCs w:val="12"/>
        </w:rPr>
        <w:t xml:space="preserve"> </w:t>
      </w:r>
      <w:r>
        <w:rPr>
          <w:color w:val="174174"/>
          <w:spacing w:val="5"/>
          <w:sz w:val="12"/>
          <w:szCs w:val="12"/>
        </w:rPr>
        <w:t>an</w:t>
      </w:r>
      <w:r>
        <w:rPr>
          <w:color w:val="174174"/>
          <w:spacing w:val="8"/>
          <w:w w:val="101"/>
          <w:sz w:val="12"/>
          <w:szCs w:val="12"/>
        </w:rPr>
        <w:t xml:space="preserve"> </w:t>
      </w:r>
      <w:r>
        <w:rPr>
          <w:color w:val="174174"/>
          <w:spacing w:val="5"/>
          <w:sz w:val="12"/>
          <w:szCs w:val="12"/>
        </w:rPr>
        <w:t>affiliate</w:t>
      </w:r>
      <w:r>
        <w:rPr>
          <w:color w:val="174174"/>
          <w:spacing w:val="9"/>
          <w:sz w:val="12"/>
          <w:szCs w:val="12"/>
        </w:rPr>
        <w:t xml:space="preserve"> </w:t>
      </w:r>
      <w:r>
        <w:rPr>
          <w:color w:val="174174"/>
          <w:spacing w:val="5"/>
          <w:sz w:val="12"/>
          <w:szCs w:val="12"/>
        </w:rPr>
        <w:t>of</w:t>
      </w:r>
      <w:r>
        <w:rPr>
          <w:color w:val="174174"/>
          <w:sz w:val="12"/>
          <w:szCs w:val="12"/>
        </w:rPr>
        <w:t xml:space="preserve"> </w:t>
      </w:r>
      <w:r>
        <w:rPr>
          <w:color w:val="174174"/>
          <w:spacing w:val="6"/>
          <w:sz w:val="12"/>
          <w:szCs w:val="12"/>
        </w:rPr>
        <w:t>Fitch</w:t>
      </w:r>
      <w:r>
        <w:rPr>
          <w:color w:val="174174"/>
          <w:spacing w:val="15"/>
          <w:sz w:val="12"/>
          <w:szCs w:val="12"/>
        </w:rPr>
        <w:t xml:space="preserve"> </w:t>
      </w:r>
      <w:r>
        <w:rPr>
          <w:color w:val="174174"/>
          <w:spacing w:val="6"/>
          <w:sz w:val="12"/>
          <w:szCs w:val="12"/>
        </w:rPr>
        <w:t>Ratings</w:t>
      </w:r>
      <w:r>
        <w:rPr>
          <w:color w:val="174174"/>
          <w:spacing w:val="15"/>
          <w:w w:val="101"/>
          <w:sz w:val="12"/>
          <w:szCs w:val="12"/>
        </w:rPr>
        <w:t xml:space="preserve"> </w:t>
      </w:r>
      <w:r>
        <w:rPr>
          <w:color w:val="174174"/>
          <w:spacing w:val="6"/>
          <w:sz w:val="12"/>
          <w:szCs w:val="12"/>
        </w:rPr>
        <w:t>Inc. ('Fitch</w:t>
      </w:r>
      <w:r>
        <w:rPr>
          <w:color w:val="174174"/>
          <w:spacing w:val="14"/>
          <w:w w:val="102"/>
          <w:sz w:val="12"/>
          <w:szCs w:val="12"/>
        </w:rPr>
        <w:t xml:space="preserve"> </w:t>
      </w:r>
      <w:r>
        <w:rPr>
          <w:color w:val="174174"/>
          <w:spacing w:val="6"/>
          <w:sz w:val="12"/>
          <w:szCs w:val="12"/>
        </w:rPr>
        <w:t>Ratings').</w:t>
      </w:r>
      <w:r>
        <w:rPr>
          <w:color w:val="174174"/>
          <w:spacing w:val="14"/>
          <w:w w:val="101"/>
          <w:sz w:val="12"/>
          <w:szCs w:val="12"/>
        </w:rPr>
        <w:t xml:space="preserve"> </w:t>
      </w:r>
      <w:r>
        <w:rPr>
          <w:color w:val="174174"/>
          <w:spacing w:val="6"/>
          <w:sz w:val="12"/>
          <w:szCs w:val="12"/>
        </w:rPr>
        <w:t>FSG</w:t>
      </w:r>
      <w:r>
        <w:rPr>
          <w:color w:val="174174"/>
          <w:spacing w:val="13"/>
          <w:w w:val="101"/>
          <w:sz w:val="12"/>
          <w:szCs w:val="12"/>
        </w:rPr>
        <w:t xml:space="preserve"> </w:t>
      </w:r>
      <w:r>
        <w:rPr>
          <w:color w:val="174174"/>
          <w:spacing w:val="6"/>
          <w:sz w:val="12"/>
          <w:szCs w:val="12"/>
        </w:rPr>
        <w:t>is solely</w:t>
      </w:r>
      <w:r>
        <w:rPr>
          <w:color w:val="174174"/>
          <w:spacing w:val="13"/>
          <w:sz w:val="12"/>
          <w:szCs w:val="12"/>
        </w:rPr>
        <w:t xml:space="preserve"> </w:t>
      </w:r>
      <w:r>
        <w:rPr>
          <w:color w:val="174174"/>
          <w:spacing w:val="6"/>
          <w:sz w:val="12"/>
          <w:szCs w:val="12"/>
        </w:rPr>
        <w:t>responsible for the content of this</w:t>
      </w:r>
      <w:r>
        <w:rPr>
          <w:color w:val="174174"/>
          <w:spacing w:val="13"/>
          <w:sz w:val="12"/>
          <w:szCs w:val="12"/>
        </w:rPr>
        <w:t xml:space="preserve"> </w:t>
      </w:r>
      <w:r>
        <w:rPr>
          <w:color w:val="174174"/>
          <w:spacing w:val="6"/>
          <w:sz w:val="12"/>
          <w:szCs w:val="12"/>
        </w:rPr>
        <w:t>repo</w:t>
      </w:r>
      <w:r>
        <w:rPr>
          <w:color w:val="174174"/>
          <w:spacing w:val="5"/>
          <w:sz w:val="12"/>
          <w:szCs w:val="12"/>
        </w:rPr>
        <w:t>rt,</w:t>
      </w:r>
      <w:r>
        <w:rPr>
          <w:color w:val="174174"/>
          <w:spacing w:val="7"/>
          <w:sz w:val="12"/>
          <w:szCs w:val="12"/>
        </w:rPr>
        <w:t xml:space="preserve"> </w:t>
      </w:r>
      <w:r>
        <w:rPr>
          <w:color w:val="174174"/>
          <w:spacing w:val="5"/>
          <w:sz w:val="12"/>
          <w:szCs w:val="12"/>
        </w:rPr>
        <w:t>without</w:t>
      </w:r>
      <w:r>
        <w:rPr>
          <w:color w:val="174174"/>
          <w:spacing w:val="9"/>
          <w:sz w:val="12"/>
          <w:szCs w:val="12"/>
        </w:rPr>
        <w:t xml:space="preserve"> </w:t>
      </w:r>
      <w:r>
        <w:rPr>
          <w:color w:val="174174"/>
          <w:spacing w:val="5"/>
          <w:sz w:val="12"/>
          <w:szCs w:val="12"/>
        </w:rPr>
        <w:t>any</w:t>
      </w:r>
      <w:r>
        <w:rPr>
          <w:color w:val="174174"/>
          <w:spacing w:val="13"/>
          <w:sz w:val="12"/>
          <w:szCs w:val="12"/>
        </w:rPr>
        <w:t xml:space="preserve"> </w:t>
      </w:r>
      <w:r>
        <w:rPr>
          <w:color w:val="174174"/>
          <w:spacing w:val="5"/>
          <w:sz w:val="12"/>
          <w:szCs w:val="12"/>
        </w:rPr>
        <w:t>input</w:t>
      </w:r>
      <w:r>
        <w:rPr>
          <w:color w:val="174174"/>
          <w:spacing w:val="8"/>
          <w:sz w:val="12"/>
          <w:szCs w:val="12"/>
        </w:rPr>
        <w:t xml:space="preserve"> </w:t>
      </w:r>
      <w:r>
        <w:rPr>
          <w:color w:val="174174"/>
          <w:spacing w:val="5"/>
          <w:sz w:val="12"/>
          <w:szCs w:val="12"/>
        </w:rPr>
        <w:t>from</w:t>
      </w:r>
      <w:r>
        <w:rPr>
          <w:color w:val="174174"/>
          <w:spacing w:val="14"/>
          <w:w w:val="102"/>
          <w:sz w:val="12"/>
          <w:szCs w:val="12"/>
        </w:rPr>
        <w:t xml:space="preserve"> </w:t>
      </w:r>
      <w:r>
        <w:rPr>
          <w:color w:val="174174"/>
          <w:spacing w:val="5"/>
          <w:sz w:val="12"/>
          <w:szCs w:val="12"/>
        </w:rPr>
        <w:t>Fitch</w:t>
      </w:r>
      <w:r>
        <w:rPr>
          <w:color w:val="174174"/>
          <w:spacing w:val="14"/>
          <w:w w:val="101"/>
          <w:sz w:val="12"/>
          <w:szCs w:val="12"/>
        </w:rPr>
        <w:t xml:space="preserve"> </w:t>
      </w:r>
      <w:r>
        <w:rPr>
          <w:color w:val="174174"/>
          <w:spacing w:val="5"/>
          <w:sz w:val="12"/>
          <w:szCs w:val="12"/>
        </w:rPr>
        <w:t>Ratings.</w:t>
      </w:r>
    </w:p>
    <w:p w14:paraId="2D7AE5CE">
      <w:pPr>
        <w:pStyle w:val="4"/>
        <w:spacing w:line="263" w:lineRule="auto"/>
      </w:pPr>
    </w:p>
    <w:p w14:paraId="4C14FF4C">
      <w:pPr>
        <w:pStyle w:val="4"/>
        <w:spacing w:before="34" w:line="149" w:lineRule="exact"/>
        <w:ind w:left="8"/>
        <w:rPr>
          <w:sz w:val="12"/>
          <w:szCs w:val="12"/>
        </w:rPr>
      </w:pPr>
      <w:r>
        <w:rPr>
          <w:color w:val="174174"/>
          <w:spacing w:val="7"/>
          <w:position w:val="1"/>
          <w:sz w:val="12"/>
          <w:szCs w:val="12"/>
        </w:rPr>
        <w:t>Copyright © 2025</w:t>
      </w:r>
      <w:r>
        <w:rPr>
          <w:color w:val="174174"/>
          <w:spacing w:val="14"/>
          <w:w w:val="102"/>
          <w:position w:val="1"/>
          <w:sz w:val="12"/>
          <w:szCs w:val="12"/>
        </w:rPr>
        <w:t xml:space="preserve"> </w:t>
      </w:r>
      <w:r>
        <w:rPr>
          <w:color w:val="174174"/>
          <w:spacing w:val="7"/>
          <w:position w:val="1"/>
          <w:sz w:val="12"/>
          <w:szCs w:val="12"/>
        </w:rPr>
        <w:t>Fitch Solutions</w:t>
      </w:r>
      <w:r>
        <w:rPr>
          <w:color w:val="174174"/>
          <w:spacing w:val="6"/>
          <w:position w:val="1"/>
          <w:sz w:val="12"/>
          <w:szCs w:val="12"/>
        </w:rPr>
        <w:t xml:space="preserve"> Group</w:t>
      </w:r>
      <w:r>
        <w:rPr>
          <w:color w:val="174174"/>
          <w:spacing w:val="14"/>
          <w:w w:val="102"/>
          <w:position w:val="1"/>
          <w:sz w:val="12"/>
          <w:szCs w:val="12"/>
        </w:rPr>
        <w:t xml:space="preserve"> </w:t>
      </w:r>
      <w:r>
        <w:rPr>
          <w:color w:val="174174"/>
          <w:spacing w:val="6"/>
          <w:position w:val="1"/>
          <w:sz w:val="12"/>
          <w:szCs w:val="12"/>
        </w:rPr>
        <w:t>Limited.</w:t>
      </w:r>
    </w:p>
    <w:p w14:paraId="03C3235A">
      <w:pPr>
        <w:spacing w:line="149" w:lineRule="exact"/>
        <w:rPr>
          <w:sz w:val="12"/>
          <w:szCs w:val="12"/>
        </w:rPr>
        <w:sectPr>
          <w:footerReference r:id="rId104" w:type="default"/>
          <w:pgSz w:w="11906" w:h="16838"/>
          <w:pgMar w:top="400" w:right="938" w:bottom="400" w:left="850" w:header="0" w:footer="0" w:gutter="0"/>
          <w:cols w:space="720" w:num="1"/>
        </w:sectPr>
      </w:pPr>
    </w:p>
    <w:p w14:paraId="7D06B494">
      <w:pPr>
        <w:pStyle w:val="4"/>
        <w:spacing w:before="158" w:line="426" w:lineRule="exact"/>
        <w:jc w:val="right"/>
        <w:rPr>
          <w:sz w:val="32"/>
          <w:szCs w:val="32"/>
        </w:rPr>
      </w:pPr>
      <w:r>
        <w:rPr>
          <w:spacing w:val="-1"/>
          <w:position w:val="4"/>
          <w:sz w:val="32"/>
          <w:szCs w:val="32"/>
        </w:rPr>
        <w:t>Reproduced with</w:t>
      </w:r>
      <w:r>
        <w:rPr>
          <w:spacing w:val="21"/>
          <w:position w:val="4"/>
          <w:sz w:val="32"/>
          <w:szCs w:val="32"/>
        </w:rPr>
        <w:t xml:space="preserve"> </w:t>
      </w:r>
      <w:r>
        <w:rPr>
          <w:spacing w:val="-1"/>
          <w:position w:val="4"/>
          <w:sz w:val="32"/>
          <w:szCs w:val="32"/>
        </w:rPr>
        <w:t>permission of copyright owner.</w:t>
      </w:r>
      <w:r>
        <w:rPr>
          <w:spacing w:val="26"/>
          <w:position w:val="4"/>
          <w:sz w:val="32"/>
          <w:szCs w:val="32"/>
        </w:rPr>
        <w:t xml:space="preserve"> </w:t>
      </w:r>
      <w:r>
        <w:rPr>
          <w:spacing w:val="-1"/>
          <w:position w:val="4"/>
          <w:sz w:val="32"/>
          <w:szCs w:val="32"/>
        </w:rPr>
        <w:t>Further re</w:t>
      </w:r>
      <w:r>
        <w:rPr>
          <w:spacing w:val="-2"/>
          <w:position w:val="4"/>
          <w:sz w:val="32"/>
          <w:szCs w:val="32"/>
        </w:rPr>
        <w:t>production</w:t>
      </w:r>
    </w:p>
    <w:p w14:paraId="003D7F36">
      <w:pPr>
        <w:pStyle w:val="4"/>
        <w:spacing w:before="54" w:line="425" w:lineRule="exact"/>
        <w:ind w:left="2787"/>
        <w:rPr>
          <w:sz w:val="32"/>
          <w:szCs w:val="32"/>
        </w:rPr>
      </w:pPr>
      <w:r>
        <w:rPr>
          <w:spacing w:val="-1"/>
          <w:position w:val="5"/>
          <w:sz w:val="32"/>
          <w:szCs w:val="32"/>
        </w:rPr>
        <w:t>prohibited without permission.</w:t>
      </w:r>
    </w:p>
    <w:sectPr>
      <w:pgSz w:w="11906" w:h="16838"/>
      <w:pgMar w:top="400" w:right="1044" w:bottom="400" w:left="1069"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05726">
    <w:pPr>
      <w:pStyle w:val="4"/>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890A64">
    <w:pPr>
      <w:pStyle w:val="4"/>
      <w:spacing w:after="36" w:line="123" w:lineRule="exact"/>
      <w:ind w:left="294"/>
      <w:rPr>
        <w:sz w:val="10"/>
        <w:szCs w:val="10"/>
      </w:rPr>
    </w:pPr>
    <w:r>
      <w:drawing>
        <wp:anchor distT="0" distB="0" distL="0" distR="0" simplePos="0" relativeHeight="25167564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7667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709392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94633F5">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4BE8BD">
    <w:pPr>
      <w:pStyle w:val="4"/>
      <w:spacing w:after="36" w:line="123" w:lineRule="exact"/>
      <w:ind w:left="294"/>
      <w:rPr>
        <w:sz w:val="10"/>
        <w:szCs w:val="10"/>
      </w:rPr>
    </w:pPr>
    <w:r>
      <w:drawing>
        <wp:anchor distT="0" distB="0" distL="0" distR="0" simplePos="0" relativeHeight="25167872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7769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8E53B4B">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D46793F">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13</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9F31A6">
    <w:pPr>
      <w:pStyle w:val="4"/>
      <w:spacing w:after="36" w:line="123" w:lineRule="exact"/>
      <w:ind w:left="294"/>
      <w:rPr>
        <w:sz w:val="10"/>
        <w:szCs w:val="10"/>
      </w:rPr>
    </w:pPr>
    <w:r>
      <w:drawing>
        <wp:anchor distT="0" distB="0" distL="0" distR="0" simplePos="0" relativeHeight="25167974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8076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C55BF1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F4C802E">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14</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995A78">
    <w:pPr>
      <w:pStyle w:val="4"/>
      <w:spacing w:after="36" w:line="123" w:lineRule="exact"/>
      <w:ind w:left="294"/>
      <w:rPr>
        <w:sz w:val="10"/>
        <w:szCs w:val="10"/>
      </w:rPr>
    </w:pPr>
    <w:r>
      <w:drawing>
        <wp:anchor distT="0" distB="0" distL="0" distR="0" simplePos="0" relativeHeight="25168281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8179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92759B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C202A06">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15</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D0717">
    <w:pPr>
      <w:pStyle w:val="4"/>
      <w:spacing w:after="36" w:line="123" w:lineRule="exact"/>
      <w:ind w:left="294"/>
      <w:rPr>
        <w:sz w:val="10"/>
        <w:szCs w:val="10"/>
      </w:rPr>
    </w:pPr>
    <w:r>
      <w:drawing>
        <wp:anchor distT="0" distB="0" distL="0" distR="0" simplePos="0" relativeHeight="25168384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8486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CDF588A">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E16EAA4">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16</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29DB2">
    <w:pPr>
      <w:pStyle w:val="4"/>
      <w:spacing w:after="36" w:line="123" w:lineRule="exact"/>
      <w:ind w:left="294"/>
      <w:rPr>
        <w:sz w:val="10"/>
        <w:szCs w:val="10"/>
      </w:rPr>
    </w:pPr>
    <w:r>
      <w:drawing>
        <wp:anchor distT="0" distB="0" distL="0" distR="0" simplePos="0" relativeHeight="25168588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1D853C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AA0C51E">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17</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F5BA04">
    <w:pPr>
      <w:pStyle w:val="4"/>
      <w:spacing w:after="36" w:line="123" w:lineRule="exact"/>
      <w:ind w:left="294"/>
      <w:rPr>
        <w:sz w:val="10"/>
        <w:szCs w:val="10"/>
      </w:rPr>
    </w:pPr>
    <w:r>
      <w:drawing>
        <wp:anchor distT="0" distB="0" distL="0" distR="0" simplePos="0" relativeHeight="25168793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DE907C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25C9E7D">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A86D77">
    <w:pPr>
      <w:pStyle w:val="4"/>
      <w:spacing w:after="36" w:line="123" w:lineRule="exact"/>
      <w:ind w:left="294"/>
      <w:rPr>
        <w:sz w:val="10"/>
        <w:szCs w:val="10"/>
      </w:rPr>
    </w:pPr>
    <w:r>
      <w:drawing>
        <wp:anchor distT="0" distB="0" distL="0" distR="0" simplePos="0" relativeHeight="2516910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8998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EF1210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75D8F41">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19</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9A5F61">
    <w:pPr>
      <w:pStyle w:val="4"/>
      <w:spacing w:after="36" w:line="123" w:lineRule="exact"/>
      <w:ind w:left="294"/>
      <w:rPr>
        <w:sz w:val="10"/>
        <w:szCs w:val="10"/>
      </w:rPr>
    </w:pPr>
    <w:r>
      <w:drawing>
        <wp:anchor distT="0" distB="0" distL="0" distR="0" simplePos="0" relativeHeight="25169305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BF76F2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C68EF71">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20</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1225E">
    <w:pPr>
      <w:pStyle w:val="4"/>
      <w:spacing w:after="36" w:line="123" w:lineRule="exact"/>
      <w:ind w:left="294"/>
      <w:rPr>
        <w:sz w:val="10"/>
        <w:szCs w:val="10"/>
      </w:rPr>
    </w:pPr>
    <w:r>
      <w:drawing>
        <wp:anchor distT="0" distB="0" distL="0" distR="0" simplePos="0" relativeHeight="25169510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9408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E645B3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F39491E">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BDBBB">
    <w:pPr>
      <w:pStyle w:val="4"/>
      <w:spacing w:after="36" w:line="123" w:lineRule="exact"/>
      <w:ind w:left="294"/>
      <w:rPr>
        <w:sz w:val="10"/>
        <w:szCs w:val="10"/>
      </w:rPr>
    </w:pPr>
    <w:r>
      <w:drawing>
        <wp:anchor distT="0" distB="0" distL="0" distR="0" simplePos="0" relativeHeight="25166028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5926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42E094B">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4F6E625">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4</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06D34">
    <w:pPr>
      <w:pStyle w:val="4"/>
      <w:spacing w:after="36" w:line="123" w:lineRule="exact"/>
      <w:ind w:left="294"/>
      <w:rPr>
        <w:sz w:val="10"/>
        <w:szCs w:val="10"/>
      </w:rPr>
    </w:pPr>
    <w:r>
      <w:drawing>
        <wp:anchor distT="0" distB="0" distL="0" distR="0" simplePos="0" relativeHeight="25169612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9715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E6A84E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364B584">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22</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5E65A">
    <w:pPr>
      <w:pStyle w:val="4"/>
      <w:spacing w:after="36" w:line="123" w:lineRule="exact"/>
      <w:ind w:left="294"/>
      <w:rPr>
        <w:sz w:val="10"/>
        <w:szCs w:val="10"/>
      </w:rPr>
    </w:pPr>
    <w:r>
      <w:drawing>
        <wp:anchor distT="0" distB="0" distL="0" distR="0" simplePos="0" relativeHeight="25169817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9920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0ECD5BA">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45A7EC1">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23</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B86B3">
    <w:pPr>
      <w:pStyle w:val="4"/>
      <w:spacing w:after="36" w:line="123" w:lineRule="exact"/>
      <w:ind w:left="294"/>
      <w:rPr>
        <w:sz w:val="10"/>
        <w:szCs w:val="10"/>
      </w:rPr>
    </w:pPr>
    <w:r>
      <w:drawing>
        <wp:anchor distT="0" distB="0" distL="0" distR="0" simplePos="0" relativeHeight="25170124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0022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5B00363">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5D47ED2">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24</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BC105">
    <w:pPr>
      <w:pStyle w:val="4"/>
      <w:spacing w:after="36" w:line="123" w:lineRule="exact"/>
      <w:ind w:left="294"/>
      <w:rPr>
        <w:sz w:val="10"/>
        <w:szCs w:val="10"/>
      </w:rPr>
    </w:pPr>
    <w:r>
      <w:drawing>
        <wp:anchor distT="0" distB="0" distL="0" distR="0" simplePos="0" relativeHeight="25170329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0227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98D364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0ADB35D">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25</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616C6B">
    <w:pPr>
      <w:pStyle w:val="4"/>
      <w:spacing w:after="36" w:line="123" w:lineRule="exact"/>
      <w:ind w:left="294"/>
      <w:rPr>
        <w:sz w:val="10"/>
        <w:szCs w:val="10"/>
      </w:rPr>
    </w:pPr>
    <w:r>
      <w:drawing>
        <wp:anchor distT="0" distB="0" distL="0" distR="0" simplePos="0" relativeHeight="25170432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0534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509929C">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26E06BA">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26</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BBD98">
    <w:pPr>
      <w:pStyle w:val="4"/>
      <w:spacing w:after="36" w:line="123" w:lineRule="exact"/>
      <w:ind w:left="294"/>
      <w:rPr>
        <w:sz w:val="10"/>
        <w:szCs w:val="10"/>
      </w:rPr>
    </w:pPr>
    <w:r>
      <w:drawing>
        <wp:anchor distT="0" distB="0" distL="0" distR="0" simplePos="0" relativeHeight="25170636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0739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BFF26E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E106BF5">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27</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AB4EC6">
    <w:pPr>
      <w:pStyle w:val="4"/>
      <w:spacing w:after="36" w:line="123" w:lineRule="exact"/>
      <w:ind w:left="294"/>
      <w:rPr>
        <w:sz w:val="10"/>
        <w:szCs w:val="10"/>
      </w:rPr>
    </w:pPr>
    <w:r>
      <w:drawing>
        <wp:anchor distT="0" distB="0" distL="0" distR="0" simplePos="0" relativeHeight="25170841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0944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7B9AE2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D1203F6">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28</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52252">
    <w:pPr>
      <w:pStyle w:val="4"/>
      <w:spacing w:after="36" w:line="123" w:lineRule="exact"/>
      <w:ind w:left="294"/>
      <w:rPr>
        <w:sz w:val="10"/>
        <w:szCs w:val="10"/>
      </w:rPr>
    </w:pPr>
    <w:r>
      <w:drawing>
        <wp:anchor distT="0" distB="0" distL="0" distR="0" simplePos="0" relativeHeight="25171046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1148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5F4A4D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3F44BDC">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29</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C0B6B2">
    <w:pPr>
      <w:pStyle w:val="4"/>
      <w:spacing w:after="36" w:line="123" w:lineRule="exact"/>
      <w:ind w:left="294"/>
      <w:rPr>
        <w:sz w:val="10"/>
        <w:szCs w:val="10"/>
      </w:rPr>
    </w:pPr>
    <w:r>
      <w:drawing>
        <wp:anchor distT="0" distB="0" distL="0" distR="0" simplePos="0" relativeHeight="25171251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1353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8E76CE0">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814ABDF">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30</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5DD047">
    <w:pPr>
      <w:pStyle w:val="4"/>
      <w:spacing w:after="36" w:line="123" w:lineRule="exact"/>
      <w:ind w:left="294"/>
      <w:rPr>
        <w:sz w:val="10"/>
        <w:szCs w:val="10"/>
      </w:rPr>
    </w:pPr>
    <w:r>
      <w:drawing>
        <wp:anchor distT="0" distB="0" distL="0" distR="0" simplePos="0" relativeHeight="25171558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1456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2DE6CE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14892CD">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121C67">
    <w:pPr>
      <w:pStyle w:val="4"/>
      <w:spacing w:after="36" w:line="123" w:lineRule="exact"/>
      <w:ind w:left="294"/>
      <w:rPr>
        <w:sz w:val="10"/>
        <w:szCs w:val="10"/>
      </w:rPr>
    </w:pPr>
    <w:r>
      <w:drawing>
        <wp:anchor distT="0" distB="0" distL="0" distR="0" simplePos="0" relativeHeight="25166233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BD0AE8F">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68598FF">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5</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17061">
    <w:pPr>
      <w:pStyle w:val="4"/>
      <w:spacing w:after="36" w:line="123" w:lineRule="exact"/>
      <w:ind w:left="294"/>
      <w:rPr>
        <w:sz w:val="10"/>
        <w:szCs w:val="10"/>
      </w:rPr>
    </w:pPr>
    <w:r>
      <w:drawing>
        <wp:anchor distT="0" distB="0" distL="0" distR="0" simplePos="0" relativeHeight="2517166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1763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5C9325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B28A437">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32</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2E327C">
    <w:pPr>
      <w:pStyle w:val="4"/>
      <w:spacing w:after="36" w:line="123" w:lineRule="exact"/>
      <w:ind w:left="294"/>
      <w:rPr>
        <w:sz w:val="10"/>
        <w:szCs w:val="10"/>
      </w:rPr>
    </w:pPr>
    <w:r>
      <w:drawing>
        <wp:anchor distT="0" distB="0" distL="0" distR="0" simplePos="0" relativeHeight="25171865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1968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D25B86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CEAF134">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33</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3EBDD">
    <w:pPr>
      <w:pStyle w:val="4"/>
      <w:spacing w:after="36" w:line="123" w:lineRule="exact"/>
      <w:ind w:left="294"/>
      <w:rPr>
        <w:sz w:val="10"/>
        <w:szCs w:val="10"/>
      </w:rPr>
    </w:pPr>
    <w:r>
      <w:drawing>
        <wp:anchor distT="0" distB="0" distL="0" distR="0" simplePos="0" relativeHeight="25172172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2070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53C1A3F">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9AF1AE3">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34</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C779FB">
    <w:pPr>
      <w:pStyle w:val="4"/>
      <w:spacing w:after="36" w:line="123" w:lineRule="exact"/>
      <w:ind w:left="294"/>
      <w:rPr>
        <w:sz w:val="10"/>
        <w:szCs w:val="10"/>
      </w:rPr>
    </w:pPr>
    <w:r>
      <w:drawing>
        <wp:anchor distT="0" distB="0" distL="0" distR="0" simplePos="0" relativeHeight="25172377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2275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1F4A3A6">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80EA452">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35</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2FE73F">
    <w:pPr>
      <w:pStyle w:val="4"/>
      <w:spacing w:after="36" w:line="123" w:lineRule="exact"/>
      <w:ind w:left="294"/>
      <w:rPr>
        <w:sz w:val="10"/>
        <w:szCs w:val="10"/>
      </w:rPr>
    </w:pPr>
    <w:r>
      <w:drawing>
        <wp:anchor distT="0" distB="0" distL="0" distR="0" simplePos="0" relativeHeight="25172582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2480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C28916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CA58F3C">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36</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68F447">
    <w:pPr>
      <w:pStyle w:val="4"/>
      <w:spacing w:after="36" w:line="123" w:lineRule="exact"/>
      <w:ind w:left="294"/>
      <w:rPr>
        <w:sz w:val="10"/>
        <w:szCs w:val="10"/>
      </w:rPr>
    </w:pPr>
    <w:r>
      <w:drawing>
        <wp:anchor distT="0" distB="0" distL="0" distR="0" simplePos="0" relativeHeight="25172684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2787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1818CD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2140963">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37</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C85A47">
    <w:pPr>
      <w:pStyle w:val="4"/>
      <w:spacing w:after="36" w:line="123" w:lineRule="exact"/>
      <w:ind w:left="294"/>
      <w:rPr>
        <w:sz w:val="10"/>
        <w:szCs w:val="10"/>
      </w:rPr>
    </w:pPr>
    <w:r>
      <w:drawing>
        <wp:anchor distT="0" distB="0" distL="0" distR="0" simplePos="0" relativeHeight="25172889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2992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95A0A12">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C132307">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38</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DEAD9E">
    <w:pPr>
      <w:pStyle w:val="4"/>
      <w:spacing w:after="36" w:line="123" w:lineRule="exact"/>
      <w:ind w:left="294"/>
      <w:rPr>
        <w:sz w:val="10"/>
        <w:szCs w:val="10"/>
      </w:rPr>
    </w:pPr>
    <w:r>
      <w:drawing>
        <wp:anchor distT="0" distB="0" distL="0" distR="0" simplePos="0" relativeHeight="25173094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3196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271B0B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6968D0D">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39</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E1D7C5">
    <w:pPr>
      <w:pStyle w:val="4"/>
      <w:spacing w:after="36" w:line="123" w:lineRule="exact"/>
      <w:ind w:left="294"/>
      <w:rPr>
        <w:sz w:val="10"/>
        <w:szCs w:val="10"/>
      </w:rPr>
    </w:pPr>
    <w:r>
      <w:drawing>
        <wp:anchor distT="0" distB="0" distL="0" distR="0" simplePos="0" relativeHeight="25173299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3401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AFC561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8323A68">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40</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B1BE27">
    <w:pPr>
      <w:pStyle w:val="4"/>
      <w:spacing w:after="36" w:line="123" w:lineRule="exact"/>
      <w:ind w:left="294"/>
      <w:rPr>
        <w:sz w:val="10"/>
        <w:szCs w:val="10"/>
      </w:rPr>
    </w:pPr>
    <w:r>
      <w:drawing>
        <wp:anchor distT="0" distB="0" distL="0" distR="0" simplePos="0" relativeHeight="25173504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3606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6F8025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6FE183E">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48B862">
    <w:pPr>
      <w:pStyle w:val="4"/>
      <w:spacing w:after="36" w:line="123" w:lineRule="exact"/>
      <w:ind w:left="294"/>
      <w:rPr>
        <w:sz w:val="10"/>
        <w:szCs w:val="10"/>
      </w:rPr>
    </w:pPr>
    <w:r>
      <w:drawing>
        <wp:anchor distT="0" distB="0" distL="0" distR="0" simplePos="0" relativeHeight="25166438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4F6DF1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08EAAF8">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6</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87E5F">
    <w:pPr>
      <w:pStyle w:val="4"/>
      <w:spacing w:after="36" w:line="123" w:lineRule="exact"/>
      <w:ind w:left="294"/>
      <w:rPr>
        <w:sz w:val="10"/>
        <w:szCs w:val="10"/>
      </w:rPr>
    </w:pPr>
    <w:r>
      <w:drawing>
        <wp:anchor distT="0" distB="0" distL="0" distR="0" simplePos="0" relativeHeight="25173708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3811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8217E4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2EB9DFD">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42</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92DE5">
    <w:pPr>
      <w:pStyle w:val="4"/>
      <w:spacing w:after="36" w:line="123" w:lineRule="exact"/>
      <w:ind w:left="294"/>
      <w:rPr>
        <w:sz w:val="10"/>
        <w:szCs w:val="10"/>
      </w:rPr>
    </w:pPr>
    <w:r>
      <w:drawing>
        <wp:anchor distT="0" distB="0" distL="0" distR="0" simplePos="0" relativeHeight="25174016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3913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4F29AF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ED4D52C">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43</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C2429">
    <w:pPr>
      <w:pStyle w:val="4"/>
      <w:spacing w:after="36" w:line="123" w:lineRule="exact"/>
      <w:ind w:left="294"/>
      <w:rPr>
        <w:sz w:val="10"/>
        <w:szCs w:val="10"/>
      </w:rPr>
    </w:pPr>
    <w:r>
      <w:drawing>
        <wp:anchor distT="0" distB="0" distL="0" distR="0" simplePos="0" relativeHeight="2517422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4118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DCBC41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5F7EFCB">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44</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87F796">
    <w:pPr>
      <w:pStyle w:val="4"/>
      <w:spacing w:after="36" w:line="123" w:lineRule="exact"/>
      <w:ind w:left="294"/>
      <w:rPr>
        <w:sz w:val="10"/>
        <w:szCs w:val="10"/>
      </w:rPr>
    </w:pPr>
    <w:r>
      <w:drawing>
        <wp:anchor distT="0" distB="0" distL="0" distR="0" simplePos="0" relativeHeight="25174323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4425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B67481F">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74E0087">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45</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F7700A">
    <w:pPr>
      <w:pStyle w:val="4"/>
      <w:spacing w:after="36" w:line="123" w:lineRule="exact"/>
      <w:ind w:left="294"/>
      <w:rPr>
        <w:sz w:val="10"/>
        <w:szCs w:val="10"/>
      </w:rPr>
    </w:pPr>
    <w:r>
      <w:drawing>
        <wp:anchor distT="0" distB="0" distL="0" distR="0" simplePos="0" relativeHeight="25174528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4630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EE102F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E1E0964">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46</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610D">
    <w:pPr>
      <w:pStyle w:val="4"/>
      <w:spacing w:after="36" w:line="123" w:lineRule="exact"/>
      <w:ind w:left="294"/>
      <w:rPr>
        <w:sz w:val="10"/>
        <w:szCs w:val="10"/>
      </w:rPr>
    </w:pPr>
    <w:r>
      <w:drawing>
        <wp:anchor distT="0" distB="0" distL="0" distR="0" simplePos="0" relativeHeight="25174835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4732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1429C8F">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0176428">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47</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73D42">
    <w:pPr>
      <w:pStyle w:val="4"/>
      <w:spacing w:after="36" w:line="123" w:lineRule="exact"/>
      <w:ind w:left="294"/>
      <w:rPr>
        <w:sz w:val="10"/>
        <w:szCs w:val="10"/>
      </w:rPr>
    </w:pPr>
    <w:r>
      <w:drawing>
        <wp:anchor distT="0" distB="0" distL="0" distR="0" simplePos="0" relativeHeight="25175040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4937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349A906">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A81FB19">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48</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F8AF50">
    <w:pPr>
      <w:pStyle w:val="4"/>
      <w:spacing w:after="36" w:line="123" w:lineRule="exact"/>
      <w:ind w:left="294"/>
      <w:rPr>
        <w:sz w:val="10"/>
        <w:szCs w:val="10"/>
      </w:rPr>
    </w:pPr>
    <w:r>
      <w:drawing>
        <wp:anchor distT="0" distB="0" distL="0" distR="0" simplePos="0" relativeHeight="25175142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5244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D06EED2">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3B22A55">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49</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8F843F">
    <w:pPr>
      <w:pStyle w:val="4"/>
      <w:spacing w:after="36" w:line="123" w:lineRule="exact"/>
      <w:ind w:left="294"/>
      <w:rPr>
        <w:sz w:val="10"/>
        <w:szCs w:val="10"/>
      </w:rPr>
    </w:pPr>
    <w:r>
      <w:drawing>
        <wp:anchor distT="0" distB="0" distL="0" distR="0" simplePos="0" relativeHeight="25175449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5347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0913592">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9D2F21C">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50</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DAC27">
    <w:pPr>
      <w:pStyle w:val="4"/>
      <w:spacing w:after="36" w:line="123" w:lineRule="exact"/>
      <w:ind w:left="294"/>
      <w:rPr>
        <w:sz w:val="10"/>
        <w:szCs w:val="10"/>
      </w:rPr>
    </w:pPr>
    <w:r>
      <w:drawing>
        <wp:anchor distT="0" distB="0" distL="0" distR="0" simplePos="0" relativeHeight="25175552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5654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41C931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FF1CE1D">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3E4C9D">
    <w:pPr>
      <w:pStyle w:val="4"/>
      <w:spacing w:after="36" w:line="123" w:lineRule="exact"/>
      <w:ind w:left="294"/>
      <w:rPr>
        <w:sz w:val="10"/>
        <w:szCs w:val="10"/>
      </w:rPr>
    </w:pPr>
    <w:r>
      <w:drawing>
        <wp:anchor distT="0" distB="0" distL="0" distR="0" simplePos="0" relativeHeight="2516654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6643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DFCCA7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85E3AE7">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7</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72B247">
    <w:pPr>
      <w:pStyle w:val="4"/>
      <w:spacing w:after="36" w:line="123" w:lineRule="exact"/>
      <w:ind w:left="294"/>
      <w:rPr>
        <w:sz w:val="10"/>
        <w:szCs w:val="10"/>
      </w:rPr>
    </w:pPr>
    <w:r>
      <w:drawing>
        <wp:anchor distT="0" distB="0" distL="0" distR="0" simplePos="0" relativeHeight="25175756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5859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73CB9F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2847400">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52</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E851AB">
    <w:pPr>
      <w:pStyle w:val="4"/>
      <w:spacing w:after="36" w:line="123" w:lineRule="exact"/>
      <w:ind w:left="294"/>
      <w:rPr>
        <w:sz w:val="10"/>
        <w:szCs w:val="10"/>
      </w:rPr>
    </w:pPr>
    <w:r>
      <w:drawing>
        <wp:anchor distT="0" distB="0" distL="0" distR="0" simplePos="0" relativeHeight="25176064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5961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A62E7C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41DCA6F">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53</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59EE5">
    <w:pPr>
      <w:pStyle w:val="4"/>
      <w:spacing w:after="36" w:line="123" w:lineRule="exact"/>
      <w:ind w:left="294"/>
      <w:rPr>
        <w:sz w:val="10"/>
        <w:szCs w:val="10"/>
      </w:rPr>
    </w:pPr>
    <w:r>
      <w:drawing>
        <wp:anchor distT="0" distB="0" distL="0" distR="0" simplePos="0" relativeHeight="25176166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6268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7D0ED56">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32DDB23">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54</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04AEB4">
    <w:pPr>
      <w:pStyle w:val="4"/>
      <w:spacing w:after="36" w:line="123" w:lineRule="exact"/>
      <w:ind w:left="294"/>
      <w:rPr>
        <w:sz w:val="10"/>
        <w:szCs w:val="10"/>
      </w:rPr>
    </w:pPr>
    <w:r>
      <w:drawing>
        <wp:anchor distT="0" distB="0" distL="0" distR="0" simplePos="0" relativeHeight="25176473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6371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DCD816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74449FF">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55</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9C10E">
    <w:pPr>
      <w:pStyle w:val="4"/>
      <w:spacing w:after="36" w:line="123" w:lineRule="exact"/>
      <w:ind w:left="294"/>
      <w:rPr>
        <w:sz w:val="10"/>
        <w:szCs w:val="10"/>
      </w:rPr>
    </w:pPr>
    <w:r>
      <w:drawing>
        <wp:anchor distT="0" distB="0" distL="0" distR="0" simplePos="0" relativeHeight="25176576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6678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70C3C9F7">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8BB22FC">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56</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9B37E">
    <w:pPr>
      <w:pStyle w:val="4"/>
      <w:spacing w:after="36" w:line="123" w:lineRule="exact"/>
      <w:ind w:left="294"/>
      <w:rPr>
        <w:sz w:val="10"/>
        <w:szCs w:val="10"/>
      </w:rPr>
    </w:pPr>
    <w:r>
      <w:drawing>
        <wp:anchor distT="0" distB="0" distL="0" distR="0" simplePos="0" relativeHeight="2517678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6883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5B8A01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C4A5FEF">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57</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0BDAC">
    <w:pPr>
      <w:pStyle w:val="4"/>
      <w:spacing w:after="36" w:line="123" w:lineRule="exact"/>
      <w:ind w:left="294"/>
      <w:rPr>
        <w:sz w:val="10"/>
        <w:szCs w:val="10"/>
      </w:rPr>
    </w:pPr>
    <w:r>
      <w:drawing>
        <wp:anchor distT="0" distB="0" distL="0" distR="0" simplePos="0" relativeHeight="25177088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6985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A3F7090">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AC00CDB">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58</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2F15D">
    <w:pPr>
      <w:pStyle w:val="4"/>
      <w:spacing w:after="36" w:line="123" w:lineRule="exact"/>
      <w:ind w:left="294"/>
      <w:rPr>
        <w:sz w:val="10"/>
        <w:szCs w:val="10"/>
      </w:rPr>
    </w:pPr>
    <w:r>
      <w:drawing>
        <wp:anchor distT="0" distB="0" distL="0" distR="0" simplePos="0" relativeHeight="25177190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7292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0784413">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2C2682C">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59</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38189F">
    <w:pPr>
      <w:pStyle w:val="4"/>
      <w:spacing w:after="36" w:line="123" w:lineRule="exact"/>
      <w:ind w:left="294"/>
      <w:rPr>
        <w:sz w:val="10"/>
        <w:szCs w:val="10"/>
      </w:rPr>
    </w:pPr>
    <w:r>
      <w:drawing>
        <wp:anchor distT="0" distB="0" distL="0" distR="0" simplePos="0" relativeHeight="25177497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7395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977DBEA">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0FB2B6C">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60</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7E7BCD">
    <w:pPr>
      <w:pStyle w:val="4"/>
      <w:spacing w:after="36" w:line="123" w:lineRule="exact"/>
      <w:ind w:left="294"/>
      <w:rPr>
        <w:sz w:val="10"/>
        <w:szCs w:val="10"/>
      </w:rPr>
    </w:pPr>
    <w:r>
      <w:drawing>
        <wp:anchor distT="0" distB="0" distL="0" distR="0" simplePos="0" relativeHeight="25177702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7600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16AA07C">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837BBC3">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1251C8">
    <w:pPr>
      <w:pStyle w:val="4"/>
      <w:spacing w:after="36" w:line="123" w:lineRule="exact"/>
      <w:ind w:left="294"/>
      <w:rPr>
        <w:sz w:val="10"/>
        <w:szCs w:val="10"/>
      </w:rPr>
    </w:pPr>
    <w:r>
      <w:drawing>
        <wp:anchor distT="0" distB="0" distL="0" distR="0" simplePos="0" relativeHeight="25166848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F4E029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4981B39">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4A7F6F">
    <w:pPr>
      <w:pStyle w:val="4"/>
      <w:spacing w:after="36" w:line="123" w:lineRule="exact"/>
      <w:ind w:left="294"/>
      <w:rPr>
        <w:sz w:val="10"/>
        <w:szCs w:val="10"/>
      </w:rPr>
    </w:pPr>
    <w:r>
      <w:drawing>
        <wp:anchor distT="0" distB="0" distL="0" distR="0" simplePos="0" relativeHeight="25177804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7907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54D441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2C0BECAD">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62</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D7724">
    <w:pPr>
      <w:pStyle w:val="4"/>
      <w:spacing w:after="36" w:line="123" w:lineRule="exact"/>
      <w:ind w:left="294"/>
      <w:rPr>
        <w:sz w:val="10"/>
        <w:szCs w:val="10"/>
      </w:rPr>
    </w:pPr>
    <w:r>
      <w:drawing>
        <wp:anchor distT="0" distB="0" distL="0" distR="0" simplePos="0" relativeHeight="25178009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8112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B9EC1E3">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EE6D165">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63</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E25737">
    <w:pPr>
      <w:pStyle w:val="4"/>
      <w:spacing w:after="36" w:line="123" w:lineRule="exact"/>
      <w:ind w:left="294"/>
      <w:rPr>
        <w:sz w:val="10"/>
        <w:szCs w:val="10"/>
      </w:rPr>
    </w:pPr>
    <w:r>
      <w:drawing>
        <wp:anchor distT="0" distB="0" distL="0" distR="0" simplePos="0" relativeHeight="25178214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8316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462105C">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D18DF89">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64</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939908">
    <w:pPr>
      <w:pStyle w:val="4"/>
      <w:spacing w:after="36" w:line="123" w:lineRule="exact"/>
      <w:ind w:left="294"/>
      <w:rPr>
        <w:sz w:val="10"/>
        <w:szCs w:val="10"/>
      </w:rPr>
    </w:pPr>
    <w:r>
      <w:drawing>
        <wp:anchor distT="0" distB="0" distL="0" distR="0" simplePos="0" relativeHeight="25178521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8419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D020D6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31A08C6">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65</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E80AF4">
    <w:pPr>
      <w:pStyle w:val="4"/>
      <w:spacing w:after="36" w:line="123" w:lineRule="exact"/>
      <w:ind w:left="294"/>
      <w:rPr>
        <w:sz w:val="10"/>
        <w:szCs w:val="10"/>
      </w:rPr>
    </w:pPr>
    <w:r>
      <w:drawing>
        <wp:anchor distT="0" distB="0" distL="0" distR="0" simplePos="0" relativeHeight="25178624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8726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A996C54">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95E430C">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66</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04BDEB">
    <w:pPr>
      <w:pStyle w:val="4"/>
      <w:spacing w:after="36" w:line="123" w:lineRule="exact"/>
      <w:ind w:left="294"/>
      <w:rPr>
        <w:sz w:val="10"/>
        <w:szCs w:val="10"/>
      </w:rPr>
    </w:pPr>
    <w:r>
      <w:drawing>
        <wp:anchor distT="0" distB="0" distL="0" distR="0" simplePos="0" relativeHeight="25178828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8931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57D08D0">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52F1310">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67</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B593E6">
    <w:pPr>
      <w:pStyle w:val="4"/>
      <w:spacing w:after="36" w:line="123" w:lineRule="exact"/>
      <w:ind w:left="294"/>
      <w:rPr>
        <w:sz w:val="10"/>
        <w:szCs w:val="10"/>
      </w:rPr>
    </w:pPr>
    <w:r>
      <w:drawing>
        <wp:anchor distT="0" distB="0" distL="0" distR="0" simplePos="0" relativeHeight="25179136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9033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F54303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FEDFD92">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68</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2F44CD">
    <w:pPr>
      <w:pStyle w:val="4"/>
      <w:spacing w:after="36" w:line="123" w:lineRule="exact"/>
      <w:ind w:left="294"/>
      <w:rPr>
        <w:sz w:val="10"/>
        <w:szCs w:val="10"/>
      </w:rPr>
    </w:pPr>
    <w:r>
      <w:drawing>
        <wp:anchor distT="0" distB="0" distL="0" distR="0" simplePos="0" relativeHeight="2517934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9238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A570822">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0B20AFF">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69</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B6E0B">
    <w:pPr>
      <w:pStyle w:val="4"/>
      <w:spacing w:after="36" w:line="123" w:lineRule="exact"/>
      <w:ind w:left="294"/>
      <w:rPr>
        <w:sz w:val="10"/>
        <w:szCs w:val="10"/>
      </w:rPr>
    </w:pPr>
    <w:r>
      <w:drawing>
        <wp:anchor distT="0" distB="0" distL="0" distR="0" simplePos="0" relativeHeight="25179545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9443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DF0F6C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A52BE0C">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70</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7AD41">
    <w:pPr>
      <w:pStyle w:val="4"/>
      <w:spacing w:after="36" w:line="123" w:lineRule="exact"/>
      <w:ind w:left="294"/>
      <w:rPr>
        <w:sz w:val="10"/>
        <w:szCs w:val="10"/>
      </w:rPr>
    </w:pPr>
    <w:r>
      <w:drawing>
        <wp:anchor distT="0" distB="0" distL="0" distR="0" simplePos="0" relativeHeight="25179648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9750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376FA9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0B415DE">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43A80">
    <w:pPr>
      <w:pStyle w:val="4"/>
      <w:spacing w:after="36" w:line="123" w:lineRule="exact"/>
      <w:ind w:left="294"/>
      <w:rPr>
        <w:sz w:val="10"/>
        <w:szCs w:val="10"/>
      </w:rPr>
    </w:pPr>
    <w:r>
      <w:drawing>
        <wp:anchor distT="0" distB="0" distL="0" distR="0" simplePos="0" relativeHeight="25166950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7052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C5A1252">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C402FBE">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9</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966296">
    <w:pPr>
      <w:pStyle w:val="4"/>
      <w:spacing w:after="36" w:line="123" w:lineRule="exact"/>
      <w:ind w:left="294"/>
      <w:rPr>
        <w:sz w:val="10"/>
        <w:szCs w:val="10"/>
      </w:rPr>
    </w:pPr>
    <w:r>
      <w:drawing>
        <wp:anchor distT="0" distB="0" distL="0" distR="0" simplePos="0" relativeHeight="25179852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79955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AB2752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383DA81">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72</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9C85F">
    <w:pPr>
      <w:pStyle w:val="4"/>
      <w:spacing w:after="36" w:line="123" w:lineRule="exact"/>
      <w:ind w:left="294"/>
      <w:rPr>
        <w:sz w:val="10"/>
        <w:szCs w:val="10"/>
      </w:rPr>
    </w:pPr>
    <w:r>
      <w:drawing>
        <wp:anchor distT="0" distB="0" distL="0" distR="0" simplePos="0" relativeHeight="25180057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0160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DDA941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793D641">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73</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1F854">
    <w:pPr>
      <w:pStyle w:val="4"/>
      <w:spacing w:after="36" w:line="123" w:lineRule="exact"/>
      <w:ind w:left="294"/>
      <w:rPr>
        <w:sz w:val="10"/>
        <w:szCs w:val="10"/>
      </w:rPr>
    </w:pPr>
    <w:r>
      <w:drawing>
        <wp:anchor distT="0" distB="0" distL="0" distR="0" simplePos="0" relativeHeight="25180364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0262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27848C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5507513">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74</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800CC2">
    <w:pPr>
      <w:pStyle w:val="4"/>
      <w:spacing w:after="36" w:line="123" w:lineRule="exact"/>
      <w:ind w:left="294"/>
      <w:rPr>
        <w:sz w:val="10"/>
        <w:szCs w:val="10"/>
      </w:rPr>
    </w:pPr>
    <w:r>
      <w:drawing>
        <wp:anchor distT="0" distB="0" distL="0" distR="0" simplePos="0" relativeHeight="25180467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0569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A98A01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438E89F">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75</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86D49D">
    <w:pPr>
      <w:pStyle w:val="4"/>
      <w:spacing w:after="36" w:line="123" w:lineRule="exact"/>
      <w:ind w:left="294"/>
      <w:rPr>
        <w:sz w:val="10"/>
        <w:szCs w:val="10"/>
      </w:rPr>
    </w:pPr>
    <w:r>
      <w:drawing>
        <wp:anchor distT="0" distB="0" distL="0" distR="0" simplePos="0" relativeHeight="25180774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0672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FA388A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383A202">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76</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FBB830">
    <w:pPr>
      <w:pStyle w:val="4"/>
      <w:spacing w:after="36" w:line="123" w:lineRule="exact"/>
      <w:ind w:left="294"/>
      <w:rPr>
        <w:sz w:val="10"/>
        <w:szCs w:val="10"/>
      </w:rPr>
    </w:pPr>
    <w:r>
      <w:drawing>
        <wp:anchor distT="0" distB="0" distL="0" distR="0" simplePos="0" relativeHeight="25180876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0979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7B1CC9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81B7FDF">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77</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5A27AC">
    <w:pPr>
      <w:pStyle w:val="4"/>
      <w:spacing w:after="36" w:line="123" w:lineRule="exact"/>
      <w:ind w:left="294"/>
      <w:rPr>
        <w:sz w:val="10"/>
        <w:szCs w:val="10"/>
      </w:rPr>
    </w:pPr>
    <w:r>
      <w:drawing>
        <wp:anchor distT="0" distB="0" distL="0" distR="0" simplePos="0" relativeHeight="25181081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1184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E6B49A7">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7C1C5A7">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78</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60D08">
    <w:pPr>
      <w:pStyle w:val="4"/>
      <w:spacing w:after="36" w:line="123" w:lineRule="exact"/>
      <w:ind w:left="294"/>
      <w:rPr>
        <w:sz w:val="10"/>
        <w:szCs w:val="10"/>
      </w:rPr>
    </w:pPr>
    <w:r>
      <w:drawing>
        <wp:anchor distT="0" distB="0" distL="0" distR="0" simplePos="0" relativeHeight="25181286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1388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4912143">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C5DD4CB">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79</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07790">
    <w:pPr>
      <w:pStyle w:val="4"/>
      <w:spacing w:after="36" w:line="123" w:lineRule="exact"/>
      <w:ind w:left="294"/>
      <w:rPr>
        <w:sz w:val="10"/>
        <w:szCs w:val="10"/>
      </w:rPr>
    </w:pPr>
    <w:r>
      <w:drawing>
        <wp:anchor distT="0" distB="0" distL="0" distR="0" simplePos="0" relativeHeight="25181491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1593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A89090F">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F9DA070">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80</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F246D2">
    <w:pPr>
      <w:pStyle w:val="4"/>
      <w:spacing w:after="36" w:line="123" w:lineRule="exact"/>
      <w:ind w:left="294"/>
      <w:rPr>
        <w:sz w:val="10"/>
        <w:szCs w:val="10"/>
      </w:rPr>
    </w:pPr>
    <w:r>
      <w:drawing>
        <wp:anchor distT="0" distB="0" distL="0" distR="0" simplePos="0" relativeHeight="25181798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1696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72D0AC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F118347">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AC8724">
    <w:pPr>
      <w:pStyle w:val="4"/>
      <w:spacing w:after="36" w:line="123" w:lineRule="exact"/>
      <w:ind w:left="294"/>
      <w:rPr>
        <w:sz w:val="10"/>
        <w:szCs w:val="10"/>
      </w:rPr>
    </w:pPr>
    <w:r>
      <w:drawing>
        <wp:anchor distT="0" distB="0" distL="0" distR="0" simplePos="0" relativeHeight="25167155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7257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A470A86">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1DB8567">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10</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F1E7DF">
    <w:pPr>
      <w:pStyle w:val="4"/>
      <w:spacing w:after="36" w:line="123" w:lineRule="exact"/>
      <w:ind w:left="294"/>
      <w:rPr>
        <w:sz w:val="10"/>
        <w:szCs w:val="10"/>
      </w:rPr>
    </w:pPr>
    <w:r>
      <w:drawing>
        <wp:anchor distT="0" distB="0" distL="0" distR="0" simplePos="0" relativeHeight="2518190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2003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C73A28F">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14C91E5">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82</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CED71B">
    <w:pPr>
      <w:pStyle w:val="4"/>
      <w:spacing w:after="36" w:line="123" w:lineRule="exact"/>
      <w:ind w:left="294"/>
      <w:rPr>
        <w:sz w:val="10"/>
        <w:szCs w:val="10"/>
      </w:rPr>
    </w:pPr>
    <w:r>
      <w:drawing>
        <wp:anchor distT="0" distB="0" distL="0" distR="0" simplePos="0" relativeHeight="25182105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2208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3B43FCE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800B3DD">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83</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80884">
    <w:pPr>
      <w:pStyle w:val="4"/>
      <w:spacing w:after="36" w:line="123" w:lineRule="exact"/>
      <w:ind w:left="294"/>
      <w:rPr>
        <w:sz w:val="10"/>
        <w:szCs w:val="10"/>
      </w:rPr>
    </w:pPr>
    <w:r>
      <w:drawing>
        <wp:anchor distT="0" distB="0" distL="0" distR="0" simplePos="0" relativeHeight="25182310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2412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AC42CB0">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8E22794">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84</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A4AFCB">
    <w:pPr>
      <w:pStyle w:val="4"/>
      <w:spacing w:after="36" w:line="123" w:lineRule="exact"/>
      <w:ind w:left="294"/>
      <w:rPr>
        <w:sz w:val="10"/>
        <w:szCs w:val="10"/>
      </w:rPr>
    </w:pPr>
    <w:r>
      <w:drawing>
        <wp:anchor distT="0" distB="0" distL="0" distR="0" simplePos="0" relativeHeight="25182515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2617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6D14C8B">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8BE2A38">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85</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34D6D5">
    <w:pPr>
      <w:pStyle w:val="4"/>
      <w:spacing w:after="36" w:line="123" w:lineRule="exact"/>
      <w:ind w:left="294"/>
      <w:rPr>
        <w:sz w:val="10"/>
        <w:szCs w:val="10"/>
      </w:rPr>
    </w:pPr>
    <w:r>
      <w:drawing>
        <wp:anchor distT="0" distB="0" distL="0" distR="0" simplePos="0" relativeHeight="25182720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42" name="IM 842"/>
          <wp:cNvGraphicFramePr/>
          <a:graphic xmlns:a="http://schemas.openxmlformats.org/drawingml/2006/main">
            <a:graphicData uri="http://schemas.openxmlformats.org/drawingml/2006/picture">
              <pic:pic xmlns:pic="http://schemas.openxmlformats.org/drawingml/2006/picture">
                <pic:nvPicPr>
                  <pic:cNvPr id="842" name="IM 84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2822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44" name="IM 844"/>
          <wp:cNvGraphicFramePr/>
          <a:graphic xmlns:a="http://schemas.openxmlformats.org/drawingml/2006/main">
            <a:graphicData uri="http://schemas.openxmlformats.org/drawingml/2006/picture">
              <pic:pic xmlns:pic="http://schemas.openxmlformats.org/drawingml/2006/picture">
                <pic:nvPicPr>
                  <pic:cNvPr id="844" name="IM 84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FFFAF16">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FCA4A28">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86</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61808">
    <w:pPr>
      <w:pStyle w:val="4"/>
      <w:spacing w:after="36" w:line="123" w:lineRule="exact"/>
      <w:ind w:left="294"/>
      <w:rPr>
        <w:sz w:val="10"/>
        <w:szCs w:val="10"/>
      </w:rPr>
    </w:pPr>
    <w:r>
      <w:drawing>
        <wp:anchor distT="0" distB="0" distL="0" distR="0" simplePos="0" relativeHeight="25182924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3027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B304A5D">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B954059">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87</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E8B29">
    <w:pPr>
      <w:pStyle w:val="4"/>
      <w:spacing w:after="36" w:line="123" w:lineRule="exact"/>
      <w:ind w:left="294"/>
      <w:rPr>
        <w:sz w:val="10"/>
        <w:szCs w:val="10"/>
      </w:rPr>
    </w:pPr>
    <w:r>
      <w:drawing>
        <wp:anchor distT="0" distB="0" distL="0" distR="0" simplePos="0" relativeHeight="25183129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3232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B3F46EE">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020E764">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88</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23482A">
    <w:pPr>
      <w:pStyle w:val="4"/>
      <w:spacing w:after="36" w:line="123" w:lineRule="exact"/>
      <w:ind w:left="294"/>
      <w:rPr>
        <w:sz w:val="10"/>
        <w:szCs w:val="10"/>
      </w:rPr>
    </w:pPr>
    <w:r>
      <w:drawing>
        <wp:anchor distT="0" distB="0" distL="0" distR="0" simplePos="0" relativeHeight="25183436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3334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E51972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A5B500B">
    <w:pPr>
      <w:pStyle w:val="4"/>
      <w:spacing w:after="250" w:line="324" w:lineRule="exact"/>
      <w:ind w:left="293"/>
      <w:rPr>
        <w:sz w:val="16"/>
        <w:szCs w:val="16"/>
      </w:rPr>
    </w:pPr>
    <w:r>
      <w:rPr>
        <w:b/>
        <w:bCs/>
        <w:color w:val="57585A"/>
        <w:spacing w:val="-5"/>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5"/>
        <w:position w:val="3"/>
        <w:sz w:val="16"/>
        <w:szCs w:val="16"/>
      </w:rPr>
      <w:t>89</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8214FE">
    <w:pPr>
      <w:pStyle w:val="4"/>
      <w:spacing w:after="36" w:line="123" w:lineRule="exact"/>
      <w:ind w:left="294"/>
      <w:rPr>
        <w:sz w:val="10"/>
        <w:szCs w:val="10"/>
      </w:rPr>
    </w:pPr>
    <w:r>
      <w:drawing>
        <wp:anchor distT="0" distB="0" distL="0" distR="0" simplePos="0" relativeHeight="25183641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3539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6D3905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5ECA175">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90</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D1C6A">
    <w:pPr>
      <w:pStyle w:val="4"/>
      <w:spacing w:after="36" w:line="123" w:lineRule="exact"/>
      <w:ind w:left="294"/>
      <w:rPr>
        <w:sz w:val="10"/>
        <w:szCs w:val="10"/>
      </w:rPr>
    </w:pPr>
    <w:r>
      <w:drawing>
        <wp:anchor distT="0" distB="0" distL="0" distR="0" simplePos="0" relativeHeight="25183744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3846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51A611DB">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3C3FB34">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FCB19">
    <w:pPr>
      <w:pStyle w:val="4"/>
      <w:spacing w:after="36" w:line="123" w:lineRule="exact"/>
      <w:ind w:left="294"/>
      <w:rPr>
        <w:sz w:val="10"/>
        <w:szCs w:val="10"/>
      </w:rPr>
    </w:pPr>
    <w:r>
      <w:drawing>
        <wp:anchor distT="0" distB="0" distL="0" distR="0" simplePos="0" relativeHeight="25167462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67360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0CA425F2">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B48BE31">
    <w:pPr>
      <w:pStyle w:val="4"/>
      <w:spacing w:after="250" w:line="324" w:lineRule="exact"/>
      <w:ind w:left="293"/>
      <w:rPr>
        <w:sz w:val="16"/>
        <w:szCs w:val="16"/>
      </w:rPr>
    </w:pPr>
    <w:r>
      <w:rPr>
        <w:b/>
        <w:bCs/>
        <w:color w:val="57585A"/>
        <w:spacing w:val="-5"/>
        <w:position w:val="1"/>
        <w:sz w:val="24"/>
        <w:szCs w:val="24"/>
      </w:rPr>
      <w:t>fitchsolutions.com/b</w:t>
    </w:r>
    <w:r>
      <w:rPr>
        <w:b/>
        <w:bCs/>
        <w:color w:val="57585A"/>
        <w:spacing w:val="-6"/>
        <w:position w:val="1"/>
        <w:sz w:val="24"/>
        <w:szCs w:val="24"/>
      </w:rPr>
      <w:t>mi</w:t>
    </w:r>
    <w:r>
      <w:rPr>
        <w:b/>
        <w:bCs/>
        <w:color w:val="57585A"/>
        <w:position w:val="1"/>
        <w:sz w:val="24"/>
        <w:szCs w:val="24"/>
      </w:rPr>
      <w:t xml:space="preserve">                                                                                                                   </w:t>
    </w:r>
    <w:r>
      <w:rPr>
        <w:color w:val="57585A"/>
        <w:spacing w:val="-6"/>
        <w:position w:val="3"/>
        <w:sz w:val="16"/>
        <w:szCs w:val="16"/>
      </w:rPr>
      <w:t>11</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ABA599">
    <w:pPr>
      <w:pStyle w:val="4"/>
      <w:spacing w:after="36" w:line="123" w:lineRule="exact"/>
      <w:ind w:left="294"/>
      <w:rPr>
        <w:sz w:val="10"/>
        <w:szCs w:val="10"/>
      </w:rPr>
    </w:pPr>
    <w:r>
      <w:drawing>
        <wp:anchor distT="0" distB="0" distL="0" distR="0" simplePos="0" relativeHeight="25183948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4051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2EBB79D">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4A0632DF">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92</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C50F1">
    <w:pPr>
      <w:pStyle w:val="4"/>
      <w:spacing w:after="36" w:line="123" w:lineRule="exact"/>
      <w:ind w:left="294"/>
      <w:rPr>
        <w:sz w:val="10"/>
        <w:szCs w:val="10"/>
      </w:rPr>
    </w:pPr>
    <w:r>
      <w:drawing>
        <wp:anchor distT="0" distB="0" distL="0" distR="0" simplePos="0" relativeHeight="25184153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4256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6B3416F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05AA02F3">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93</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E1E52F">
    <w:pPr>
      <w:pStyle w:val="4"/>
      <w:spacing w:after="36" w:line="123" w:lineRule="exact"/>
      <w:ind w:left="294"/>
      <w:rPr>
        <w:sz w:val="10"/>
        <w:szCs w:val="10"/>
      </w:rPr>
    </w:pPr>
    <w:r>
      <w:drawing>
        <wp:anchor distT="0" distB="0" distL="0" distR="0" simplePos="0" relativeHeight="25184460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4358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780E10FC">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140067AB">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94</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4452B4">
    <w:pPr>
      <w:pStyle w:val="4"/>
      <w:spacing w:after="36" w:line="123" w:lineRule="exact"/>
      <w:ind w:left="294"/>
      <w:rPr>
        <w:sz w:val="10"/>
        <w:szCs w:val="10"/>
      </w:rPr>
    </w:pPr>
    <w:r>
      <w:drawing>
        <wp:anchor distT="0" distB="0" distL="0" distR="0" simplePos="0" relativeHeight="25184563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4665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74D9568">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346DB00">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95</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7FA366">
    <w:pPr>
      <w:pStyle w:val="4"/>
      <w:spacing w:after="36" w:line="123" w:lineRule="exact"/>
      <w:ind w:left="294"/>
      <w:rPr>
        <w:sz w:val="10"/>
        <w:szCs w:val="10"/>
      </w:rPr>
    </w:pPr>
    <w:r>
      <w:drawing>
        <wp:anchor distT="0" distB="0" distL="0" distR="0" simplePos="0" relativeHeight="251847680"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48704"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42D56725">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6A0BE33A">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96</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1AAD5F">
    <w:pPr>
      <w:pStyle w:val="4"/>
      <w:spacing w:after="36" w:line="123" w:lineRule="exact"/>
      <w:ind w:left="294"/>
      <w:rPr>
        <w:sz w:val="10"/>
        <w:szCs w:val="10"/>
      </w:rPr>
    </w:pPr>
    <w:r>
      <w:drawing>
        <wp:anchor distT="0" distB="0" distL="0" distR="0" simplePos="0" relativeHeight="251849728"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50752"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1C4DCDE0">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70408696">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97</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15D1C9">
    <w:pPr>
      <w:pStyle w:val="4"/>
      <w:spacing w:after="36" w:line="123" w:lineRule="exact"/>
      <w:ind w:left="294"/>
      <w:rPr>
        <w:sz w:val="10"/>
        <w:szCs w:val="10"/>
      </w:rPr>
    </w:pPr>
    <w:r>
      <w:drawing>
        <wp:anchor distT="0" distB="0" distL="0" distR="0" simplePos="0" relativeHeight="251851776"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52800"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760D2A43">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154E088">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98</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DA512E">
    <w:pPr>
      <w:pStyle w:val="4"/>
      <w:spacing w:after="36" w:line="123" w:lineRule="exact"/>
      <w:ind w:left="294"/>
      <w:rPr>
        <w:sz w:val="10"/>
        <w:szCs w:val="10"/>
      </w:rPr>
    </w:pPr>
    <w:r>
      <w:drawing>
        <wp:anchor distT="0" distB="0" distL="0" distR="0" simplePos="0" relativeHeight="251853824"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54848"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2341BA31">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5D058B89">
    <w:pPr>
      <w:pStyle w:val="4"/>
      <w:spacing w:after="250" w:line="324" w:lineRule="exact"/>
      <w:ind w:left="293"/>
      <w:rPr>
        <w:sz w:val="16"/>
        <w:szCs w:val="16"/>
      </w:rPr>
    </w:pPr>
    <w:r>
      <w:rPr>
        <w:b/>
        <w:bCs/>
        <w:color w:val="57585A"/>
        <w:spacing w:val="-5"/>
        <w:position w:val="1"/>
        <w:sz w:val="24"/>
        <w:szCs w:val="24"/>
      </w:rPr>
      <w:t>fitchsolutions.com/bmi</w:t>
    </w:r>
    <w:r>
      <w:rPr>
        <w:b/>
        <w:bCs/>
        <w:color w:val="57585A"/>
        <w:position w:val="1"/>
        <w:sz w:val="24"/>
        <w:szCs w:val="24"/>
      </w:rPr>
      <w:t xml:space="preserve">                                                                                                                   </w:t>
    </w:r>
    <w:r>
      <w:rPr>
        <w:color w:val="57585A"/>
        <w:spacing w:val="-5"/>
        <w:position w:val="3"/>
        <w:sz w:val="16"/>
        <w:szCs w:val="16"/>
      </w:rPr>
      <w:t>99</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E515FA">
    <w:pPr>
      <w:pStyle w:val="4"/>
      <w:spacing w:after="36" w:line="123" w:lineRule="exact"/>
      <w:ind w:left="294"/>
      <w:rPr>
        <w:sz w:val="10"/>
        <w:szCs w:val="10"/>
      </w:rPr>
    </w:pPr>
    <w:r>
      <w:drawing>
        <wp:anchor distT="0" distB="0" distL="0" distR="0" simplePos="0" relativeHeight="251855872" behindDoc="0" locked="0" layoutInCell="0" allowOverlap="1">
          <wp:simplePos x="0" y="0"/>
          <wp:positionH relativeFrom="page">
            <wp:posOffset>311150</wp:posOffset>
          </wp:positionH>
          <wp:positionV relativeFrom="page">
            <wp:posOffset>10314305</wp:posOffset>
          </wp:positionV>
          <wp:extent cx="19050" cy="377190"/>
          <wp:effectExtent l="0" t="0" r="0" b="0"/>
          <wp:wrapNone/>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1"/>
                  <a:stretch>
                    <a:fillRect/>
                  </a:stretch>
                </pic:blipFill>
                <pic:spPr>
                  <a:xfrm>
                    <a:off x="0" y="0"/>
                    <a:ext cx="19050" cy="377099"/>
                  </a:xfrm>
                  <a:prstGeom prst="rect">
                    <a:avLst/>
                  </a:prstGeom>
                </pic:spPr>
              </pic:pic>
            </a:graphicData>
          </a:graphic>
        </wp:anchor>
      </w:drawing>
    </w:r>
    <w:r>
      <w:drawing>
        <wp:anchor distT="0" distB="0" distL="0" distR="0" simplePos="0" relativeHeight="251856896" behindDoc="0" locked="0" layoutInCell="0" allowOverlap="1">
          <wp:simplePos x="0" y="0"/>
          <wp:positionH relativeFrom="page">
            <wp:posOffset>7229475</wp:posOffset>
          </wp:positionH>
          <wp:positionV relativeFrom="page">
            <wp:posOffset>10314305</wp:posOffset>
          </wp:positionV>
          <wp:extent cx="19050" cy="377190"/>
          <wp:effectExtent l="0" t="0" r="0" b="0"/>
          <wp:wrapNone/>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2"/>
                  <a:stretch>
                    <a:fillRect/>
                  </a:stretch>
                </pic:blipFill>
                <pic:spPr>
                  <a:xfrm>
                    <a:off x="0" y="0"/>
                    <a:ext cx="19050" cy="377099"/>
                  </a:xfrm>
                  <a:prstGeom prst="rect">
                    <a:avLst/>
                  </a:prstGeom>
                </pic:spPr>
              </pic:pic>
            </a:graphicData>
          </a:graphic>
        </wp:anchor>
      </w:drawing>
    </w:r>
    <w:r>
      <w:rPr>
        <w:color w:val="174174"/>
        <w:spacing w:val="5"/>
        <w:position w:val="1"/>
        <w:sz w:val="10"/>
        <w:szCs w:val="10"/>
      </w:rPr>
      <w:t>This commentary</w:t>
    </w:r>
    <w:r>
      <w:rPr>
        <w:color w:val="174174"/>
        <w:spacing w:val="11"/>
        <w:w w:val="101"/>
        <w:position w:val="1"/>
        <w:sz w:val="10"/>
        <w:szCs w:val="10"/>
      </w:rPr>
      <w:t xml:space="preserve"> </w:t>
    </w:r>
    <w:r>
      <w:rPr>
        <w:color w:val="174174"/>
        <w:spacing w:val="5"/>
        <w:position w:val="1"/>
        <w:sz w:val="10"/>
        <w:szCs w:val="10"/>
      </w:rPr>
      <w:t>is</w:t>
    </w:r>
    <w:r>
      <w:rPr>
        <w:color w:val="174174"/>
        <w:spacing w:val="11"/>
        <w:position w:val="1"/>
        <w:sz w:val="10"/>
        <w:szCs w:val="10"/>
      </w:rPr>
      <w:t xml:space="preserve"> </w:t>
    </w:r>
    <w:r>
      <w:rPr>
        <w:color w:val="174174"/>
        <w:spacing w:val="5"/>
        <w:position w:val="1"/>
        <w:sz w:val="10"/>
        <w:szCs w:val="10"/>
      </w:rPr>
      <w:t>published</w:t>
    </w:r>
    <w:r>
      <w:rPr>
        <w:color w:val="174174"/>
        <w:spacing w:val="10"/>
        <w:w w:val="103"/>
        <w:position w:val="1"/>
        <w:sz w:val="10"/>
        <w:szCs w:val="10"/>
      </w:rPr>
      <w:t xml:space="preserve"> </w:t>
    </w:r>
    <w:r>
      <w:rPr>
        <w:color w:val="174174"/>
        <w:spacing w:val="5"/>
        <w:position w:val="1"/>
        <w:sz w:val="10"/>
        <w:szCs w:val="10"/>
      </w:rPr>
      <w:t>by</w:t>
    </w:r>
    <w:r>
      <w:rPr>
        <w:color w:val="174174"/>
        <w:spacing w:val="12"/>
        <w:position w:val="1"/>
        <w:sz w:val="10"/>
        <w:szCs w:val="10"/>
      </w:rPr>
      <w:t xml:space="preserve"> </w:t>
    </w:r>
    <w:r>
      <w:rPr>
        <w:color w:val="174174"/>
        <w:spacing w:val="5"/>
        <w:position w:val="1"/>
        <w:sz w:val="10"/>
        <w:szCs w:val="10"/>
      </w:rPr>
      <w:t>BMI – A</w:t>
    </w:r>
    <w:r>
      <w:rPr>
        <w:color w:val="174174"/>
        <w:spacing w:val="12"/>
        <w:w w:val="101"/>
        <w:position w:val="1"/>
        <w:sz w:val="10"/>
        <w:szCs w:val="10"/>
      </w:rPr>
      <w:t xml:space="preserve"> </w:t>
    </w:r>
    <w:r>
      <w:rPr>
        <w:color w:val="174174"/>
        <w:spacing w:val="5"/>
        <w:position w:val="1"/>
        <w:sz w:val="10"/>
        <w:szCs w:val="10"/>
      </w:rPr>
      <w:t>Fitch Solutions Company, and</w:t>
    </w:r>
    <w:r>
      <w:rPr>
        <w:color w:val="174174"/>
        <w:spacing w:val="11"/>
        <w:position w:val="1"/>
        <w:sz w:val="10"/>
        <w:szCs w:val="10"/>
      </w:rPr>
      <w:t xml:space="preserve"> </w:t>
    </w:r>
    <w:r>
      <w:rPr>
        <w:color w:val="174174"/>
        <w:spacing w:val="5"/>
        <w:position w:val="1"/>
        <w:sz w:val="10"/>
        <w:szCs w:val="10"/>
      </w:rPr>
      <w:t>is</w:t>
    </w:r>
    <w:r>
      <w:rPr>
        <w:color w:val="174174"/>
        <w:spacing w:val="10"/>
        <w:w w:val="103"/>
        <w:position w:val="1"/>
        <w:sz w:val="10"/>
        <w:szCs w:val="10"/>
      </w:rPr>
      <w:t xml:space="preserve"> </w:t>
    </w:r>
    <w:r>
      <w:rPr>
        <w:color w:val="174174"/>
        <w:spacing w:val="5"/>
        <w:position w:val="1"/>
        <w:sz w:val="10"/>
        <w:szCs w:val="10"/>
      </w:rPr>
      <w:t>not</w:t>
    </w:r>
    <w:r>
      <w:rPr>
        <w:color w:val="174174"/>
        <w:spacing w:val="6"/>
        <w:position w:val="1"/>
        <w:sz w:val="10"/>
        <w:szCs w:val="10"/>
      </w:rPr>
      <w:t xml:space="preserve"> </w:t>
    </w:r>
    <w:r>
      <w:rPr>
        <w:color w:val="174174"/>
        <w:spacing w:val="5"/>
        <w:position w:val="1"/>
        <w:sz w:val="10"/>
        <w:szCs w:val="10"/>
      </w:rPr>
      <w:t>a</w:t>
    </w:r>
    <w:r>
      <w:rPr>
        <w:color w:val="174174"/>
        <w:spacing w:val="8"/>
        <w:w w:val="102"/>
        <w:position w:val="1"/>
        <w:sz w:val="10"/>
        <w:szCs w:val="10"/>
      </w:rPr>
      <w:t xml:space="preserve"> </w:t>
    </w:r>
    <w:r>
      <w:rPr>
        <w:color w:val="174174"/>
        <w:spacing w:val="5"/>
        <w:position w:val="1"/>
        <w:sz w:val="10"/>
        <w:szCs w:val="10"/>
      </w:rPr>
      <w:t>comment</w:t>
    </w:r>
    <w:r>
      <w:rPr>
        <w:color w:val="174174"/>
        <w:spacing w:val="7"/>
        <w:w w:val="102"/>
        <w:position w:val="1"/>
        <w:sz w:val="10"/>
        <w:szCs w:val="10"/>
      </w:rPr>
      <w:t xml:space="preserve"> </w:t>
    </w:r>
    <w:r>
      <w:rPr>
        <w:color w:val="174174"/>
        <w:spacing w:val="5"/>
        <w:position w:val="1"/>
        <w:sz w:val="10"/>
        <w:szCs w:val="10"/>
      </w:rPr>
      <w:t>on</w:t>
    </w:r>
    <w:r>
      <w:rPr>
        <w:color w:val="174174"/>
        <w:spacing w:val="12"/>
        <w:position w:val="1"/>
        <w:sz w:val="10"/>
        <w:szCs w:val="10"/>
      </w:rPr>
      <w:t xml:space="preserve"> </w:t>
    </w:r>
    <w:r>
      <w:rPr>
        <w:color w:val="174174"/>
        <w:spacing w:val="5"/>
        <w:position w:val="1"/>
        <w:sz w:val="10"/>
        <w:szCs w:val="10"/>
      </w:rPr>
      <w:t>Fitch</w:t>
    </w:r>
    <w:r>
      <w:rPr>
        <w:color w:val="174174"/>
        <w:spacing w:val="12"/>
        <w:w w:val="101"/>
        <w:position w:val="1"/>
        <w:sz w:val="10"/>
        <w:szCs w:val="10"/>
      </w:rPr>
      <w:t xml:space="preserve"> </w:t>
    </w:r>
    <w:r>
      <w:rPr>
        <w:color w:val="174174"/>
        <w:spacing w:val="5"/>
        <w:position w:val="1"/>
        <w:sz w:val="10"/>
        <w:szCs w:val="10"/>
      </w:rPr>
      <w:t>Ratings'</w:t>
    </w:r>
    <w:r>
      <w:rPr>
        <w:color w:val="174174"/>
        <w:spacing w:val="9"/>
        <w:position w:val="1"/>
        <w:sz w:val="10"/>
        <w:szCs w:val="10"/>
      </w:rPr>
      <w:t xml:space="preserve"> </w:t>
    </w:r>
    <w:r>
      <w:rPr>
        <w:color w:val="174174"/>
        <w:spacing w:val="5"/>
        <w:position w:val="1"/>
        <w:sz w:val="10"/>
        <w:szCs w:val="10"/>
      </w:rPr>
      <w:t>Credit</w:t>
    </w:r>
    <w:r>
      <w:rPr>
        <w:color w:val="174174"/>
        <w:spacing w:val="12"/>
        <w:position w:val="1"/>
        <w:sz w:val="10"/>
        <w:szCs w:val="10"/>
      </w:rPr>
      <w:t xml:space="preserve"> </w:t>
    </w:r>
    <w:r>
      <w:rPr>
        <w:color w:val="174174"/>
        <w:spacing w:val="5"/>
        <w:position w:val="1"/>
        <w:sz w:val="10"/>
        <w:szCs w:val="10"/>
      </w:rPr>
      <w:t>Ratings.</w:t>
    </w:r>
    <w:r>
      <w:rPr>
        <w:color w:val="174174"/>
        <w:spacing w:val="6"/>
        <w:position w:val="1"/>
        <w:sz w:val="10"/>
        <w:szCs w:val="10"/>
      </w:rPr>
      <w:t xml:space="preserve"> </w:t>
    </w:r>
    <w:r>
      <w:rPr>
        <w:color w:val="174174"/>
        <w:spacing w:val="5"/>
        <w:position w:val="1"/>
        <w:sz w:val="10"/>
        <w:szCs w:val="10"/>
      </w:rPr>
      <w:t>Any</w:t>
    </w:r>
    <w:r>
      <w:rPr>
        <w:color w:val="174174"/>
        <w:spacing w:val="7"/>
        <w:w w:val="103"/>
        <w:position w:val="1"/>
        <w:sz w:val="10"/>
        <w:szCs w:val="10"/>
      </w:rPr>
      <w:t xml:space="preserve"> </w:t>
    </w:r>
    <w:r>
      <w:rPr>
        <w:color w:val="174174"/>
        <w:spacing w:val="5"/>
        <w:position w:val="1"/>
        <w:sz w:val="10"/>
        <w:szCs w:val="10"/>
      </w:rPr>
      <w:t>comments</w:t>
    </w:r>
    <w:r>
      <w:rPr>
        <w:color w:val="174174"/>
        <w:spacing w:val="7"/>
        <w:w w:val="102"/>
        <w:position w:val="1"/>
        <w:sz w:val="10"/>
        <w:szCs w:val="10"/>
      </w:rPr>
      <w:t xml:space="preserve"> </w:t>
    </w:r>
    <w:r>
      <w:rPr>
        <w:color w:val="174174"/>
        <w:spacing w:val="5"/>
        <w:position w:val="1"/>
        <w:sz w:val="10"/>
        <w:szCs w:val="10"/>
      </w:rPr>
      <w:t>or</w:t>
    </w:r>
    <w:r>
      <w:rPr>
        <w:color w:val="174174"/>
        <w:spacing w:val="7"/>
        <w:w w:val="103"/>
        <w:position w:val="1"/>
        <w:sz w:val="10"/>
        <w:szCs w:val="10"/>
      </w:rPr>
      <w:t xml:space="preserve"> </w:t>
    </w:r>
    <w:r>
      <w:rPr>
        <w:color w:val="174174"/>
        <w:spacing w:val="5"/>
        <w:position w:val="1"/>
        <w:sz w:val="10"/>
        <w:szCs w:val="10"/>
      </w:rPr>
      <w:t>data</w:t>
    </w:r>
    <w:r>
      <w:rPr>
        <w:color w:val="174174"/>
        <w:spacing w:val="11"/>
        <w:position w:val="1"/>
        <w:sz w:val="10"/>
        <w:szCs w:val="10"/>
      </w:rPr>
      <w:t xml:space="preserve"> </w:t>
    </w:r>
    <w:r>
      <w:rPr>
        <w:color w:val="174174"/>
        <w:spacing w:val="5"/>
        <w:position w:val="1"/>
        <w:sz w:val="10"/>
        <w:szCs w:val="10"/>
      </w:rPr>
      <w:t>included</w:t>
    </w:r>
    <w:r>
      <w:rPr>
        <w:color w:val="174174"/>
        <w:spacing w:val="11"/>
        <w:position w:val="1"/>
        <w:sz w:val="10"/>
        <w:szCs w:val="10"/>
      </w:rPr>
      <w:t xml:space="preserve"> </w:t>
    </w:r>
    <w:r>
      <w:rPr>
        <w:color w:val="174174"/>
        <w:spacing w:val="5"/>
        <w:position w:val="1"/>
        <w:sz w:val="10"/>
        <w:szCs w:val="10"/>
      </w:rPr>
      <w:t>in</w:t>
    </w:r>
    <w:r>
      <w:rPr>
        <w:color w:val="174174"/>
        <w:spacing w:val="6"/>
        <w:position w:val="1"/>
        <w:sz w:val="10"/>
        <w:szCs w:val="10"/>
      </w:rPr>
      <w:t xml:space="preserve"> </w:t>
    </w:r>
    <w:r>
      <w:rPr>
        <w:color w:val="174174"/>
        <w:spacing w:val="5"/>
        <w:position w:val="1"/>
        <w:sz w:val="10"/>
        <w:szCs w:val="10"/>
      </w:rPr>
      <w:t>the</w:t>
    </w:r>
    <w:r>
      <w:rPr>
        <w:color w:val="174174"/>
        <w:spacing w:val="11"/>
        <w:position w:val="1"/>
        <w:sz w:val="10"/>
        <w:szCs w:val="10"/>
      </w:rPr>
      <w:t xml:space="preserve"> </w:t>
    </w:r>
    <w:r>
      <w:rPr>
        <w:color w:val="174174"/>
        <w:spacing w:val="5"/>
        <w:position w:val="1"/>
        <w:sz w:val="10"/>
        <w:szCs w:val="10"/>
      </w:rPr>
      <w:t>report</w:t>
    </w:r>
    <w:r>
      <w:rPr>
        <w:color w:val="174174"/>
        <w:spacing w:val="7"/>
        <w:position w:val="1"/>
        <w:sz w:val="10"/>
        <w:szCs w:val="10"/>
      </w:rPr>
      <w:t xml:space="preserve"> </w:t>
    </w:r>
    <w:r>
      <w:rPr>
        <w:color w:val="174174"/>
        <w:spacing w:val="5"/>
        <w:position w:val="1"/>
        <w:sz w:val="10"/>
        <w:szCs w:val="10"/>
      </w:rPr>
      <w:t>are</w:t>
    </w:r>
    <w:r>
      <w:rPr>
        <w:color w:val="174174"/>
        <w:spacing w:val="6"/>
        <w:position w:val="1"/>
        <w:sz w:val="10"/>
        <w:szCs w:val="10"/>
      </w:rPr>
      <w:t xml:space="preserve"> </w:t>
    </w:r>
    <w:r>
      <w:rPr>
        <w:color w:val="174174"/>
        <w:spacing w:val="5"/>
        <w:position w:val="1"/>
        <w:sz w:val="10"/>
        <w:szCs w:val="10"/>
      </w:rPr>
      <w:t>solely</w:t>
    </w:r>
    <w:r>
      <w:rPr>
        <w:color w:val="174174"/>
        <w:spacing w:val="8"/>
        <w:w w:val="101"/>
        <w:position w:val="1"/>
        <w:sz w:val="10"/>
        <w:szCs w:val="10"/>
      </w:rPr>
      <w:t xml:space="preserve"> </w:t>
    </w:r>
    <w:r>
      <w:rPr>
        <w:color w:val="174174"/>
        <w:spacing w:val="5"/>
        <w:position w:val="1"/>
        <w:sz w:val="10"/>
        <w:szCs w:val="10"/>
      </w:rPr>
      <w:t>der</w:t>
    </w:r>
    <w:r>
      <w:rPr>
        <w:color w:val="174174"/>
        <w:spacing w:val="4"/>
        <w:position w:val="1"/>
        <w:sz w:val="10"/>
        <w:szCs w:val="10"/>
      </w:rPr>
      <w:t>ived</w:t>
    </w:r>
    <w:r>
      <w:rPr>
        <w:color w:val="174174"/>
        <w:spacing w:val="6"/>
        <w:position w:val="1"/>
        <w:sz w:val="10"/>
        <w:szCs w:val="10"/>
      </w:rPr>
      <w:t xml:space="preserve"> </w:t>
    </w:r>
    <w:r>
      <w:rPr>
        <w:color w:val="174174"/>
        <w:spacing w:val="4"/>
        <w:position w:val="1"/>
        <w:sz w:val="10"/>
        <w:szCs w:val="10"/>
      </w:rPr>
      <w:t>from</w:t>
    </w:r>
    <w:r>
      <w:rPr>
        <w:color w:val="174174"/>
        <w:spacing w:val="12"/>
        <w:w w:val="103"/>
        <w:position w:val="1"/>
        <w:sz w:val="10"/>
        <w:szCs w:val="10"/>
      </w:rPr>
      <w:t xml:space="preserve"> </w:t>
    </w:r>
    <w:r>
      <w:rPr>
        <w:color w:val="174174"/>
        <w:spacing w:val="4"/>
        <w:position w:val="1"/>
        <w:sz w:val="10"/>
        <w:szCs w:val="10"/>
      </w:rPr>
      <w:t>BMI</w:t>
    </w:r>
    <w:r>
      <w:rPr>
        <w:color w:val="174174"/>
        <w:spacing w:val="7"/>
        <w:position w:val="1"/>
        <w:sz w:val="10"/>
        <w:szCs w:val="10"/>
      </w:rPr>
      <w:t xml:space="preserve"> </w:t>
    </w:r>
    <w:r>
      <w:rPr>
        <w:color w:val="174174"/>
        <w:spacing w:val="4"/>
        <w:position w:val="1"/>
        <w:sz w:val="10"/>
        <w:szCs w:val="10"/>
      </w:rPr>
      <w:t>and</w:t>
    </w:r>
    <w:r>
      <w:rPr>
        <w:color w:val="174174"/>
        <w:spacing w:val="11"/>
        <w:position w:val="1"/>
        <w:sz w:val="10"/>
        <w:szCs w:val="10"/>
      </w:rPr>
      <w:t xml:space="preserve"> </w:t>
    </w:r>
    <w:r>
      <w:rPr>
        <w:color w:val="174174"/>
        <w:spacing w:val="4"/>
        <w:position w:val="1"/>
        <w:sz w:val="10"/>
        <w:szCs w:val="10"/>
      </w:rPr>
      <w:t>independent</w:t>
    </w:r>
  </w:p>
  <w:p w14:paraId="7A5514E9">
    <w:pPr>
      <w:pStyle w:val="4"/>
      <w:spacing w:after="15" w:line="123" w:lineRule="exact"/>
      <w:ind w:left="293"/>
      <w:rPr>
        <w:sz w:val="10"/>
        <w:szCs w:val="10"/>
      </w:rPr>
    </w:pPr>
    <w:r>
      <w:rPr>
        <w:color w:val="174174"/>
        <w:spacing w:val="5"/>
        <w:position w:val="1"/>
        <w:sz w:val="10"/>
        <w:szCs w:val="10"/>
      </w:rPr>
      <w:t>sources.</w:t>
    </w:r>
    <w:r>
      <w:rPr>
        <w:color w:val="174174"/>
        <w:spacing w:val="12"/>
        <w:w w:val="101"/>
        <w:position w:val="1"/>
        <w:sz w:val="10"/>
        <w:szCs w:val="10"/>
      </w:rPr>
      <w:t xml:space="preserve"> </w:t>
    </w:r>
    <w:r>
      <w:rPr>
        <w:color w:val="174174"/>
        <w:spacing w:val="5"/>
        <w:position w:val="1"/>
        <w:sz w:val="10"/>
        <w:szCs w:val="10"/>
      </w:rPr>
      <w:t>Fitch</w:t>
    </w:r>
    <w:r>
      <w:rPr>
        <w:color w:val="174174"/>
        <w:spacing w:val="12"/>
        <w:position w:val="1"/>
        <w:sz w:val="10"/>
        <w:szCs w:val="10"/>
      </w:rPr>
      <w:t xml:space="preserve"> </w:t>
    </w:r>
    <w:r>
      <w:rPr>
        <w:color w:val="174174"/>
        <w:spacing w:val="5"/>
        <w:position w:val="1"/>
        <w:sz w:val="10"/>
        <w:szCs w:val="10"/>
      </w:rPr>
      <w:t>Ratings analysts do</w:t>
    </w:r>
    <w:r>
      <w:rPr>
        <w:color w:val="174174"/>
        <w:spacing w:val="11"/>
        <w:position w:val="1"/>
        <w:sz w:val="10"/>
        <w:szCs w:val="10"/>
      </w:rPr>
      <w:t xml:space="preserve"> </w:t>
    </w:r>
    <w:r>
      <w:rPr>
        <w:color w:val="174174"/>
        <w:spacing w:val="5"/>
        <w:position w:val="1"/>
        <w:sz w:val="10"/>
        <w:szCs w:val="10"/>
      </w:rPr>
      <w:t>not share dat</w:t>
    </w:r>
    <w:r>
      <w:rPr>
        <w:color w:val="174174"/>
        <w:spacing w:val="4"/>
        <w:position w:val="1"/>
        <w:sz w:val="10"/>
        <w:szCs w:val="10"/>
      </w:rPr>
      <w:t>a or</w:t>
    </w:r>
    <w:r>
      <w:rPr>
        <w:color w:val="174174"/>
        <w:spacing w:val="11"/>
        <w:position w:val="1"/>
        <w:sz w:val="10"/>
        <w:szCs w:val="10"/>
      </w:rPr>
      <w:t xml:space="preserve"> </w:t>
    </w:r>
    <w:r>
      <w:rPr>
        <w:color w:val="174174"/>
        <w:spacing w:val="4"/>
        <w:position w:val="1"/>
        <w:sz w:val="10"/>
        <w:szCs w:val="10"/>
      </w:rPr>
      <w:t>information with</w:t>
    </w:r>
    <w:r>
      <w:rPr>
        <w:color w:val="174174"/>
        <w:spacing w:val="12"/>
        <w:position w:val="1"/>
        <w:sz w:val="10"/>
        <w:szCs w:val="10"/>
      </w:rPr>
      <w:t xml:space="preserve"> </w:t>
    </w:r>
    <w:r>
      <w:rPr>
        <w:color w:val="174174"/>
        <w:spacing w:val="4"/>
        <w:position w:val="1"/>
        <w:sz w:val="10"/>
        <w:szCs w:val="10"/>
      </w:rPr>
      <w:t>BMI.</w:t>
    </w:r>
  </w:p>
  <w:p w14:paraId="3A57FE2A">
    <w:pPr>
      <w:pStyle w:val="4"/>
      <w:spacing w:after="250" w:line="324" w:lineRule="exact"/>
      <w:ind w:left="293"/>
      <w:rPr>
        <w:sz w:val="16"/>
        <w:szCs w:val="16"/>
      </w:rPr>
    </w:pPr>
    <w:r>
      <w:rPr>
        <w:b/>
        <w:bCs/>
        <w:color w:val="57585A"/>
        <w:spacing w:val="-6"/>
        <w:position w:val="1"/>
        <w:sz w:val="24"/>
        <w:szCs w:val="24"/>
      </w:rPr>
      <w:t>fitchsolutions.com/bmi</w:t>
    </w:r>
    <w:r>
      <w:rPr>
        <w:b/>
        <w:bCs/>
        <w:color w:val="57585A"/>
        <w:spacing w:val="1"/>
        <w:position w:val="1"/>
        <w:sz w:val="24"/>
        <w:szCs w:val="24"/>
      </w:rPr>
      <w:t xml:space="preserve">                                                                        </w:t>
    </w:r>
    <w:r>
      <w:rPr>
        <w:b/>
        <w:bCs/>
        <w:color w:val="57585A"/>
        <w:position w:val="1"/>
        <w:sz w:val="24"/>
        <w:szCs w:val="24"/>
      </w:rPr>
      <w:t xml:space="preserve">                                         </w:t>
    </w:r>
    <w:r>
      <w:rPr>
        <w:color w:val="57585A"/>
        <w:spacing w:val="-6"/>
        <w:position w:val="3"/>
        <w:sz w:val="16"/>
        <w:szCs w:val="16"/>
      </w:rPr>
      <w:t>100</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05726">
    <w:pPr>
      <w:pStyle w:val="4"/>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CEDC82">
    <w:pPr>
      <w:pStyle w:val="4"/>
      <w:spacing w:line="14" w:lineRule="auto"/>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compatSetting w:name="compatibilityMode" w:uri="http://schemas.microsoft.com/office/word" w:val="14"/>
  </w:compat>
  <w:rsids>
    <w:rsidRoot w:val="00000000"/>
    <w:rsid w:val="41FD47EA"/>
    <w:rsid w:val="50D70E34"/>
    <w:rsid w:val="512E4E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Arial" w:hAnsi="Arial" w:eastAsia="Arial" w:cs="Arial"/>
      <w:sz w:val="21"/>
      <w:szCs w:val="21"/>
      <w:lang w:val="en-US" w:eastAsia="en-US" w:bidi="ar-SA"/>
    </w:rPr>
  </w:style>
  <w:style w:type="table" w:customStyle="1" w:styleId="7">
    <w:name w:val="Table Normal"/>
    <w:semiHidden/>
    <w:unhideWhenUsed/>
    <w:qFormat/>
    <w:uiPriority w:val="0"/>
    <w:tblPr>
      <w:tblCellMar>
        <w:top w:w="0" w:type="dxa"/>
        <w:left w:w="0" w:type="dxa"/>
        <w:bottom w:w="0" w:type="dxa"/>
        <w:right w:w="0" w:type="dxa"/>
      </w:tblCellMar>
    </w:tblPr>
  </w:style>
  <w:style w:type="paragraph" w:customStyle="1" w:styleId="8">
    <w:name w:val="Table Text"/>
    <w:basedOn w:val="1"/>
    <w:semiHidden/>
    <w:qFormat/>
    <w:uiPriority w:val="0"/>
    <w:rPr>
      <w:rFonts w:ascii="Arial" w:hAnsi="Arial" w:eastAsia="Arial" w:cs="Arial"/>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94.xml"/><Relationship Id="rId98" Type="http://schemas.openxmlformats.org/officeDocument/2006/relationships/footer" Target="footer93.xml"/><Relationship Id="rId97" Type="http://schemas.openxmlformats.org/officeDocument/2006/relationships/footer" Target="footer92.xml"/><Relationship Id="rId96" Type="http://schemas.openxmlformats.org/officeDocument/2006/relationships/footer" Target="footer91.xml"/><Relationship Id="rId95" Type="http://schemas.openxmlformats.org/officeDocument/2006/relationships/footer" Target="footer90.xml"/><Relationship Id="rId94" Type="http://schemas.openxmlformats.org/officeDocument/2006/relationships/footer" Target="footer89.xml"/><Relationship Id="rId93" Type="http://schemas.openxmlformats.org/officeDocument/2006/relationships/footer" Target="footer88.xml"/><Relationship Id="rId92" Type="http://schemas.openxmlformats.org/officeDocument/2006/relationships/footer" Target="footer87.xml"/><Relationship Id="rId91" Type="http://schemas.openxmlformats.org/officeDocument/2006/relationships/footer" Target="footer86.xml"/><Relationship Id="rId90" Type="http://schemas.openxmlformats.org/officeDocument/2006/relationships/footer" Target="footer85.xml"/><Relationship Id="rId9" Type="http://schemas.openxmlformats.org/officeDocument/2006/relationships/footer" Target="footer4.xml"/><Relationship Id="rId89" Type="http://schemas.openxmlformats.org/officeDocument/2006/relationships/footer" Target="footer84.xml"/><Relationship Id="rId88" Type="http://schemas.openxmlformats.org/officeDocument/2006/relationships/footer" Target="footer83.xml"/><Relationship Id="rId87" Type="http://schemas.openxmlformats.org/officeDocument/2006/relationships/footer" Target="footer82.xml"/><Relationship Id="rId86" Type="http://schemas.openxmlformats.org/officeDocument/2006/relationships/footer" Target="footer81.xml"/><Relationship Id="rId85" Type="http://schemas.openxmlformats.org/officeDocument/2006/relationships/footer" Target="footer80.xml"/><Relationship Id="rId84" Type="http://schemas.openxmlformats.org/officeDocument/2006/relationships/footer" Target="footer79.xml"/><Relationship Id="rId83" Type="http://schemas.openxmlformats.org/officeDocument/2006/relationships/footer" Target="footer78.xml"/><Relationship Id="rId82" Type="http://schemas.openxmlformats.org/officeDocument/2006/relationships/footer" Target="footer77.xml"/><Relationship Id="rId81" Type="http://schemas.openxmlformats.org/officeDocument/2006/relationships/footer" Target="footer76.xml"/><Relationship Id="rId80" Type="http://schemas.openxmlformats.org/officeDocument/2006/relationships/footer" Target="footer75.xml"/><Relationship Id="rId8" Type="http://schemas.openxmlformats.org/officeDocument/2006/relationships/footer" Target="footer3.xml"/><Relationship Id="rId79" Type="http://schemas.openxmlformats.org/officeDocument/2006/relationships/footer" Target="footer74.xml"/><Relationship Id="rId78" Type="http://schemas.openxmlformats.org/officeDocument/2006/relationships/footer" Target="footer73.xml"/><Relationship Id="rId77" Type="http://schemas.openxmlformats.org/officeDocument/2006/relationships/footer" Target="footer72.xml"/><Relationship Id="rId76" Type="http://schemas.openxmlformats.org/officeDocument/2006/relationships/footer" Target="footer71.xml"/><Relationship Id="rId75" Type="http://schemas.openxmlformats.org/officeDocument/2006/relationships/footer" Target="footer70.xml"/><Relationship Id="rId74" Type="http://schemas.openxmlformats.org/officeDocument/2006/relationships/footer" Target="footer69.xml"/><Relationship Id="rId73" Type="http://schemas.openxmlformats.org/officeDocument/2006/relationships/footer" Target="footer68.xml"/><Relationship Id="rId72" Type="http://schemas.openxmlformats.org/officeDocument/2006/relationships/footer" Target="footer67.xml"/><Relationship Id="rId71" Type="http://schemas.openxmlformats.org/officeDocument/2006/relationships/footer" Target="footer66.xml"/><Relationship Id="rId70" Type="http://schemas.openxmlformats.org/officeDocument/2006/relationships/footer" Target="footer65.xml"/><Relationship Id="rId7" Type="http://schemas.openxmlformats.org/officeDocument/2006/relationships/footer" Target="footer2.xml"/><Relationship Id="rId69" Type="http://schemas.openxmlformats.org/officeDocument/2006/relationships/footer" Target="footer64.xml"/><Relationship Id="rId68" Type="http://schemas.openxmlformats.org/officeDocument/2006/relationships/footer" Target="footer63.xml"/><Relationship Id="rId67" Type="http://schemas.openxmlformats.org/officeDocument/2006/relationships/footer" Target="footer62.xml"/><Relationship Id="rId66" Type="http://schemas.openxmlformats.org/officeDocument/2006/relationships/footer" Target="footer61.xml"/><Relationship Id="rId65" Type="http://schemas.openxmlformats.org/officeDocument/2006/relationships/footer" Target="footer60.xml"/><Relationship Id="rId64" Type="http://schemas.openxmlformats.org/officeDocument/2006/relationships/footer" Target="footer59.xml"/><Relationship Id="rId63" Type="http://schemas.openxmlformats.org/officeDocument/2006/relationships/footer" Target="footer58.xml"/><Relationship Id="rId62" Type="http://schemas.openxmlformats.org/officeDocument/2006/relationships/footer" Target="footer57.xml"/><Relationship Id="rId61" Type="http://schemas.openxmlformats.org/officeDocument/2006/relationships/footer" Target="footer56.xml"/><Relationship Id="rId60" Type="http://schemas.openxmlformats.org/officeDocument/2006/relationships/footer" Target="footer55.xml"/><Relationship Id="rId6" Type="http://schemas.openxmlformats.org/officeDocument/2006/relationships/header" Target="header1.xml"/><Relationship Id="rId59" Type="http://schemas.openxmlformats.org/officeDocument/2006/relationships/footer" Target="footer54.xml"/><Relationship Id="rId58" Type="http://schemas.openxmlformats.org/officeDocument/2006/relationships/footer" Target="footer53.xml"/><Relationship Id="rId57" Type="http://schemas.openxmlformats.org/officeDocument/2006/relationships/footer" Target="footer52.xml"/><Relationship Id="rId56" Type="http://schemas.openxmlformats.org/officeDocument/2006/relationships/footer" Target="footer51.xml"/><Relationship Id="rId55" Type="http://schemas.openxmlformats.org/officeDocument/2006/relationships/footer" Target="footer50.xml"/><Relationship Id="rId54" Type="http://schemas.openxmlformats.org/officeDocument/2006/relationships/footer" Target="footer49.xml"/><Relationship Id="rId53" Type="http://schemas.openxmlformats.org/officeDocument/2006/relationships/footer" Target="footer48.xml"/><Relationship Id="rId52" Type="http://schemas.openxmlformats.org/officeDocument/2006/relationships/footer" Target="footer47.xml"/><Relationship Id="rId51" Type="http://schemas.openxmlformats.org/officeDocument/2006/relationships/footer" Target="footer46.xml"/><Relationship Id="rId50" Type="http://schemas.openxmlformats.org/officeDocument/2006/relationships/footer" Target="footer45.xml"/><Relationship Id="rId5" Type="http://schemas.openxmlformats.org/officeDocument/2006/relationships/footer" Target="footer1.xml"/><Relationship Id="rId49" Type="http://schemas.openxmlformats.org/officeDocument/2006/relationships/footer" Target="footer44.xml"/><Relationship Id="rId48" Type="http://schemas.openxmlformats.org/officeDocument/2006/relationships/footer" Target="footer43.xml"/><Relationship Id="rId47" Type="http://schemas.openxmlformats.org/officeDocument/2006/relationships/footer" Target="footer42.xml"/><Relationship Id="rId46" Type="http://schemas.openxmlformats.org/officeDocument/2006/relationships/footer" Target="footer41.xml"/><Relationship Id="rId45" Type="http://schemas.openxmlformats.org/officeDocument/2006/relationships/footer" Target="footer40.xml"/><Relationship Id="rId44" Type="http://schemas.openxmlformats.org/officeDocument/2006/relationships/footer" Target="footer39.xml"/><Relationship Id="rId43" Type="http://schemas.openxmlformats.org/officeDocument/2006/relationships/footer" Target="footer38.xml"/><Relationship Id="rId42" Type="http://schemas.openxmlformats.org/officeDocument/2006/relationships/footer" Target="footer37.xml"/><Relationship Id="rId41" Type="http://schemas.openxmlformats.org/officeDocument/2006/relationships/footer" Target="footer36.xml"/><Relationship Id="rId40" Type="http://schemas.openxmlformats.org/officeDocument/2006/relationships/footer" Target="footer35.xml"/><Relationship Id="rId4" Type="http://schemas.openxmlformats.org/officeDocument/2006/relationships/endnotes" Target="endnotes.xml"/><Relationship Id="rId39" Type="http://schemas.openxmlformats.org/officeDocument/2006/relationships/footer" Target="footer34.xml"/><Relationship Id="rId38" Type="http://schemas.openxmlformats.org/officeDocument/2006/relationships/footer" Target="footer33.xml"/><Relationship Id="rId37" Type="http://schemas.openxmlformats.org/officeDocument/2006/relationships/footer" Target="footer32.xml"/><Relationship Id="rId36" Type="http://schemas.openxmlformats.org/officeDocument/2006/relationships/footer" Target="footer31.xml"/><Relationship Id="rId35" Type="http://schemas.openxmlformats.org/officeDocument/2006/relationships/footer" Target="footer30.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notes" Target="footnotes.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footer" Target="footer16.xml"/><Relationship Id="rId20" Type="http://schemas.openxmlformats.org/officeDocument/2006/relationships/footer" Target="footer15.xml"/><Relationship Id="rId2" Type="http://schemas.openxmlformats.org/officeDocument/2006/relationships/settings" Target="settings.xml"/><Relationship Id="rId19" Type="http://schemas.openxmlformats.org/officeDocument/2006/relationships/footer" Target="footer14.xml"/><Relationship Id="rId18" Type="http://schemas.openxmlformats.org/officeDocument/2006/relationships/footer" Target="footer13.xml"/><Relationship Id="rId17" Type="http://schemas.openxmlformats.org/officeDocument/2006/relationships/footer" Target="footer12.xml"/><Relationship Id="rId164" Type="http://schemas.openxmlformats.org/officeDocument/2006/relationships/fontTable" Target="fontTable.xml"/><Relationship Id="rId163" Type="http://schemas.openxmlformats.org/officeDocument/2006/relationships/customXml" Target="../customXml/item1.xml"/><Relationship Id="rId162" Type="http://schemas.openxmlformats.org/officeDocument/2006/relationships/image" Target="media/image57.png"/><Relationship Id="rId161" Type="http://schemas.openxmlformats.org/officeDocument/2006/relationships/image" Target="media/image56.jpeg"/><Relationship Id="rId160" Type="http://schemas.openxmlformats.org/officeDocument/2006/relationships/image" Target="media/image55.jpeg"/><Relationship Id="rId16" Type="http://schemas.openxmlformats.org/officeDocument/2006/relationships/footer" Target="footer11.xml"/><Relationship Id="rId159" Type="http://schemas.openxmlformats.org/officeDocument/2006/relationships/image" Target="media/image54.jpeg"/><Relationship Id="rId158" Type="http://schemas.openxmlformats.org/officeDocument/2006/relationships/image" Target="media/image53.png"/><Relationship Id="rId157" Type="http://schemas.openxmlformats.org/officeDocument/2006/relationships/image" Target="media/image52.png"/><Relationship Id="rId156" Type="http://schemas.openxmlformats.org/officeDocument/2006/relationships/image" Target="media/image51.png"/><Relationship Id="rId155" Type="http://schemas.openxmlformats.org/officeDocument/2006/relationships/image" Target="media/image50.png"/><Relationship Id="rId154" Type="http://schemas.openxmlformats.org/officeDocument/2006/relationships/image" Target="media/image49.png"/><Relationship Id="rId153" Type="http://schemas.openxmlformats.org/officeDocument/2006/relationships/image" Target="media/image48.png"/><Relationship Id="rId152" Type="http://schemas.openxmlformats.org/officeDocument/2006/relationships/image" Target="media/image47.png"/><Relationship Id="rId151" Type="http://schemas.openxmlformats.org/officeDocument/2006/relationships/image" Target="media/image46.png"/><Relationship Id="rId150" Type="http://schemas.openxmlformats.org/officeDocument/2006/relationships/image" Target="media/image45.png"/><Relationship Id="rId15" Type="http://schemas.openxmlformats.org/officeDocument/2006/relationships/footer" Target="footer10.xml"/><Relationship Id="rId149" Type="http://schemas.openxmlformats.org/officeDocument/2006/relationships/image" Target="media/image44.png"/><Relationship Id="rId148" Type="http://schemas.openxmlformats.org/officeDocument/2006/relationships/image" Target="media/image43.png"/><Relationship Id="rId147" Type="http://schemas.openxmlformats.org/officeDocument/2006/relationships/image" Target="media/image42.png"/><Relationship Id="rId146" Type="http://schemas.openxmlformats.org/officeDocument/2006/relationships/image" Target="media/image41.png"/><Relationship Id="rId145" Type="http://schemas.openxmlformats.org/officeDocument/2006/relationships/image" Target="media/image40.png"/><Relationship Id="rId144" Type="http://schemas.openxmlformats.org/officeDocument/2006/relationships/image" Target="media/image39.png"/><Relationship Id="rId143" Type="http://schemas.openxmlformats.org/officeDocument/2006/relationships/image" Target="media/image38.png"/><Relationship Id="rId142" Type="http://schemas.openxmlformats.org/officeDocument/2006/relationships/image" Target="media/image37.png"/><Relationship Id="rId141" Type="http://schemas.openxmlformats.org/officeDocument/2006/relationships/image" Target="media/image36.png"/><Relationship Id="rId140" Type="http://schemas.openxmlformats.org/officeDocument/2006/relationships/image" Target="media/image35.png"/><Relationship Id="rId14" Type="http://schemas.openxmlformats.org/officeDocument/2006/relationships/footer" Target="footer9.xml"/><Relationship Id="rId139" Type="http://schemas.openxmlformats.org/officeDocument/2006/relationships/image" Target="media/image34.png"/><Relationship Id="rId138" Type="http://schemas.openxmlformats.org/officeDocument/2006/relationships/image" Target="media/image33.jpeg"/><Relationship Id="rId137" Type="http://schemas.openxmlformats.org/officeDocument/2006/relationships/image" Target="media/image32.jpeg"/><Relationship Id="rId136" Type="http://schemas.openxmlformats.org/officeDocument/2006/relationships/image" Target="media/image31.png"/><Relationship Id="rId135" Type="http://schemas.openxmlformats.org/officeDocument/2006/relationships/image" Target="media/image30.png"/><Relationship Id="rId134" Type="http://schemas.openxmlformats.org/officeDocument/2006/relationships/image" Target="media/image29.png"/><Relationship Id="rId133" Type="http://schemas.openxmlformats.org/officeDocument/2006/relationships/image" Target="media/image28.png"/><Relationship Id="rId132" Type="http://schemas.openxmlformats.org/officeDocument/2006/relationships/image" Target="media/image27.jpeg"/><Relationship Id="rId131" Type="http://schemas.openxmlformats.org/officeDocument/2006/relationships/image" Target="media/image26.jpeg"/><Relationship Id="rId130" Type="http://schemas.openxmlformats.org/officeDocument/2006/relationships/image" Target="media/image25.png"/><Relationship Id="rId13" Type="http://schemas.openxmlformats.org/officeDocument/2006/relationships/footer" Target="footer8.xml"/><Relationship Id="rId129" Type="http://schemas.openxmlformats.org/officeDocument/2006/relationships/image" Target="media/image24.png"/><Relationship Id="rId128" Type="http://schemas.openxmlformats.org/officeDocument/2006/relationships/image" Target="media/image23.png"/><Relationship Id="rId127" Type="http://schemas.openxmlformats.org/officeDocument/2006/relationships/image" Target="media/image22.png"/><Relationship Id="rId126" Type="http://schemas.openxmlformats.org/officeDocument/2006/relationships/image" Target="media/image21.png"/><Relationship Id="rId125" Type="http://schemas.openxmlformats.org/officeDocument/2006/relationships/image" Target="media/image20.png"/><Relationship Id="rId124" Type="http://schemas.openxmlformats.org/officeDocument/2006/relationships/image" Target="media/image19.png"/><Relationship Id="rId123" Type="http://schemas.openxmlformats.org/officeDocument/2006/relationships/image" Target="media/image18.png"/><Relationship Id="rId122" Type="http://schemas.openxmlformats.org/officeDocument/2006/relationships/image" Target="media/image17.png"/><Relationship Id="rId121" Type="http://schemas.openxmlformats.org/officeDocument/2006/relationships/image" Target="media/image16.png"/><Relationship Id="rId120" Type="http://schemas.openxmlformats.org/officeDocument/2006/relationships/image" Target="media/image15.png"/><Relationship Id="rId12" Type="http://schemas.openxmlformats.org/officeDocument/2006/relationships/footer" Target="footer7.xml"/><Relationship Id="rId119" Type="http://schemas.openxmlformats.org/officeDocument/2006/relationships/image" Target="media/image14.png"/><Relationship Id="rId118" Type="http://schemas.openxmlformats.org/officeDocument/2006/relationships/image" Target="media/image13.jpeg"/><Relationship Id="rId117" Type="http://schemas.openxmlformats.org/officeDocument/2006/relationships/image" Target="media/image12.png"/><Relationship Id="rId116" Type="http://schemas.openxmlformats.org/officeDocument/2006/relationships/image" Target="media/image11.png"/><Relationship Id="rId115" Type="http://schemas.openxmlformats.org/officeDocument/2006/relationships/image" Target="media/image10.png"/><Relationship Id="rId114" Type="http://schemas.openxmlformats.org/officeDocument/2006/relationships/image" Target="media/image9.jpeg"/><Relationship Id="rId113" Type="http://schemas.openxmlformats.org/officeDocument/2006/relationships/image" Target="media/image8.png"/><Relationship Id="rId112" Type="http://schemas.openxmlformats.org/officeDocument/2006/relationships/image" Target="media/image7.jpeg"/><Relationship Id="rId111" Type="http://schemas.openxmlformats.org/officeDocument/2006/relationships/image" Target="media/image2.png"/><Relationship Id="rId110" Type="http://schemas.openxmlformats.org/officeDocument/2006/relationships/image" Target="media/image1.png"/><Relationship Id="rId11" Type="http://schemas.openxmlformats.org/officeDocument/2006/relationships/footer" Target="footer6.xml"/><Relationship Id="rId109" Type="http://schemas.openxmlformats.org/officeDocument/2006/relationships/image" Target="media/image6.jpeg"/><Relationship Id="rId108" Type="http://schemas.openxmlformats.org/officeDocument/2006/relationships/image" Target="media/image5.png"/><Relationship Id="rId107" Type="http://schemas.openxmlformats.org/officeDocument/2006/relationships/image" Target="media/image4.jpeg"/><Relationship Id="rId106" Type="http://schemas.openxmlformats.org/officeDocument/2006/relationships/image" Target="media/image3.png"/><Relationship Id="rId105" Type="http://schemas.openxmlformats.org/officeDocument/2006/relationships/theme" Target="theme/theme1.xml"/><Relationship Id="rId104" Type="http://schemas.openxmlformats.org/officeDocument/2006/relationships/footer" Target="footer99.xml"/><Relationship Id="rId103" Type="http://schemas.openxmlformats.org/officeDocument/2006/relationships/footer" Target="footer98.xml"/><Relationship Id="rId102" Type="http://schemas.openxmlformats.org/officeDocument/2006/relationships/footer" Target="footer97.xml"/><Relationship Id="rId101" Type="http://schemas.openxmlformats.org/officeDocument/2006/relationships/footer" Target="footer96.xml"/><Relationship Id="rId100" Type="http://schemas.openxmlformats.org/officeDocument/2006/relationships/footer" Target="footer95.xml"/><Relationship Id="rId10" Type="http://schemas.openxmlformats.org/officeDocument/2006/relationships/footer" Target="footer5.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6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8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103</Pages>
  <Words>5348</Words>
  <Characters>29174</Characters>
  <TotalTime>18</TotalTime>
  <ScaleCrop>false</ScaleCrop>
  <LinksUpToDate>false</LinksUpToDate>
  <CharactersWithSpaces>34387</CharactersWithSpaces>
  <Application>WPS Office_12.1.0.23125_F1E327BC-269C-435d-A152-05C5408002CA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2025-05-16T13:47:00Z</dcterms:created>
  <dc:creator>Zixuan Yan</dc:creator>
  <cp:lastModifiedBy>严子轩</cp:lastModifiedBy>
  <dcterms:modified xsi:type="dcterms:W3CDTF">2025-10-27T12:29:30Z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wqlLaW5nc29mdCBQREYgdG8gV1BTIDExNQ</vt:lpwstr>
  </property>
  <property fmtid="{D5CDD505-2E9C-101B-9397-08002B2CF9AE}" pid="3" name="Created">
    <vt:filetime>2025-10-27T15:26:22Z</vt:filetime>
  </property>
  <property fmtid="{D5CDD505-2E9C-101B-9397-08002B2CF9AE}" pid="4" name="KSOTemplateDocerSaveRecord">
    <vt:lpwstr>eyJoZGlkIjoiMzBjM2ZiZTIzN2UzMzQ0YjJiZTM2NjAwYTA4ZGUwYWQiLCJ1c2VySWQiOiIxMTk3OTMyMDUyIn0=</vt:lpwstr>
  </property>
  <property fmtid="{D5CDD505-2E9C-101B-9397-08002B2CF9AE}" pid="5" name="KSOProductBuildVer">
    <vt:lpwstr>2052-12.1.0.23125</vt:lpwstr>
  </property>
  <property fmtid="{D5CDD505-2E9C-101B-9397-08002B2CF9AE}" pid="6" name="ICV">
    <vt:lpwstr>14290D1016C9404E8CF89D480E54957F_12</vt:lpwstr>
  </property>
</Properties>
</file>