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RESEARCH 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When Does Context Compression Accelerate CPU RAG?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0"/>
          <w:szCs w:val="20"/>
          <w:rtl w:val="0"/>
        </w:rPr>
        <w:t xml:space="preserve">A Decode-Centric Study with Adaptive Evidence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Framework: DECAF — Decode-Centric Adaptive evidence selection For CPU-only RAG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12" w:val="single"/>
              <w:left w:color="1f4e79" w:space="0" w:sz="12" w:val="single"/>
              <w:bottom w:color="1f4e79" w:space="0" w:sz="12" w:val="single"/>
              <w:right w:color="1f4e79" w:space="0" w:sz="12" w:val="single"/>
            </w:tcBorders>
            <w:shd w:fill="f0f5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Project 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controlled characterization of how retrieved-context length affects TTFT, per-token decode latency (TPOT) and end-to-end latency in CPU-only, quantized small-LLM RAG — and a training-free, CPU-aware compressor that operates on that characterization.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Prepared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Md Al Amin Tokder, Tasnia Haque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Research Project Proposal — Efficient Retrieval-Augmented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7"/>
          <w:szCs w:val="17"/>
          <w:rtl w:val="0"/>
        </w:rPr>
        <w:t xml:space="preserve">AI / ML &amp; Systems-for-ML Research  · 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Context compression is one of the most widely proposed remedies for Retrieval-Augmented Generation (RAG) latency: fewer retrieved tokens should mean cheaper inference. Almost all of this evidence comes from GPU serving, where prefill dominates. On CPU, the cost profile is different: generation is slow and largely memory-bound, and per-token decode latency (TPOT) scales with the KV-cache size, which scales with context length. Whether compression therefore actually pays off on CPU — once the compressor's own cost is counted — has not been characterized under controlled small-model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Prior work covers the two ingredients separately: CPU-only RAG deployment and quantized-LLM benchmarking exist, and training-free adaptive context compression exists. What is missing is the interaction: how retrieved-context length, compression, quantization and model size jointly shape TTFT, TPOT, end-to-end latency, memory and answer grounding for a small quantized model running exclusively on a CPU.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This proposal makes that interaction its subject. It (1) defines a measurement methodology that separates prefill from decode and formalizes compression efficiency, overhead and net speedup; (2) introduces DECAF, a single-pass, CPU-aware adaptive evidence-selection mechanism that decides what to keep before invoking the expensive decoder; (3) performs a break-even analysis identifying the context length L* above which compression becomes a net latency win; and (4) provides a reproducible efficiency benchmark on identical CPU hardware with quality, latency, memory, grounding and energy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The contribution is therefore not “a new training-free compressor” — that space is now crowded — but a decode-centric characterization of when compression helps on CPU, plus a compressor built on that characterization.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12" w:val="single"/>
              <w:left w:color="1f4e79" w:space="0" w:sz="12" w:val="single"/>
              <w:bottom w:color="1f4e79" w:space="0" w:sz="12" w:val="single"/>
              <w:right w:color="1f4e79" w:space="0" w:sz="12" w:val="single"/>
            </w:tcBorders>
            <w:shd w:fill="f0f5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Primary Research Question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does reducing retrieved context actually translate into lower CPU decoding cost, and what compression strategy maximizes answer quality per unit of CPU time?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Latency is the practical blocker for local RAG. On CPU-only hardware — the setting most deployments without a GPU can afford — inference is slow enough that the difference between an interactive tool and an unusable one is often a matter of seconds per query. Compression is the obvious lever, but its benefit is not automatic: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compressor itself consumes CPU time (T_compress), and a compressor that is not much cheaper than the decoding it saves can be a net loss.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Compression can reduce answer accuracy and, as recent evidence shows, can damage citation grounding far more than it damages correctness.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benefit depends on context length, model size and quantization in ways that have been characterized on GPU but not, in a controlled way, on CPU.</w:t>
      </w:r>
    </w:p>
    <w:p w:rsidR="00000000" w:rsidDel="00000000" w:rsidP="00000000" w:rsidRDefault="00000000" w:rsidRPr="00000000" w14:paraId="00000019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 method and a methodology are therefore needed that: (1) compress to the minimum evidence needed for a grounded answer; (2) are training-free; (3) adapt the compression rate per query without an expensive controller; (4) make the decision before invoking the decoder; and (5) are evaluated under realistic CPU constraints with TTFT, TPOT, end-to-end latency, peak memory and grounding.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3. Research Gap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Compression's CPU benefit is not decomposed. Whether savings come from prefill or from decode — the phase that dominates CPU — is generally not isolated.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compressor's own cost is under-reported. Adaptive methods add a controller; whether that overhead is smaller than the decoding it saves on CPU is rarely quantified.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break-even characterization on CPU. The context length above which compression becomes net-positive may depend on model size and quantization; this threshold is not established for CPU inference of small quantized models.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Grounding is under-measured. Compression can preserve correctness while degrading citation grounding, so accuracy alone is insufficient.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GPU-era KV-reuse/prefetch transfer is untested on CPU. Theory predicts little end-to-end benefit when decode dominates.</w:t>
      </w:r>
    </w:p>
    <w:p w:rsidR="00000000" w:rsidDel="00000000" w:rsidP="00000000" w:rsidRDefault="00000000" w:rsidRPr="00000000" w14:paraId="00000020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4. Theoretical Framework and Measurement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Latency decomposition: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T_total = T_retrieve + T_compress + T_prefill(L) + N_out · TPOT(L)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40" w:before="0" w:line="276" w:lineRule="auto"/>
        <w:rPr/>
      </w:pPr>
      <w:sdt>
        <w:sdtPr>
          <w:id w:val="-2614517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On GPU (published), prefill dominates. On CPU (hypothesis), N_out · TPOT(L) dominates end-to-end latency — a decode-dominated regime. A first-order model is TPOT(L) ≈ (W_model + KV(L)) / BW_mem with KV(L) ∝ L · d · layers · bytes. DECAF treats memory-bandwidth domination as an empirical question and measures CPU utilization, achieved bandwidth, tokens/s and TPOT as functions of context length, quantization and model size.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  <w:rtl w:val="0"/>
        </w:rPr>
        <w:t xml:space="preserve">Table 1. Measurement framework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40"/>
        <w:gridCol w:w="3640"/>
        <w:tblGridChange w:id="0">
          <w:tblGrid>
            <w:gridCol w:w="2800"/>
            <w:gridCol w:w="3640"/>
            <w:gridCol w:w="3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Compression efficiency (CE)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ΔT_decode / ΔL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Decode time saved per removed context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Compression overhead (O_c)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T_compress / T_baseline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Controller cost as a fraction of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Net speedup (S_net)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T_baseline / (T_compress + T_prefill^c + T_decode^c)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True end-to-end gain including overhead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Quality-adjusted efficiency (QE)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Quality /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Reported as a Pareto frontier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Break-even length (L*)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min L : T_compress + T_baseline_decode &gt; T_decode^full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rtl w:val="0"/>
              </w:rPr>
              <w:t xml:space="preserve">Context length above which compression is a net win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Central design principle: the compressor must be cheaper than the decoding it saves. DECAF is single-pass and decoder-free at decision time, so T_compress is bounded by a small cross-encoder forward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5. Research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RQ1: How does retrieved-context length affect TTFT, TPOT and end-to-end latency in CPU-only quantized RAG?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RQ2: When does context compression produce net latency savings after accounting for compression overhead (i.e. what is the break-even context length L*)?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RQ3: Can a training-free, CPU-aware compressor achieve a better quality–latency Pareto frontier than fixed-ratio and existing prompt-compression methods at equal grounding?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RQ4: How do model size (3B vs 7B) and quantization (Q4_K_M vs Q8_0) alter the compression–quality–latency relationship?</w:t>
      </w:r>
    </w:p>
    <w:p w:rsidR="00000000" w:rsidDel="00000000" w:rsidP="00000000" w:rsidRDefault="00000000" w:rsidRPr="00000000" w14:paraId="0000003E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6. Hypotheses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H1: As retrieved-context length increases, the fraction of end-to-end CPU latency attributable to decoding increases, and context compression produces larger relative gains in TPOT than in TTFT.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H2: For each (model, quantization) pair there exists a break-even context length L*; below it compression is a net loss, above it a net win.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H3: A single-pass CPU-aware gate matches or beats fixed-ratio and existing training-free prompt compression on the quality–latency–grounding Pareto frontier.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H4: Larger models and higher-precision quantization shift L* and the Pareto frontier.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H5 (secondary): KV-cache reuse and retrieval prefetching provide limited net end-to-end benefit when CPU decode dominates.</w:t>
      </w:r>
    </w:p>
    <w:p w:rsidR="00000000" w:rsidDel="00000000" w:rsidP="00000000" w:rsidRDefault="00000000" w:rsidRPr="00000000" w14:paraId="00000044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7. Aim and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Aim: to characterize, empirically, when context compression accelerates CPU RAG, and to introduce a training-free CPU-aware compressor that operates on that characterization.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O1 — Build a CPU inference harness with per-stage telemetry (T_retrieve, T_compress, TTFT, TPOT, E2E, peak RSS, throughput / bandwidth / energy).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O2 — Define and validate the measurement methodology (CE, O_c, S_net, QE, L*).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O3 — Implement DECAF's single-pass CPU-aware evidence selection using off-the-shelf components.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O4 — Run the context-length scaling, compression-ratio, break-even, quantization and model-size experiments.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O5 — Evaluate grounding alongside accuracy, and produce accuracy–latency Pareto frontiers.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O6 — Run the secondary KV-reuse / prefetch transferability analysis.</w:t>
      </w:r>
    </w:p>
    <w:p w:rsidR="00000000" w:rsidDel="00000000" w:rsidP="00000000" w:rsidRDefault="00000000" w:rsidRPr="00000000" w14:paraId="0000004C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8. Scope and Target 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 scope: single-turn and multi-hop QA with a CPU-only, 16 GB / 4–8 core machine; Qwen2.5-3B-Instruct and Qwen2.5-7B-Instruct in GGUF form (Q4_K_M and Q8_0); fully training-free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Out of scope: GPU/vLLM serving and data-center batching; visual/multimodal retrieval; voice/multi-turn dialogue; and any fine-tuning, RL training or continual pretraining.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9. Evaluation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  <w:rtl w:val="0"/>
        </w:rPr>
        <w:t xml:space="preserve">Table 2. Evaluation datasets (depth over breadth)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2200"/>
        <w:gridCol w:w="2880"/>
        <w:tblGridChange w:id="0">
          <w:tblGrid>
            <w:gridCol w:w="2200"/>
            <w:gridCol w:w="2800"/>
            <w:gridCol w:w="220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QA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HotpotQA (distractor)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Multi-hop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Provided gold paragraphs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2WikiMultihopQA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Multi-hop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Provided contexts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LongBench / MuSiQue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Long-context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 to ~32K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TriviaQA (or NQ)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Single-hop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Provided / small index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Scale: main benchmark ~500 queries × 2 datasets; generalization ~200 queries × 2 datasets; 50 calibration queries per model/quantization. Retrieval modes: provided-context (core experiments) and a small BM25/dense index for end-to-end baselines.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10. Proposed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40" w:before="0"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DECAF makes the compression decision before invoking the decoder — there is no iterative generation, which keeps T_compress small.</w:t>
      </w:r>
    </w:p>
    <w:p w:rsidR="00000000" w:rsidDel="00000000" w:rsidP="00000000" w:rsidRDefault="00000000" w:rsidRPr="00000000" w14:paraId="00000069">
      <w:pPr>
        <w:spacing w:after="140" w:before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562725" cy="283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283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40" w:before="0" w:line="276" w:lineRule="auto"/>
        <w:rPr/>
      </w:pPr>
      <w:sdt>
        <w:sdtPr>
          <w:id w:val="-86668277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1"/>
              <w:szCs w:val="21"/>
              <w:rtl w:val="0"/>
            </w:rPr>
            <w:t xml:space="preserve">Query → Retriever (top-N) → Sentence segmentation → Fine-grained evidence scoring → CPU-aware budget controller → Adaptive evidence selection (single pass) → Relevance reordering → Reader (Qwen2.5-3B/7B GGUF via llama.cpp) → Answer + telemetry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40" w:before="0"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Validity boundary: the compressor may only change which retrieved sentences reach the decoder and when they are fetched; it never alters sentence content. Every decision is logged so quality and grounding can be attributed to a specific operating point.</w:t>
      </w:r>
    </w:p>
    <w:p w:rsidR="00000000" w:rsidDel="00000000" w:rsidP="00000000" w:rsidRDefault="00000000" w:rsidRPr="00000000" w14:paraId="0000006C">
      <w:pPr>
        <w:spacing w:after="1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11. Core Technical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2"/>
          <w:szCs w:val="22"/>
          <w:rtl w:val="0"/>
        </w:rPr>
        <w:t xml:space="preserve">11.1 Fine-grained evidence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Each candidate sentence is scored with an off-the-shelf cross-encoder (BAAI/bge-reranker-base, ~110M; bge-reranker-v2-m3 as a quality variant), run on CPU.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2"/>
          <w:szCs w:val="22"/>
          <w:rtl w:val="0"/>
        </w:rPr>
        <w:t xml:space="preserve">11.2 CPU-aware budget controller (core novel mechanism)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Rather than “add sentences until enough evidence,” DECAF optimizes quality gain per unit of CPU cost: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Score(s_i) = [Relevance × Coverage × UncertaintyReduction] / EstimatedCPUCost(s_i)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40" w:before="0" w:line="276" w:lineRule="auto"/>
        <w:rPr/>
      </w:pPr>
      <w:sdt>
        <w:sdtPr>
          <w:id w:val="36093276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1"/>
              <w:szCs w:val="21"/>
              <w:rtl w:val="0"/>
            </w:rPr>
            <w:t xml:space="preserve">Select while: MarginalQualityGain(s_i) ≥ λ · MarginalLatencyCost(s_i)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40" w:before="0" w:line="276" w:lineRule="auto"/>
        <w:rPr/>
      </w:pPr>
      <w:sdt>
        <w:sdtPr>
          <w:id w:val="44644116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EstimatedCPUCost is derived from the measured decode-scaling curve (≈ tokens(s_i) × per-token TPOT estimate at the current context length), so the controller is explicitly grounded in the hardware, model and quantization. Selection is single-pass; λ is a single interpretable budget knob.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2"/>
          <w:szCs w:val="22"/>
          <w:rtl w:val="0"/>
        </w:rPr>
        <w:t xml:space="preserve">11.3 Relevance reordering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Retained evidence is ordered by relevance to reduce lost-in-the-middle effects on small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2"/>
          <w:szCs w:val="22"/>
          <w:rtl w:val="0"/>
        </w:rPr>
        <w:t xml:space="preserve">11.4 Telemetry and 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Logs T_retrieve, T_compress, TTFT, TPOT, E2E, tokens/s, peak RSS, achieved memory bandwidth, CPU utilization, and energy where exposed; computes CE, O_c, S_net, QE and L*.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2"/>
          <w:szCs w:val="22"/>
          <w:rtl w:val="0"/>
        </w:rPr>
        <w:t xml:space="preserve">11.5 Grounding evaluator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Scores whether the generated answer is supported by the retained gold evidence (evidence recall/precision, answer-support rate) — decoder-free, so it does not corrupt latency measurement.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12. Baselines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Retrieval: BM25 top-k; dense top-k; hybrid.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Compression / selection: Full context; fixed top-k sentences; LLMLingua-2; Perception Compressor (training-free, adaptive, NAACL 2025 Findings); DECAF.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Where compute permits, ACC-RAG and ECoRAG are included as (trained/GPU) reference points.</w:t>
      </w:r>
    </w:p>
    <w:p w:rsidR="00000000" w:rsidDel="00000000" w:rsidP="00000000" w:rsidRDefault="00000000" w:rsidRPr="00000000" w14:paraId="0000007F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All baselines are re-run on identical CPU hardware, datasets and metrics. Methods whose training is infeasible on CPU are cited qualitatively with the compute barrier stated.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13. Experimental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  <w:rtl w:val="0"/>
        </w:rPr>
        <w:t xml:space="preserve">Table 3. Core experiment matrix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190"/>
        <w:gridCol w:w="3690"/>
        <w:tblGridChange w:id="0">
          <w:tblGrid>
            <w:gridCol w:w="1200"/>
            <w:gridCol w:w="519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>
                <w:sz w:val="29"/>
                <w:szCs w:val="29"/>
              </w:rPr>
            </w:pPr>
            <w:sdt>
              <w:sdtPr>
                <w:id w:val="114480604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Context-length scaling: TTFT/TPOT/E2E at L ∈ {1K…32K}, full vs compressed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RQ1, H1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Compression ratio vs quality (0.8/0.6/0.4/0.2 retained)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RQ3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Compression overhead vs decode savings (O_c, S_net)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RQ2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Break-even context length L* per model × quantization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RQ2, H2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Quantization interaction (Q4_K_M vs Q8_0)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Model-size interaction (3B vs 7B)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Grounding preservation under 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RQ3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CPU memory-bandwidth / roofline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§4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>
                <w:sz w:val="29"/>
                <w:szCs w:val="2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Generalization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RQ3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40" w:before="0" w:line="276" w:lineRule="auto"/>
        <w:rPr/>
      </w:pPr>
      <w:sdt>
        <w:sdtPr>
          <w:id w:val="165649865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Protocol: fixed hardware/threads/models/quants/prompts/seeds; warmup then ≥3 repeats per reported point; medians with confidence intervals.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14. Evaluation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Latency: TTFT; TPOT (ms/token); end-to-end latency; P50/P95; tokens/s.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System: peak RSS; compression ratio; compressor overhead; achieved memory bandwidth; CPU utilization; energy per query where available.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Quality: EM, F1; ROUGE-L where applicable.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Grounding: evidence recall, evidence precision, answer-support rate, citation correctness.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Derived: CE, O_c, S_net, QE, L*.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Composite: accuracy–latency Pareto frontier (not a single scalar).</w:t>
      </w:r>
    </w:p>
    <w:p w:rsidR="00000000" w:rsidDel="00000000" w:rsidP="00000000" w:rsidRDefault="00000000" w:rsidRPr="00000000" w14:paraId="000000A9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15. Component Analysis (Ablation)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 trimmed ablation isolates each DECAF component: scorer off/on; CPU-aware cost term on/off (relevance-only selection); coverage term on/off; reordering on/off; and λ sweep. This quantifies how much CPU-awareness itself contributes versus plain relevance-ranked top-k — the sharpest test of the central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16. Secondary Analysis: KV-Reuse and Prefetching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 focused micro-study measures (i) llama.cpp prefix/KV cache on repeated queries and (ii) async retrieval prefetch overlapped with decoding, reporting net E2E and TTFT. Framed as a secondary systems analysis, it tests the expectation that reuse mainly moves TTFT and prefetch hides little when decode dominates.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17. Risk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  <w:rtl w:val="0"/>
        </w:rPr>
        <w:t xml:space="preserve">Table 4. Risks and mitigations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Compressor cost erases 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Single-pass, decoder-free, ~110M cross-encoder; report O_c as a first-class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Adaptive decisions unstable/expensive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Single gate; one budget knob λ; no iterative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7B too slow on 4–8 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3B primary; 7B on main benchmark + subset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Long-context (32K) points slow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Limit high-L points to a small query subset sufficient to fit TPOT(L)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Novelty overlap with SARA / Perception / BRIEF-Pro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Position as CPU-specific decode-centric characterization + break-even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18.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measured, reproducible TPOT(L) relationship and TTFT/decode split on CPU for 3B/7B × Q4/Q8.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measured break-even context length L* per model × quantization, with the overhead-vs-savings crossover.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quality–latency–grounding Pareto frontier on which DECAF is competitive with or ahead of fixed-ratio and Perception Compressor.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quantified model-size/quantization effect on L* and the frontier.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secondary transferability analysis answered with evidence in either direction.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Code, configs, seeds, telemetry logs and dataset splits released.</w:t>
      </w:r>
    </w:p>
    <w:p w:rsidR="00000000" w:rsidDel="00000000" w:rsidP="00000000" w:rsidRDefault="00000000" w:rsidRPr="00000000" w14:paraId="000000C2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19.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8"/>
          <w:szCs w:val="18"/>
          <w:rtl w:val="0"/>
        </w:rPr>
        <w:t xml:space="preserve">Table 5. Phased timeline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6280"/>
        <w:gridCol w:w="2200"/>
        <w:tblGridChange w:id="0">
          <w:tblGrid>
            <w:gridCol w:w="1600"/>
            <w:gridCol w:w="628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1. Harness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CPU harness + telemetry + measurement methodology 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2. Characterization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E1 context-length scaling; E8 bandwidth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3. Baselines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Full / top-k / LLMLingua-2 / Perception Compressor on identical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4. DECAF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Scorer + CPU-aware controller + reordering + grounding evaluator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5. Core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E2–E7, E9; L* and Pareto frontiers; component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6. 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Transferability study; manuscript; reproducibility 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0.0" w:type="dxa"/>
              <w:left w:w="70.0" w:type="dxa"/>
              <w:bottom w:w="5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>
                <w:sz w:val="25"/>
                <w:szCs w:val="25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1"/>
        <w:pBdr>
          <w:bottom w:color="1f4e79" w:space="4" w:sz="12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20. Publication Strategy and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Venue: the first version targets the efficient-NLP community — ACL / EMNLP (efficiency or retrieval tracks, main or Findings) and NAACL — because the contribution is framed as a RAG/evidence-selection and evaluation study with a strong measurement methodology. MLSys / EuroSys / ASPLOS / USENIX ATC are alternative homes if the characterization results warrant a systems framing.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Conclusion. DECAF's contribution is not a new training-free compressor — that space now includes SARA, Perception Compressor and BRIEF-Pro — but a decode-centric characterization of when context compression actually accelerates CPU RAG, a training-free CPU-aware compressor built on that characterization, a break-even analysis that yields practically useful L* thresholds, and a reproducible efficiency benchmark with grounding and energy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4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The strongest expected result is not “DECAF is X% faster” but: compression is a net loss below a hardware-, model- and quantization-dependent context-length threshold, and a net win above it — a result that helps practitioners decide when to compress rather than assuming they always should.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900" w:top="900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Bdr>
        <w:top w:color="cccccc" w:space="6" w:sz="4" w:val="single"/>
      </w:pBdr>
      <w:spacing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  ·  Md Al Amin Tokder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bottom w:color="1f4e79" w:space="6" w:sz="6" w:val="single"/>
      </w:pBdr>
      <w:spacing w:after="60" w:lineRule="auto"/>
      <w:rPr/>
    </w:pP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5"/>
        <w:szCs w:val="15"/>
        <w:rtl w:val="0"/>
      </w:rPr>
      <w:t xml:space="preserve">DECAF  ·  Decode-Centric Adaptive Evidence Selection for CPU RAG  ·  Research Proposal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Zj1LfdmZrL1qleKZ+HLYSMVNS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Whoc1kyaXBXNEpza3U5RWY1aFRoUFN1LV9nd09DMC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2026-10-05T06:03:45.933Z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