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pacing w:val="100"/>
          <w:sz w:val="28"/>
          <w:szCs w:val="28"/>
        </w:rPr>
        <w:t xml:space="preserve">RESEARCH PROJECT PROPOSAL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When Does Context Compression Accelerate CPU RAG?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A Decode-Centric Study with Adaptive Evidence Selection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Framework: DECAF — Decode-Centric Adaptive evidence selection For CPU-only RAG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F4E79" w:sz="12"/>
              <w:left w:val="single" w:color="1F4E79" w:sz="12"/>
              <w:bottom w:val="single" w:color="1F4E79" w:sz="12"/>
              <w:right w:val="single" w:color="1F4E79" w:sz="12"/>
            </w:tcBorders>
            <w:shd w:fill="F0F5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Project Vision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controlled characterization of how retrieved-context length affects TTFT, per-token decode latency (TPOT) and end-to-end latency in CPU-only, quantized small-LLM RAG — and a training-free, CPU-aware compressor that operates on that characterization.</w:t>
            </w:r>
          </w:p>
        </w:tc>
      </w:tr>
    </w:tbl>
    <w:p>
      <w:pPr>
        <w:spacing w:after="140"/>
      </w:pP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Prepared by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Md Al Amin Tokder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Research Project Proposal — Efficient Retrieval-Augmented Generation</w:t>
      </w:r>
    </w:p>
    <w:p>
      <w:pPr>
        <w:spacing w:after="280"/>
        <w:jc w:val="center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AI / ML &amp; Systems-for-ML Research  ·  October 2026</w:t>
      </w:r>
    </w:p>
    <w:p>
      <w:pPr>
        <w:pStyle w:val="Heading1"/>
        <w:pBdr>
          <w:bottom w:val="single" w:color="1F4E79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Executive Summary</w:t>
      </w:r>
    </w:p>
    <w:p>
      <w:pPr>
        <w:spacing w:after="140" w:before="0" w:line="276"/>
      </w:pPr>
      <w:r>
        <w:rPr>
          <w:rFonts w:ascii="Arial" w:cs="Arial" w:eastAsia="Arial" w:hAnsi="Arial"/>
          <w:sz w:val="21"/>
          <w:szCs w:val="21"/>
        </w:rPr>
        <w:t xml:space="preserve">Context compression is one of the most widely proposed remedies for Retrieval-Augmented Generation (RAG) latency: fewer retrieved tokens should mean cheaper inference. Almost all of this evidence comes from GPU serving, where prefill dominates. On CPU, the cost profile is different: generation is slow and largely memory-bound, and per-token decode latency (TPOT) scales with the KV-cache size, which scales with context length. Whether compression therefore actually pays off on CPU — once the compressor's own cost is counted — has not been characterized under controlled small-model conditions.</w:t>
      </w:r>
    </w:p>
    <w:p>
      <w:pPr>
        <w:spacing w:after="140" w:before="0" w:line="276"/>
      </w:pPr>
      <w:r>
        <w:rPr>
          <w:rFonts w:ascii="Arial" w:cs="Arial" w:eastAsia="Arial" w:hAnsi="Arial"/>
          <w:sz w:val="21"/>
          <w:szCs w:val="21"/>
        </w:rPr>
        <w:t xml:space="preserve">Prior work covers the two ingredients separately: CPU-only RAG deployment and quantized-LLM benchmarking exist, and training-free adaptive context compression exists. What is missing is the interaction: how retrieved-context length, compression, quantization and model size jointly shape TTFT, TPOT, end-to-end latency, memory and answer grounding for a small quantized model running exclusively on a CPU.</w:t>
      </w:r>
    </w:p>
    <w:p>
      <w:pPr>
        <w:spacing w:after="140" w:before="0" w:line="276"/>
      </w:pPr>
      <w:r>
        <w:rPr>
          <w:rFonts w:ascii="Arial" w:cs="Arial" w:eastAsia="Arial" w:hAnsi="Arial"/>
          <w:sz w:val="21"/>
          <w:szCs w:val="21"/>
        </w:rPr>
        <w:t xml:space="preserve">This proposal makes that interaction its subject. It (1) defines a measurement methodology that separates prefill from decode and formalizes compression efficiency, overhead and net speedup; (2) introduces DECAF, a single-pass, CPU-aware adaptive evidence-selection mechanism that decides what to keep before invoking the expensive decoder; (3) performs a break-even analysis identifying the context length L* above which compression becomes a net latency win; and (4) provides a reproducible efficiency benchmark on identical CPU hardware with quality, latency, memory, grounding and energy metrics.</w:t>
      </w:r>
    </w:p>
    <w:p>
      <w:pPr>
        <w:spacing w:after="140" w:before="0" w:line="276"/>
      </w:pPr>
      <w:r>
        <w:rPr>
          <w:rFonts w:ascii="Arial" w:cs="Arial" w:eastAsia="Arial" w:hAnsi="Arial"/>
          <w:sz w:val="21"/>
          <w:szCs w:val="21"/>
        </w:rPr>
        <w:t xml:space="preserve">The contribution is therefore not “a new training-free compressor” — that space is now crowded — but a decode-centric characterization of when compression helps on CPU, plus a compressor built on that characterization.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F4E79" w:sz="12"/>
              <w:left w:val="single" w:color="1F4E79" w:sz="12"/>
              <w:bottom w:val="single" w:color="1F4E79" w:sz="12"/>
              <w:right w:val="single" w:color="1F4E79" w:sz="12"/>
            </w:tcBorders>
            <w:shd w:fill="F0F5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Primary Research Question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does reducing retrieved context actually translate into lower CPU decoding cost, and what compression strategy maximizes answer quality per unit of CPU time?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1F4E79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Problem Statement</w:t>
      </w:r>
    </w:p>
    <w:p>
      <w:pPr>
        <w:spacing w:after="140" w:before="0" w:line="276"/>
      </w:pPr>
      <w:r>
        <w:rPr>
          <w:rFonts w:ascii="Arial" w:cs="Arial" w:eastAsia="Arial" w:hAnsi="Arial"/>
          <w:sz w:val="21"/>
          <w:szCs w:val="21"/>
        </w:rPr>
        <w:t xml:space="preserve">Latency is the practical blocker for local RAG. On CPU-only hardware — the setting most deployments without a GPU can afford — inference is slow enough that the difference between an interactive tool and an unusable one is often a matter of seconds per query. Compression is the obvious lever, but its benefit is not automatic: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The compressor itself consumes CPU time (T_compress), and a compressor that is not much cheaper than the decoding it saves can be a net loss.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Compression can reduce answer accuracy and, as recent evidence shows, can damage citation grounding far more than it damages correctness.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The benefit depends on context length, model size and quantization in ways that have been characterized on GPU but not, in a controlled way, on CPU.</w:t>
      </w:r>
    </w:p>
    <w:p>
      <w:pPr>
        <w:spacing w:after="140" w:before="0" w:line="276"/>
      </w:pPr>
      <w:r>
        <w:rPr>
          <w:rFonts w:ascii="Arial" w:cs="Arial" w:eastAsia="Arial" w:hAnsi="Arial"/>
          <w:sz w:val="21"/>
          <w:szCs w:val="21"/>
        </w:rPr>
        <w:t xml:space="preserve">A method and a methodology are therefore needed that: (1) compress to the minimum evidence needed for a grounded answer; (2) are training-free; (3) adapt the compression rate per query without an expensive controller; (4) make the decision before invoking the decoder; and (5) are evaluated under realistic CPU constraints with TTFT, TPOT, end-to-end latency, peak memory and grounding.</w:t>
      </w:r>
    </w:p>
    <w:p>
      <w:pPr>
        <w:pStyle w:val="Heading1"/>
        <w:pBdr>
          <w:bottom w:val="single" w:color="1F4E79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Research Gap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Compression's CPU benefit is not decomposed. Whether savings come from prefill or from decode — the phase that dominates CPU — is generally not isolated.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The compressor's own cost is under-reported. Adaptive methods add a controller; whether that overhead is smaller than the decoding it saves on CPU is rarely quantified.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No break-even characterization on CPU. The context length above which compression becomes net-positive may depend on model size and quantization; this threshold is not established for CPU inference of small quantized models.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Grounding is under-measured. Compression can preserve correctness while degrading citation grounding, so accuracy alone is insufficient.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GPU-era KV-reuse/prefetch transfer is untested on CPU. Theory predicts little end-to-end benefit when decode dominates.</w:t>
      </w:r>
    </w:p>
    <w:p>
      <w:pPr>
        <w:pStyle w:val="Heading1"/>
        <w:pBdr>
          <w:bottom w:val="single" w:color="1F4E79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Theoretical Framework and Measurement Methodology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Latency decomposition:</w:t>
      </w:r>
    </w:p>
    <w:p>
      <w:pPr>
        <w:spacing w:after="140" w:before="0" w:line="276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T_total = T_retrieve + T_compress + T_prefill(L) + N_out · TPOT(L)</w:t>
      </w:r>
    </w:p>
    <w:p>
      <w:pPr>
        <w:spacing w:after="140" w:before="0" w:line="276"/>
      </w:pPr>
      <w:r>
        <w:rPr>
          <w:rFonts w:ascii="Arial" w:cs="Arial" w:eastAsia="Arial" w:hAnsi="Arial"/>
          <w:sz w:val="21"/>
          <w:szCs w:val="21"/>
        </w:rPr>
        <w:t xml:space="preserve">On GPU (published), prefill dominates. On CPU (hypothesis), N_out · TPOT(L) dominates end-to-end latency — a decode-dominated regime. A first-order model is TPOT(L) ≈ (W_model + KV(L)) / BW_mem with KV(L) ∝ L · d · layers · bytes. DECAF treats memory-bandwidth domination as an empirical question and measures CPU utilization, achieved bandwidth, tokens/s and TPOT as functions of context length, quantization and model size.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i/>
          <w:iCs/>
          <w:sz w:val="18"/>
          <w:szCs w:val="18"/>
        </w:rPr>
        <w:t xml:space="preserve">Table 1. Measurement framework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40"/>
        <w:gridCol w:w="3640"/>
      </w:tblGrid>
      <w:tr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Quantity</w:t>
            </w:r>
          </w:p>
        </w:tc>
        <w:tc>
          <w:tcPr>
            <w:tcW w:type="dxa" w:w="36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Definition</w:t>
            </w:r>
          </w:p>
        </w:tc>
        <w:tc>
          <w:tcPr>
            <w:tcW w:type="dxa" w:w="36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Compression efficiency (CE)</w:t>
            </w:r>
          </w:p>
        </w:tc>
        <w:tc>
          <w:tcPr>
            <w:tcW w:type="dxa" w:w="364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ΔT_decode / ΔL</w:t>
            </w:r>
          </w:p>
        </w:tc>
        <w:tc>
          <w:tcPr>
            <w:tcW w:type="dxa" w:w="364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Decode time saved per removed context token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Compression overhead (O_c)</w:t>
            </w:r>
          </w:p>
        </w:tc>
        <w:tc>
          <w:tcPr>
            <w:tcW w:type="dxa" w:w="364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T_compress / T_baseline</w:t>
            </w:r>
          </w:p>
        </w:tc>
        <w:tc>
          <w:tcPr>
            <w:tcW w:type="dxa" w:w="364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Controller cost as a fraction of baseline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Net speedup (S_net)</w:t>
            </w:r>
          </w:p>
        </w:tc>
        <w:tc>
          <w:tcPr>
            <w:tcW w:type="dxa" w:w="364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T_baseline / (T_compress + T_prefill^c + T_decode^c)</w:t>
            </w:r>
          </w:p>
        </w:tc>
        <w:tc>
          <w:tcPr>
            <w:tcW w:type="dxa" w:w="364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True end-to-end gain including overhead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Quality-adjusted efficiency (QE)</w:t>
            </w:r>
          </w:p>
        </w:tc>
        <w:tc>
          <w:tcPr>
            <w:tcW w:type="dxa" w:w="364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Quality / Latency</w:t>
            </w:r>
          </w:p>
        </w:tc>
        <w:tc>
          <w:tcPr>
            <w:tcW w:type="dxa" w:w="364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Reported as a Pareto frontier</w:t>
            </w:r>
          </w:p>
        </w:tc>
      </w:tr>
      <w:tr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Break-even length (L*)</w:t>
            </w:r>
          </w:p>
        </w:tc>
        <w:tc>
          <w:tcPr>
            <w:tcW w:type="dxa" w:w="364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min L : T_compress + T_baseline_decode &gt; T_decode^full</w:t>
            </w:r>
          </w:p>
        </w:tc>
        <w:tc>
          <w:tcPr>
            <w:tcW w:type="dxa" w:w="364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Context length above which compression is a net win</w:t>
            </w:r>
          </w:p>
        </w:tc>
      </w:tr>
    </w:tbl>
    <w:p>
      <w:pPr>
        <w:spacing w:after="80"/>
      </w:pPr>
    </w:p>
    <w:p>
      <w:pPr>
        <w:spacing w:after="140" w:before="0" w:line="276"/>
      </w:pPr>
      <w:r>
        <w:rPr>
          <w:rFonts w:ascii="Arial" w:cs="Arial" w:eastAsia="Arial" w:hAnsi="Arial"/>
          <w:sz w:val="21"/>
          <w:szCs w:val="21"/>
        </w:rPr>
        <w:t xml:space="preserve">Central design principle: the compressor must be cheaper than the decoding it saves. DECAF is single-pass and decoder-free at decision time, so T_compress is bounded by a small cross-encoder forward pass.</w:t>
      </w:r>
    </w:p>
    <w:p>
      <w:pPr>
        <w:pStyle w:val="Heading1"/>
        <w:pBdr>
          <w:bottom w:val="single" w:color="1F4E79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Research Questions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RQ1: How does retrieved-context length affect TTFT, TPOT and end-to-end latency in CPU-only quantized RAG?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RQ2: When does context compression produce net latency savings after accounting for compression overhead (i.e. what is the break-even context length L*)?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RQ3: Can a training-free, CPU-aware compressor achieve a better quality–latency Pareto frontier than fixed-ratio and existing prompt-compression methods at equal grounding?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RQ4: How do model size (3B vs 7B) and quantization (Q4_K_M vs Q8_0) alter the compression–quality–latency relationship?</w:t>
      </w:r>
    </w:p>
    <w:p>
      <w:pPr>
        <w:pStyle w:val="Heading1"/>
        <w:pBdr>
          <w:bottom w:val="single" w:color="1F4E79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Hypotheses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H1: As retrieved-context length increases, the fraction of end-to-end CPU latency attributable to decoding increases, and context compression produces larger relative gains in TPOT than in TTFT.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H2: For each (model, quantization) pair there exists a break-even context length L*; below it compression is a net loss, above it a net win.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H3: A single-pass CPU-aware gate matches or beats fixed-ratio and existing training-free prompt compression on the quality–latency–grounding Pareto frontier.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H4: Larger models and higher-precision quantization shift L* and the Pareto frontier.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H5 (secondary): KV-cache reuse and retrieval prefetching provide limited net end-to-end benefit when CPU decode dominates.</w:t>
      </w:r>
    </w:p>
    <w:p>
      <w:pPr>
        <w:pStyle w:val="Heading1"/>
        <w:pBdr>
          <w:bottom w:val="single" w:color="1F4E79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 Aim and Objectives</w:t>
      </w:r>
    </w:p>
    <w:p>
      <w:pPr>
        <w:spacing w:after="140" w:before="0" w:line="276"/>
      </w:pPr>
      <w:r>
        <w:rPr>
          <w:rFonts w:ascii="Arial" w:cs="Arial" w:eastAsia="Arial" w:hAnsi="Arial"/>
          <w:sz w:val="21"/>
          <w:szCs w:val="21"/>
        </w:rPr>
        <w:t xml:space="preserve">Aim: to characterize, empirically, when context compression accelerates CPU RAG, and to introduce a training-free CPU-aware compressor that operates on that characterization.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O1 — Build a CPU inference harness with per-stage telemetry (T_retrieve, T_compress, TTFT, TPOT, E2E, peak RSS, throughput / bandwidth / energy).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O2 — Define and validate the measurement methodology (CE, O_c, S_net, QE, L*).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O3 — Implement DECAF's single-pass CPU-aware evidence selection using off-the-shelf components.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O4 — Run the context-length scaling, compression-ratio, break-even, quantization and model-size experiments.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O5 — Evaluate grounding alongside accuracy, and produce accuracy–latency Pareto frontiers.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O6 — Run the secondary KV-reuse / prefetch transferability analysis.</w:t>
      </w:r>
    </w:p>
    <w:p>
      <w:pPr>
        <w:pStyle w:val="Heading1"/>
        <w:pBdr>
          <w:bottom w:val="single" w:color="1F4E79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 Scope and Target Setting</w:t>
      </w:r>
    </w:p>
    <w:p>
      <w:pPr>
        <w:spacing w:after="140" w:before="0" w:line="276"/>
      </w:pPr>
      <w:r>
        <w:rPr>
          <w:rFonts w:ascii="Arial" w:cs="Arial" w:eastAsia="Arial" w:hAnsi="Arial"/>
          <w:sz w:val="21"/>
          <w:szCs w:val="21"/>
        </w:rPr>
        <w:t xml:space="preserve">In scope: single-turn and multi-hop QA with a CPU-only, 16 GB / 4–8 core machine; Qwen2.5-3B-Instruct and Qwen2.5-7B-Instruct in GGUF form (Q4_K_M and Q8_0); fully training-free methods.</w:t>
      </w:r>
    </w:p>
    <w:p>
      <w:pPr>
        <w:spacing w:after="140" w:before="0" w:line="276"/>
      </w:pPr>
      <w:r>
        <w:rPr>
          <w:rFonts w:ascii="Arial" w:cs="Arial" w:eastAsia="Arial" w:hAnsi="Arial"/>
          <w:sz w:val="21"/>
          <w:szCs w:val="21"/>
        </w:rPr>
        <w:t xml:space="preserve">Out of scope: GPU/vLLM serving and data-center batching; visual/multimodal retrieval; voice/multi-turn dialogue; and any fine-tuning, RL training or continual pretraining.</w:t>
      </w:r>
    </w:p>
    <w:p>
      <w:pPr>
        <w:pStyle w:val="Heading1"/>
        <w:pBdr>
          <w:bottom w:val="single" w:color="1F4E79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 Evaluation Datasets</w:t>
      </w:r>
    </w:p>
    <w:p>
      <w:pPr>
        <w:spacing w:after="80"/>
      </w:pPr>
      <w:r>
        <w:rPr>
          <w:rFonts w:ascii="Arial" w:cs="Arial" w:eastAsia="Arial" w:hAnsi="Arial"/>
          <w:b/>
          <w:bCs/>
          <w:i/>
          <w:iCs/>
          <w:sz w:val="18"/>
          <w:szCs w:val="18"/>
        </w:rPr>
        <w:t xml:space="preserve">Table 2. Evaluation datasets (depth over breadth)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880"/>
      </w:tblGrid>
      <w:tr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Dataset</w:t>
            </w:r>
          </w:p>
        </w:tc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QA type</w:t>
            </w:r>
          </w:p>
        </w:tc>
        <w:tc>
          <w:tcPr>
            <w:tcW w:type="dxa" w:w="28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Context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Main</w:t>
            </w:r>
          </w:p>
        </w:tc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HotpotQA (distractor)</w:t>
            </w:r>
          </w:p>
        </w:tc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Multi-hop</w:t>
            </w:r>
          </w:p>
        </w:tc>
        <w:tc>
          <w:tcPr>
            <w:tcW w:type="dxa" w:w="288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Provided gold paragraphs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Main</w:t>
            </w:r>
          </w:p>
        </w:tc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2WikiMultihopQA</w:t>
            </w:r>
          </w:p>
        </w:tc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Multi-hop</w:t>
            </w:r>
          </w:p>
        </w:tc>
        <w:tc>
          <w:tcPr>
            <w:tcW w:type="dxa" w:w="288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Provided contexts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Generalization</w:t>
            </w:r>
          </w:p>
        </w:tc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LongBench / MuSiQue</w:t>
            </w:r>
          </w:p>
        </w:tc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Long-context</w:t>
            </w:r>
          </w:p>
        </w:tc>
        <w:tc>
          <w:tcPr>
            <w:tcW w:type="dxa" w:w="288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Up to ~32K tokens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Generalization</w:t>
            </w:r>
          </w:p>
        </w:tc>
        <w:tc>
          <w:tcPr>
            <w:tcW w:type="dxa" w:w="2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TriviaQA (or NQ)</w:t>
            </w:r>
          </w:p>
        </w:tc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Single-hop</w:t>
            </w:r>
          </w:p>
        </w:tc>
        <w:tc>
          <w:tcPr>
            <w:tcW w:type="dxa" w:w="288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Provided / small index</w:t>
            </w:r>
          </w:p>
        </w:tc>
      </w:tr>
    </w:tbl>
    <w:p>
      <w:pPr>
        <w:spacing w:after="80"/>
      </w:pPr>
    </w:p>
    <w:p>
      <w:pPr>
        <w:spacing w:after="140" w:before="0" w:line="276"/>
      </w:pPr>
      <w:r>
        <w:rPr>
          <w:rFonts w:ascii="Arial" w:cs="Arial" w:eastAsia="Arial" w:hAnsi="Arial"/>
          <w:sz w:val="21"/>
          <w:szCs w:val="21"/>
        </w:rPr>
        <w:t xml:space="preserve">Scale: main benchmark ~500 queries × 2 datasets; generalization ~200 queries × 2 datasets; 50 calibration queries per model/quantization. Retrieval modes: provided-context (core experiments) and a small BM25/dense index for end-to-end baselines.</w:t>
      </w:r>
    </w:p>
    <w:p>
      <w:pPr>
        <w:pStyle w:val="Heading1"/>
        <w:pBdr>
          <w:bottom w:val="single" w:color="1F4E79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 Proposed System Architecture</w:t>
      </w:r>
    </w:p>
    <w:p>
      <w:pPr>
        <w:spacing w:after="140" w:before="0" w:line="276"/>
      </w:pPr>
      <w:r>
        <w:rPr>
          <w:rFonts w:ascii="Arial" w:cs="Arial" w:eastAsia="Arial" w:hAnsi="Arial"/>
          <w:sz w:val="21"/>
          <w:szCs w:val="21"/>
        </w:rPr>
        <w:t xml:space="preserve">DECAF makes the compression decision before invoking the decoder — there is no iterative generation, which keeps T_compress small.</w:t>
      </w:r>
    </w:p>
    <w:p>
      <w:pPr>
        <w:spacing w:after="140" w:before="0" w:line="276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Query → Retriever (top-N) → Sentence segmentation → Fine-grained evidence scoring → CPU-aware budget controller → Adaptive evidence selection (single pass) → Relevance reordering → Reader (Qwen2.5-3B/7B GGUF via llama.cpp) → Answer + telemetry</w:t>
      </w:r>
    </w:p>
    <w:p>
      <w:pPr>
        <w:spacing w:after="140" w:before="0" w:line="276"/>
      </w:pPr>
      <w:r>
        <w:rPr>
          <w:rFonts w:ascii="Arial" w:cs="Arial" w:eastAsia="Arial" w:hAnsi="Arial"/>
          <w:sz w:val="21"/>
          <w:szCs w:val="21"/>
        </w:rPr>
        <w:t xml:space="preserve">Validity boundary: the compressor may only change which retrieved sentences reach the decoder and when they are fetched; it never alters sentence content. Every decision is logged so quality and grounding can be attributed to a specific operating point.</w:t>
      </w:r>
    </w:p>
    <w:p>
      <w:pPr>
        <w:pStyle w:val="Heading1"/>
        <w:pBdr>
          <w:bottom w:val="single" w:color="1F4E79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11. Core Technical Modules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11.1 Fine-grained evidence scoring</w:t>
      </w:r>
    </w:p>
    <w:p>
      <w:pPr>
        <w:spacing w:after="140" w:before="0" w:line="276"/>
      </w:pPr>
      <w:r>
        <w:rPr>
          <w:rFonts w:ascii="Arial" w:cs="Arial" w:eastAsia="Arial" w:hAnsi="Arial"/>
          <w:sz w:val="21"/>
          <w:szCs w:val="21"/>
        </w:rPr>
        <w:t xml:space="preserve">Each candidate sentence is scored with an off-the-shelf cross-encoder (BAAI/bge-reranker-base, ~110M; bge-reranker-v2-m3 as a quality variant), run on CPU.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11.2 CPU-aware budget controller (core novel mechanism)</w:t>
      </w:r>
    </w:p>
    <w:p>
      <w:pPr>
        <w:spacing w:after="140" w:before="0" w:line="276"/>
      </w:pPr>
      <w:r>
        <w:rPr>
          <w:rFonts w:ascii="Arial" w:cs="Arial" w:eastAsia="Arial" w:hAnsi="Arial"/>
          <w:sz w:val="21"/>
          <w:szCs w:val="21"/>
        </w:rPr>
        <w:t xml:space="preserve">Rather than “add sentences until enough evidence,” DECAF optimizes quality gain per unit of CPU cost:</w:t>
      </w:r>
    </w:p>
    <w:p>
      <w:pPr>
        <w:spacing w:after="140" w:before="0" w:line="276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Score(s_i) = [Relevance × Coverage × UncertaintyReduction] / EstimatedCPUCost(s_i)</w:t>
      </w:r>
    </w:p>
    <w:p>
      <w:pPr>
        <w:spacing w:after="140" w:before="0" w:line="276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Select while: MarginalQualityGain(s_i) ≥ λ · MarginalLatencyCost(s_i)</w:t>
      </w:r>
    </w:p>
    <w:p>
      <w:pPr>
        <w:spacing w:after="140" w:before="0" w:line="276"/>
      </w:pPr>
      <w:r>
        <w:rPr>
          <w:rFonts w:ascii="Arial" w:cs="Arial" w:eastAsia="Arial" w:hAnsi="Arial"/>
          <w:sz w:val="21"/>
          <w:szCs w:val="21"/>
        </w:rPr>
        <w:t xml:space="preserve">EstimatedCPUCost is derived from the measured decode-scaling curve (≈ tokens(s_i) × per-token TPOT estimate at the current context length), so the controller is explicitly grounded in the hardware, model and quantization. Selection is single-pass; λ is a single interpretable budget knob.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11.3 Relevance reordering</w:t>
      </w:r>
    </w:p>
    <w:p>
      <w:pPr>
        <w:spacing w:after="140" w:before="0" w:line="276"/>
      </w:pPr>
      <w:r>
        <w:rPr>
          <w:rFonts w:ascii="Arial" w:cs="Arial" w:eastAsia="Arial" w:hAnsi="Arial"/>
          <w:sz w:val="21"/>
          <w:szCs w:val="21"/>
        </w:rPr>
        <w:t xml:space="preserve">Retained evidence is ordered by relevance to reduce lost-in-the-middle effects on small models.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11.4 Telemetry and measurement</w:t>
      </w:r>
    </w:p>
    <w:p>
      <w:pPr>
        <w:spacing w:after="140" w:before="0" w:line="276"/>
      </w:pPr>
      <w:r>
        <w:rPr>
          <w:rFonts w:ascii="Arial" w:cs="Arial" w:eastAsia="Arial" w:hAnsi="Arial"/>
          <w:sz w:val="21"/>
          <w:szCs w:val="21"/>
        </w:rPr>
        <w:t xml:space="preserve">Logs T_retrieve, T_compress, TTFT, TPOT, E2E, tokens/s, peak RSS, achieved memory bandwidth, CPU utilization, and energy where exposed; computes CE, O_c, S_net, QE and L*.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11.5 Grounding evaluator</w:t>
      </w:r>
    </w:p>
    <w:p>
      <w:pPr>
        <w:spacing w:after="140" w:before="0" w:line="276"/>
      </w:pPr>
      <w:r>
        <w:rPr>
          <w:rFonts w:ascii="Arial" w:cs="Arial" w:eastAsia="Arial" w:hAnsi="Arial"/>
          <w:sz w:val="21"/>
          <w:szCs w:val="21"/>
        </w:rPr>
        <w:t xml:space="preserve">Scores whether the generated answer is supported by the retained gold evidence (evidence recall/precision, answer-support rate) — decoder-free, so it does not corrupt latency measurement.</w:t>
      </w:r>
    </w:p>
    <w:p>
      <w:pPr>
        <w:pStyle w:val="Heading1"/>
        <w:pBdr>
          <w:bottom w:val="single" w:color="1F4E79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12. Baselines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Retrieval: BM25 top-k; dense top-k; hybrid.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Compression / selection: Full context; fixed top-k sentences; LLMLingua-2; Perception Compressor (training-free, adaptive, NAACL 2025 Findings); DECAF.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Where compute permits, ACC-RAG and ECoRAG are included as (trained/GPU) reference points.</w:t>
      </w:r>
    </w:p>
    <w:p>
      <w:pPr>
        <w:spacing w:after="140" w:before="0" w:line="276"/>
      </w:pPr>
      <w:r>
        <w:rPr>
          <w:rFonts w:ascii="Arial" w:cs="Arial" w:eastAsia="Arial" w:hAnsi="Arial"/>
          <w:sz w:val="21"/>
          <w:szCs w:val="21"/>
        </w:rPr>
        <w:t xml:space="preserve">All baselines are re-run on identical CPU hardware, datasets and metrics. Methods whose training is infeasible on CPU are cited qualitatively with the compute barrier stated.</w:t>
      </w:r>
    </w:p>
    <w:p>
      <w:pPr>
        <w:pStyle w:val="Heading1"/>
        <w:pBdr>
          <w:bottom w:val="single" w:color="1F4E79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13. Experimental Methodology</w:t>
      </w:r>
    </w:p>
    <w:p>
      <w:pPr>
        <w:spacing w:after="80"/>
      </w:pPr>
      <w:r>
        <w:rPr>
          <w:rFonts w:ascii="Arial" w:cs="Arial" w:eastAsia="Arial" w:hAnsi="Arial"/>
          <w:b/>
          <w:bCs/>
          <w:i/>
          <w:iCs/>
          <w:sz w:val="18"/>
          <w:szCs w:val="18"/>
        </w:rPr>
        <w:t xml:space="preserve">Table 3. Core experiment matrix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80"/>
        <w:gridCol w:w="3000"/>
      </w:tblGrid>
      <w:tr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ID</w:t>
            </w:r>
          </w:p>
        </w:tc>
        <w:tc>
          <w:tcPr>
            <w:tcW w:type="dxa" w:w="58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Experiment</w:t>
            </w:r>
          </w:p>
        </w:tc>
        <w:tc>
          <w:tcPr>
            <w:tcW w:type="dxa" w:w="3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Tests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E1</w:t>
            </w:r>
          </w:p>
        </w:tc>
        <w:tc>
          <w:tcPr>
            <w:tcW w:type="dxa" w:w="588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Context-length scaling: TTFT/TPOT/E2E at L ∈ {1K…32K}, full vs compressed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RQ1, H1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E2</w:t>
            </w:r>
          </w:p>
        </w:tc>
        <w:tc>
          <w:tcPr>
            <w:tcW w:type="dxa" w:w="588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Compression ratio vs quality (0.8/0.6/0.4/0.2 retained)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RQ3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E3</w:t>
            </w:r>
          </w:p>
        </w:tc>
        <w:tc>
          <w:tcPr>
            <w:tcW w:type="dxa" w:w="588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Compression overhead vs decode savings (O_c, S_net)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RQ2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E4</w:t>
            </w:r>
          </w:p>
        </w:tc>
        <w:tc>
          <w:tcPr>
            <w:tcW w:type="dxa" w:w="588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Break-even context length L* per model × quantization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RQ2, H2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E5</w:t>
            </w:r>
          </w:p>
        </w:tc>
        <w:tc>
          <w:tcPr>
            <w:tcW w:type="dxa" w:w="588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Quantization interaction (Q4_K_M vs Q8_0)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RQ4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E6</w:t>
            </w:r>
          </w:p>
        </w:tc>
        <w:tc>
          <w:tcPr>
            <w:tcW w:type="dxa" w:w="588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Model-size interaction (3B vs 7B)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RQ4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E7</w:t>
            </w:r>
          </w:p>
        </w:tc>
        <w:tc>
          <w:tcPr>
            <w:tcW w:type="dxa" w:w="588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Grounding preservation under compression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RQ3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E8</w:t>
            </w:r>
          </w:p>
        </w:tc>
        <w:tc>
          <w:tcPr>
            <w:tcW w:type="dxa" w:w="588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CPU memory-bandwidth / roofline analysis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§4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E9</w:t>
            </w:r>
          </w:p>
        </w:tc>
        <w:tc>
          <w:tcPr>
            <w:tcW w:type="dxa" w:w="588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Generalization dataset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RQ3</w:t>
            </w:r>
          </w:p>
        </w:tc>
      </w:tr>
    </w:tbl>
    <w:p>
      <w:pPr>
        <w:spacing w:after="80"/>
      </w:pPr>
    </w:p>
    <w:p>
      <w:pPr>
        <w:spacing w:after="140" w:before="0" w:line="276"/>
      </w:pPr>
      <w:r>
        <w:rPr>
          <w:rFonts w:ascii="Arial" w:cs="Arial" w:eastAsia="Arial" w:hAnsi="Arial"/>
          <w:sz w:val="21"/>
          <w:szCs w:val="21"/>
        </w:rPr>
        <w:t xml:space="preserve">Protocol: fixed hardware/threads/models/quants/prompts/seeds; warmup then ≥3 repeats per reported point; medians with confidence intervals.</w:t>
      </w:r>
    </w:p>
    <w:p>
      <w:pPr>
        <w:pStyle w:val="Heading1"/>
        <w:pBdr>
          <w:bottom w:val="single" w:color="1F4E79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14. Evaluation Metrics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Latency: TTFT; TPOT (ms/token); end-to-end latency; P50/P95; tokens/s.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System: peak RSS; compression ratio; compressor overhead; achieved memory bandwidth; CPU utilization; energy per query where available.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Quality: EM, F1; ROUGE-L where applicable.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Grounding: evidence recall, evidence precision, answer-support rate, citation correctness.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Derived: CE, O_c, S_net, QE, L*.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Composite: accuracy–latency Pareto frontier (not a single scalar).</w:t>
      </w:r>
    </w:p>
    <w:p>
      <w:pPr>
        <w:pStyle w:val="Heading1"/>
        <w:pBdr>
          <w:bottom w:val="single" w:color="1F4E79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15. Component Analysis (Ablation)</w:t>
      </w:r>
    </w:p>
    <w:p>
      <w:pPr>
        <w:spacing w:after="140" w:before="0" w:line="276"/>
      </w:pPr>
      <w:r>
        <w:rPr>
          <w:rFonts w:ascii="Arial" w:cs="Arial" w:eastAsia="Arial" w:hAnsi="Arial"/>
          <w:sz w:val="21"/>
          <w:szCs w:val="21"/>
        </w:rPr>
        <w:t xml:space="preserve">A trimmed ablation isolates each DECAF component: scorer off/on; CPU-aware cost term on/off (relevance-only selection); coverage term on/off; reordering on/off; and λ sweep. This quantifies how much CPU-awareness itself contributes versus plain relevance-ranked top-k — the sharpest test of the central mechanism.</w:t>
      </w:r>
    </w:p>
    <w:p>
      <w:pPr>
        <w:pStyle w:val="Heading1"/>
        <w:pBdr>
          <w:bottom w:val="single" w:color="1F4E79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16. Secondary Analysis: KV-Reuse and Prefetching</w:t>
      </w:r>
    </w:p>
    <w:p>
      <w:pPr>
        <w:spacing w:after="140" w:before="0" w:line="276"/>
      </w:pPr>
      <w:r>
        <w:rPr>
          <w:rFonts w:ascii="Arial" w:cs="Arial" w:eastAsia="Arial" w:hAnsi="Arial"/>
          <w:sz w:val="21"/>
          <w:szCs w:val="21"/>
        </w:rPr>
        <w:t xml:space="preserve">A focused micro-study measures (i) llama.cpp prefix/KV cache on repeated queries and (ii) async retrieval prefetch overlapped with decoding, reporting net E2E and TTFT. Framed as a secondary systems analysis, it tests the expectation that reuse mainly moves TTFT and prefetch hides little when decode dominates.</w:t>
      </w:r>
    </w:p>
    <w:p>
      <w:pPr>
        <w:pStyle w:val="Heading1"/>
        <w:pBdr>
          <w:bottom w:val="single" w:color="1F4E79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17. Risk Register</w:t>
      </w:r>
    </w:p>
    <w:p>
      <w:pPr>
        <w:spacing w:after="80"/>
      </w:pPr>
      <w:r>
        <w:rPr>
          <w:rFonts w:ascii="Arial" w:cs="Arial" w:eastAsia="Arial" w:hAnsi="Arial"/>
          <w:b/>
          <w:bCs/>
          <w:i/>
          <w:iCs/>
          <w:sz w:val="18"/>
          <w:szCs w:val="18"/>
        </w:rPr>
        <w:t xml:space="preserve">Table 4. Risks and mitigations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Risk</w:t>
            </w:r>
          </w:p>
        </w:tc>
        <w:tc>
          <w:tcPr>
            <w:tcW w:type="dxa" w:w="64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Mitigation</w:t>
            </w:r>
          </w:p>
        </w:tc>
      </w:tr>
      <w:tr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Compressor cost erases benefit</w:t>
            </w:r>
          </w:p>
        </w:tc>
        <w:tc>
          <w:tcPr>
            <w:tcW w:type="dxa" w:w="648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Single-pass, decoder-free, ~110M cross-encoder; report O_c as a first-class result</w:t>
            </w:r>
          </w:p>
        </w:tc>
      </w:tr>
      <w:tr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Adaptive decisions unstable/expensive</w:t>
            </w:r>
          </w:p>
        </w:tc>
        <w:tc>
          <w:tcPr>
            <w:tcW w:type="dxa" w:w="648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Single gate; one budget knob λ; no iterative generation</w:t>
            </w:r>
          </w:p>
        </w:tc>
      </w:tr>
      <w:tr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7B too slow on 4–8 cores</w:t>
            </w:r>
          </w:p>
        </w:tc>
        <w:tc>
          <w:tcPr>
            <w:tcW w:type="dxa" w:w="648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3B primary; 7B on main benchmark + subset</w:t>
            </w:r>
          </w:p>
        </w:tc>
      </w:tr>
      <w:tr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Long-context (32K) points slow</w:t>
            </w:r>
          </w:p>
        </w:tc>
        <w:tc>
          <w:tcPr>
            <w:tcW w:type="dxa" w:w="648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Limit high-L points to a small query subset sufficient to fit TPOT(L)</w:t>
            </w:r>
          </w:p>
        </w:tc>
      </w:tr>
      <w:tr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Novelty overlap with SARA / Perception / BRIEF-Pro</w:t>
            </w:r>
          </w:p>
        </w:tc>
        <w:tc>
          <w:tcPr>
            <w:tcW w:type="dxa" w:w="648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Position as CPU-specific decode-centric characterization + break-even analysis</w:t>
            </w:r>
          </w:p>
        </w:tc>
      </w:tr>
    </w:tbl>
    <w:p>
      <w:pPr>
        <w:pStyle w:val="Heading1"/>
        <w:pBdr>
          <w:bottom w:val="single" w:color="1F4E79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18. Success Criteria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A measured, reproducible TPOT(L) relationship and TTFT/decode split on CPU for 3B/7B × Q4/Q8.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A measured break-even context length L* per model × quantization, with the overhead-vs-savings crossover.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A quality–latency–grounding Pareto frontier on which DECAF is competitive with or ahead of fixed-ratio and Perception Compressor.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A quantified model-size/quantization effect on L* and the frontier.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The secondary transferability analysis answered with evidence in either direction.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Code, configs, seeds, telemetry logs and dataset splits released.</w:t>
      </w:r>
    </w:p>
    <w:p>
      <w:pPr>
        <w:pStyle w:val="Heading1"/>
        <w:pBdr>
          <w:bottom w:val="single" w:color="1F4E79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19. Timeline</w:t>
      </w:r>
    </w:p>
    <w:p>
      <w:pPr>
        <w:spacing w:after="80"/>
      </w:pPr>
      <w:r>
        <w:rPr>
          <w:rFonts w:ascii="Arial" w:cs="Arial" w:eastAsia="Arial" w:hAnsi="Arial"/>
          <w:b/>
          <w:bCs/>
          <w:i/>
          <w:iCs/>
          <w:sz w:val="18"/>
          <w:szCs w:val="18"/>
        </w:rPr>
        <w:t xml:space="preserve">Table 5. Phased timeline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280"/>
        <w:gridCol w:w="220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Phase</w:t>
            </w:r>
          </w:p>
        </w:tc>
        <w:tc>
          <w:tcPr>
            <w:tcW w:type="dxa" w:w="62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Activities</w:t>
            </w:r>
          </w:p>
        </w:tc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Duration</w:t>
            </w:r>
          </w:p>
        </w:tc>
      </w:tr>
      <w:tr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1. Harness</w:t>
            </w:r>
          </w:p>
        </w:tc>
        <w:tc>
          <w:tcPr>
            <w:tcW w:type="dxa" w:w="628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CPU harness + telemetry + measurement methodology validated</w:t>
            </w:r>
          </w:p>
        </w:tc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3 weeks</w:t>
            </w:r>
          </w:p>
        </w:tc>
      </w:tr>
      <w:tr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2. Characterization</w:t>
            </w:r>
          </w:p>
        </w:tc>
        <w:tc>
          <w:tcPr>
            <w:tcW w:type="dxa" w:w="628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E1 context-length scaling; E8 bandwidth analysis</w:t>
            </w:r>
          </w:p>
        </w:tc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4 weeks</w:t>
            </w:r>
          </w:p>
        </w:tc>
      </w:tr>
      <w:tr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3. Baselines</w:t>
            </w:r>
          </w:p>
        </w:tc>
        <w:tc>
          <w:tcPr>
            <w:tcW w:type="dxa" w:w="628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Full / top-k / LLMLingua-2 / Perception Compressor on identical hardware</w:t>
            </w:r>
          </w:p>
        </w:tc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3–4 weeks</w:t>
            </w:r>
          </w:p>
        </w:tc>
      </w:tr>
      <w:tr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4. DECAF</w:t>
            </w:r>
          </w:p>
        </w:tc>
        <w:tc>
          <w:tcPr>
            <w:tcW w:type="dxa" w:w="628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Scorer + CPU-aware controller + reordering + grounding evaluator</w:t>
            </w:r>
          </w:p>
        </w:tc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4 weeks</w:t>
            </w:r>
          </w:p>
        </w:tc>
      </w:tr>
      <w:tr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5. Core results</w:t>
            </w:r>
          </w:p>
        </w:tc>
        <w:tc>
          <w:tcPr>
            <w:tcW w:type="dxa" w:w="628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E2–E7, E9; L* and Pareto frontiers; component analysis</w:t>
            </w:r>
          </w:p>
        </w:tc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4–5 weeks</w:t>
            </w:r>
          </w:p>
        </w:tc>
      </w:tr>
      <w:tr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6. Writing</w:t>
            </w:r>
          </w:p>
        </w:tc>
        <w:tc>
          <w:tcPr>
            <w:tcW w:type="dxa" w:w="628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Transferability study; manuscript; reproducibility artifacts</w:t>
            </w:r>
          </w:p>
        </w:tc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4 weeks</w:t>
            </w:r>
          </w:p>
        </w:tc>
      </w:tr>
    </w:tbl>
    <w:p>
      <w:pPr>
        <w:pStyle w:val="Heading1"/>
        <w:pBdr>
          <w:bottom w:val="single" w:color="1F4E79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20. Publication Strategy and Conclusion</w:t>
      </w:r>
    </w:p>
    <w:p>
      <w:pPr>
        <w:spacing w:after="140" w:before="0" w:line="276"/>
      </w:pPr>
      <w:r>
        <w:rPr>
          <w:rFonts w:ascii="Arial" w:cs="Arial" w:eastAsia="Arial" w:hAnsi="Arial"/>
          <w:sz w:val="21"/>
          <w:szCs w:val="21"/>
        </w:rPr>
        <w:t xml:space="preserve">Venue: the first version targets the efficient-NLP community — ACL / EMNLP (efficiency or retrieval tracks, main or Findings) and NAACL — because the contribution is framed as a RAG/evidence-selection and evaluation study with a strong measurement methodology. MLSys / EuroSys / ASPLOS / USENIX ATC are alternative homes if the characterization results warrant a systems framing.</w:t>
      </w:r>
    </w:p>
    <w:p>
      <w:pPr>
        <w:spacing w:after="140" w:before="0" w:line="276"/>
      </w:pPr>
      <w:r>
        <w:rPr>
          <w:rFonts w:ascii="Arial" w:cs="Arial" w:eastAsia="Arial" w:hAnsi="Arial"/>
          <w:sz w:val="21"/>
          <w:szCs w:val="21"/>
        </w:rPr>
        <w:t xml:space="preserve">Conclusion. DECAF's contribution is not a new training-free compressor — that space now includes SARA, Perception Compressor and BRIEF-Pro — but a decode-centric characterization of when context compression actually accelerates CPU RAG, a training-free CPU-aware compressor built on that characterization, a break-even analysis that yields practically useful L* thresholds, and a reproducible efficiency benchmark with grounding and energy metrics.</w:t>
      </w:r>
    </w:p>
    <w:p>
      <w:pPr>
        <w:spacing w:after="140" w:before="0" w:line="276"/>
      </w:pPr>
      <w:r>
        <w:rPr>
          <w:rFonts w:ascii="Arial" w:cs="Arial" w:eastAsia="Arial" w:hAnsi="Arial"/>
          <w:sz w:val="21"/>
          <w:szCs w:val="21"/>
        </w:rPr>
        <w:t xml:space="preserve">The strongest expected result is not “DECAF is X% faster” but: compression is a net loss below a hardware-, model- and quantization-dependent context-length threshold, and a net win above it — a result that helps practitioners decide when to compress rather than assuming they always should.</w:t>
      </w:r>
    </w:p>
    <w:sectPr>
      <w:headerReference w:type="default" r:id="rId7"/>
      <w:footerReference w:type="default" r:id="rId8"/>
      <w:pgSz w:w="12240" w:h="15840" w:orient="portrait"/>
      <w:pgMar w:top="900" w:right="1008" w:bottom="90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spacing w:before="6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 ·  Md Al Amin Tokder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6"/>
      </w:pBdr>
      <w:spacing w:after="60"/>
    </w:pPr>
    <w:r>
      <w:rPr>
        <w:rFonts w:ascii="Arial" w:cs="Arial" w:eastAsia="Arial" w:hAnsi="Arial"/>
        <w:i/>
        <w:iCs/>
        <w:color w:val="666666"/>
        <w:sz w:val="15"/>
        <w:szCs w:val="15"/>
      </w:rPr>
      <w:t xml:space="preserve">DECAF  ·  Decode-Centric Adaptive Evidence Selection for CPU RAG  ·  Research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09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2026-10-05T06:03:45.933Z</dcterms:created>
  <dcterms:modified xsi:type="dcterms:W3CDTF">2026-10-05T06:03:45.933Z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