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85" w:rsidRDefault="00E12385" w:rsidP="00E12385">
      <w:pPr>
        <w:pStyle w:val="a3"/>
        <w:ind w:left="720" w:firstLine="720"/>
      </w:pPr>
      <w:r>
        <w:t xml:space="preserve">     </w:t>
      </w:r>
      <w:r w:rsidRPr="00E12385">
        <w:t>Operational Amplifier</w:t>
      </w:r>
    </w:p>
    <w:p w:rsidR="00E12385" w:rsidRPr="00E12385" w:rsidRDefault="00E12385" w:rsidP="00E12385">
      <w:pPr>
        <w:pStyle w:val="1"/>
      </w:pPr>
      <w:r w:rsidRPr="00E12385">
        <w:t>1. Voltage gain versus frequency for an inverting amplifier</w:t>
      </w:r>
    </w:p>
    <w:p w:rsidR="00E12385" w:rsidRPr="00E12385" w:rsidRDefault="00E12385" w:rsidP="00E12385"/>
    <w:p w:rsidR="0034436F" w:rsidRDefault="00E12385" w:rsidP="00E12385">
      <w:r>
        <w:t xml:space="preserve">Measure the voltage gain v = </w:t>
      </w:r>
      <w:proofErr w:type="spellStart"/>
      <w:r>
        <w:t>Uout</w:t>
      </w:r>
      <w:proofErr w:type="spellEnd"/>
      <w:r>
        <w:t xml:space="preserve"> / </w:t>
      </w:r>
      <w:proofErr w:type="spellStart"/>
      <w:r>
        <w:t>Uin</w:t>
      </w:r>
      <w:proofErr w:type="spellEnd"/>
      <w:r>
        <w:t xml:space="preserve"> for an inverting amplifier in the frequency range of</w:t>
      </w:r>
      <w:r w:rsidR="006C0DD5" w:rsidRPr="006C0DD5">
        <w:t xml:space="preserve"> </w:t>
      </w:r>
      <w:r>
        <w:t>1kHz to 2MHz for three different gains of 1, 10 and 100. R1 is constantly 1kW and the input</w:t>
      </w:r>
      <w:r w:rsidR="006C0DD5" w:rsidRPr="00465EE2">
        <w:t xml:space="preserve"> </w:t>
      </w:r>
      <w:r>
        <w:t>voltage is 100mV. The gain is to be shown in a logarithmic scale as well as the frequency.</w:t>
      </w:r>
    </w:p>
    <w:p w:rsidR="00E12385" w:rsidRPr="00465EE2" w:rsidRDefault="00E12385" w:rsidP="00E12385">
      <w:r>
        <w:rPr>
          <w:noProof/>
          <w:lang w:val="ru-RU" w:eastAsia="ru-RU"/>
        </w:rPr>
        <w:drawing>
          <wp:inline distT="0" distB="0" distL="0" distR="0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5" w:rsidRDefault="00E12385" w:rsidP="00E12385">
      <w:r w:rsidRPr="00E12385">
        <w:t>In this first measurement we want the frequency-dependent behavior of an inverting amplifier for 3 different gains. From the resulting curves in each case the gain-bandwidth product is then determined.</w:t>
      </w:r>
    </w:p>
    <w:p w:rsidR="00E12385" w:rsidRDefault="00E12385" w:rsidP="00E12385">
      <w:pPr>
        <w:ind w:left="720" w:firstLine="720"/>
        <w:rPr>
          <w:b/>
        </w:rPr>
      </w:pPr>
      <w:r w:rsidRPr="00E12385">
        <w:t>The gain of this amplifier</w:t>
      </w:r>
      <w:r>
        <w:t xml:space="preserve"> is 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  <w:vertAlign w:val="subscript"/>
          </w:rPr>
          <m:t xml:space="preserve">u= </m:t>
        </m:r>
        <m:f>
          <m:fPr>
            <m:ctrlPr>
              <w:rPr>
                <w:rFonts w:ascii="Cambria Math" w:hAnsi="Cambria Math"/>
                <w:b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Ua</m:t>
            </m:r>
          </m:num>
          <m:den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Ue</m:t>
            </m:r>
          </m:den>
        </m:f>
        <m:r>
          <m:rPr>
            <m:sty m:val="b"/>
          </m:rPr>
          <w:rPr>
            <w:rFonts w:ascii="Cambria Math" w:hAnsi="Cambria Math"/>
            <w:vertAlign w:val="subscript"/>
          </w:rPr>
          <m:t>= -</m:t>
        </m:r>
        <m:f>
          <m:fPr>
            <m:ctrlPr>
              <w:rPr>
                <w:rFonts w:ascii="Cambria Math" w:hAnsi="Cambria Math"/>
                <w:b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R2</m:t>
            </m:r>
          </m:num>
          <m:den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R1</m:t>
            </m:r>
          </m:den>
        </m:f>
      </m:oMath>
      <w:r>
        <w:rPr>
          <w:b/>
        </w:rPr>
        <w:t xml:space="preserve"> </w:t>
      </w:r>
    </w:p>
    <w:p w:rsidR="00E12385" w:rsidRDefault="00E12385" w:rsidP="00E12385">
      <w:pPr>
        <w:rPr>
          <w:bCs/>
        </w:rPr>
      </w:pPr>
      <w:r w:rsidRPr="00E12385">
        <w:rPr>
          <w:bCs/>
        </w:rPr>
        <w:t>It follows that we can achieve the abandonment of the three different gains by the appropriate choice of resistors. R1 is for all measurements 1 K.OMEGA</w:t>
      </w:r>
    </w:p>
    <w:p w:rsidR="00E12385" w:rsidRPr="004D44BB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40</m:t>
          </m:r>
          <m:r>
            <m:rPr>
              <m:sty m:val="bi"/>
            </m:rPr>
            <w:rPr>
              <w:rFonts w:ascii="Cambria Math" w:hAnsi="Cambria Math"/>
            </w:rPr>
            <m:t>dB=20*log*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Ue</m:t>
                  </m:r>
                </m:den>
              </m:f>
            </m:e>
          </m:d>
        </m:oMath>
      </m:oMathPara>
    </w:p>
    <w:p w:rsidR="00E12385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2=log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Ue</m:t>
                  </m:r>
                </m:den>
              </m:f>
            </m:e>
          </m:d>
        </m:oMath>
      </m:oMathPara>
    </w:p>
    <w:p w:rsidR="00E12385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Ue</m:t>
                  </m:r>
                </m:den>
              </m:f>
            </m:e>
          </m:d>
        </m:oMath>
      </m:oMathPara>
    </w:p>
    <w:p w:rsidR="00E12385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100=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kΩ</m:t>
                  </m:r>
                </m:den>
              </m:f>
            </m:e>
          </m:d>
        </m:oMath>
      </m:oMathPara>
    </w:p>
    <w:p w:rsidR="00E12385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2=100 </m:t>
          </m:r>
          <m:r>
            <m:rPr>
              <m:sty m:val="b"/>
            </m:rPr>
            <w:rPr>
              <w:rFonts w:ascii="Cambria Math" w:hAnsi="Cambria Math"/>
            </w:rPr>
            <m:t>kΩ</m:t>
          </m:r>
        </m:oMath>
      </m:oMathPara>
    </w:p>
    <w:p w:rsidR="00E12385" w:rsidRDefault="00E12385" w:rsidP="00E12385">
      <w:pPr>
        <w:rPr>
          <w:b/>
        </w:rPr>
      </w:pPr>
      <w:r>
        <w:rPr>
          <w:rFonts w:eastAsiaTheme="minorEastAsia"/>
          <w:b/>
        </w:rPr>
        <w:t>20 dB: 10</w:t>
      </w:r>
      <w:r w:rsidRPr="00A14CE5">
        <w:rPr>
          <w:b/>
        </w:rPr>
        <w:t xml:space="preserve"> </w:t>
      </w:r>
      <w:r>
        <w:rPr>
          <w:b/>
        </w:rPr>
        <w:t>kΩ</w:t>
      </w:r>
    </w:p>
    <w:p w:rsidR="00E12385" w:rsidRDefault="00E12385" w:rsidP="00E12385">
      <w:pPr>
        <w:rPr>
          <w:b/>
        </w:rPr>
      </w:pPr>
      <w:r>
        <w:rPr>
          <w:b/>
        </w:rPr>
        <w:t>0dB: 1</w:t>
      </w:r>
      <w:r w:rsidRPr="00A14CE5">
        <w:rPr>
          <w:b/>
        </w:rPr>
        <w:t xml:space="preserve"> </w:t>
      </w:r>
      <w:r>
        <w:rPr>
          <w:b/>
        </w:rPr>
        <w:t>kΩ</w:t>
      </w:r>
    </w:p>
    <w:p w:rsidR="00E12385" w:rsidRDefault="00E12385" w:rsidP="00E12385">
      <w:pPr>
        <w:rPr>
          <w:bCs/>
        </w:rPr>
      </w:pPr>
      <w:r w:rsidRPr="00E12385">
        <w:rPr>
          <w:bCs/>
        </w:rPr>
        <w:t xml:space="preserve">The input voltage, we provide </w:t>
      </w:r>
      <w:proofErr w:type="gramStart"/>
      <w:r w:rsidRPr="00E12385">
        <w:rPr>
          <w:bCs/>
        </w:rPr>
        <w:t>a to</w:t>
      </w:r>
      <w:proofErr w:type="gramEnd"/>
      <w:r w:rsidRPr="00E12385">
        <w:rPr>
          <w:bCs/>
        </w:rPr>
        <w:t xml:space="preserve"> a level of -20 dB. This means</w:t>
      </w:r>
    </w:p>
    <w:p w:rsidR="00E12385" w:rsidRDefault="00E12385" w:rsidP="00E12385">
      <w:pPr>
        <w:rPr>
          <w:rFonts w:eastAsiaTheme="minorEastAsia"/>
          <w:b/>
        </w:rPr>
      </w:pPr>
      <m:r>
        <m:rPr>
          <m:sty m:val="p"/>
        </m:rPr>
        <w:rPr>
          <w:rFonts w:ascii="Cambria Math" w:hAnsi="Cambria Math"/>
        </w:rPr>
        <w:br/>
      </m:r>
      <m:oMathPara>
        <m:oMath>
          <m:r>
            <m:rPr>
              <m:sty m:val="bi"/>
            </m:rPr>
            <w:rPr>
              <w:rFonts w:ascii="Cambria Math" w:hAnsi="Cambria Math"/>
            </w:rPr>
            <m:t>-20=20*log*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0,775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E12385" w:rsidRDefault="00980304" w:rsidP="00E12385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0,775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E12385" w:rsidRPr="004152F5" w:rsidRDefault="00E12385" w:rsidP="00E123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Ue=77,5 mV</m:t>
          </m:r>
        </m:oMath>
      </m:oMathPara>
    </w:p>
    <w:p w:rsidR="004152F5" w:rsidRDefault="00E12385" w:rsidP="00E12385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lastRenderedPageBreak/>
        <w:t>Measurements :</w:t>
      </w:r>
      <w:proofErr w:type="gramEnd"/>
      <w:r w:rsidRPr="00E12385">
        <w:t xml:space="preserve"> </w:t>
      </w:r>
      <w:r w:rsidRPr="00E12385">
        <w:rPr>
          <w:rFonts w:eastAsiaTheme="minorEastAsia"/>
          <w:b/>
        </w:rPr>
        <w:t>In order to display the voltage curves, we measure the input and output levels in dB for different frequencies. Is considered separately, the limit frequency at which the gain falls to -3 dB.</w:t>
      </w:r>
    </w:p>
    <w:tbl>
      <w:tblPr>
        <w:tblW w:w="576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717"/>
        <w:gridCol w:w="1537"/>
        <w:gridCol w:w="1311"/>
      </w:tblGrid>
      <w:tr w:rsidR="004152F5" w:rsidRPr="00932F1F" w:rsidTr="004152F5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Vu in db</w:t>
            </w:r>
          </w:p>
        </w:tc>
        <w:tc>
          <w:tcPr>
            <w:tcW w:w="4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kΩ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input voltage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Output voltage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amplification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MHz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fg</w:t>
            </w:r>
            <w:proofErr w:type="spellEnd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(-3dB)</w:t>
            </w:r>
          </w:p>
        </w:tc>
        <w:tc>
          <w:tcPr>
            <w:tcW w:w="456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0,92</w:t>
            </w: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MHz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Vu in db</w:t>
            </w:r>
          </w:p>
        </w:tc>
        <w:tc>
          <w:tcPr>
            <w:tcW w:w="4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 kΩ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input voltage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Output voltage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amplification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MHz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fg</w:t>
            </w:r>
            <w:proofErr w:type="spellEnd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(-3dB)</w:t>
            </w:r>
          </w:p>
        </w:tc>
        <w:tc>
          <w:tcPr>
            <w:tcW w:w="456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96 kHz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Vu in db</w:t>
            </w:r>
          </w:p>
        </w:tc>
        <w:tc>
          <w:tcPr>
            <w:tcW w:w="4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100kΩ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input voltage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Output voltage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4152F5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52F5">
              <w:rPr>
                <w:rFonts w:ascii="Calibri" w:eastAsia="Times New Roman" w:hAnsi="Calibri" w:cs="Times New Roman"/>
                <w:color w:val="000000"/>
                <w:lang w:eastAsia="de-DE"/>
              </w:rPr>
              <w:t>amplification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37</w:t>
            </w:r>
          </w:p>
        </w:tc>
      </w:tr>
      <w:tr w:rsidR="004152F5" w:rsidRPr="00932F1F" w:rsidTr="004152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100 kHz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-0.5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19.5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 MHz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-20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4152F5" w:rsidRPr="00932F1F" w:rsidTr="004152F5">
        <w:trPr>
          <w:trHeight w:val="315"/>
        </w:trPr>
        <w:tc>
          <w:tcPr>
            <w:tcW w:w="120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fg</w:t>
            </w:r>
            <w:proofErr w:type="spellEnd"/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(-3dB)</w:t>
            </w:r>
          </w:p>
        </w:tc>
        <w:tc>
          <w:tcPr>
            <w:tcW w:w="456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52F5" w:rsidRPr="00932F1F" w:rsidRDefault="004152F5" w:rsidP="007F1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32F1F">
              <w:rPr>
                <w:rFonts w:ascii="Calibri" w:eastAsia="Times New Roman" w:hAnsi="Calibri" w:cs="Times New Roman"/>
                <w:color w:val="000000"/>
                <w:lang w:eastAsia="de-DE"/>
              </w:rPr>
              <w:t>10 kHz</w:t>
            </w:r>
          </w:p>
        </w:tc>
      </w:tr>
    </w:tbl>
    <w:p w:rsidR="004152F5" w:rsidRDefault="00E12385" w:rsidP="00957869">
      <w:r>
        <w:rPr>
          <w:rFonts w:eastAsiaTheme="minorEastAsia"/>
          <w:b/>
        </w:rPr>
        <w:t xml:space="preserve"> </w:t>
      </w:r>
    </w:p>
    <w:p w:rsidR="004152F5" w:rsidRDefault="004152F5" w:rsidP="004152F5">
      <w:pPr>
        <w:pStyle w:val="1"/>
      </w:pPr>
      <w:r w:rsidRPr="004152F5">
        <w:t>2. Slew rate and range of output voltage</w:t>
      </w:r>
      <w:r w:rsidRPr="004152F5">
        <w:cr/>
      </w:r>
    </w:p>
    <w:p w:rsidR="004152F5" w:rsidRDefault="004152F5" w:rsidP="004152F5">
      <w:r>
        <w:t>Measure the maximum velocity of rise of output voltage (slew rate) and the range of output</w:t>
      </w:r>
    </w:p>
    <w:p w:rsidR="004152F5" w:rsidRPr="004152F5" w:rsidRDefault="004152F5" w:rsidP="004152F5">
      <w:proofErr w:type="gramStart"/>
      <w:r>
        <w:t>voltage</w:t>
      </w:r>
      <w:proofErr w:type="gramEnd"/>
      <w:r>
        <w:t xml:space="preserve"> using an oscilloscope. For this measurement the amplifier has to be overdriven.</w:t>
      </w:r>
    </w:p>
    <w:p w:rsidR="004152F5" w:rsidRDefault="004152F5" w:rsidP="004152F5">
      <w:r>
        <w:rPr>
          <w:noProof/>
          <w:lang w:val="ru-RU" w:eastAsia="ru-RU"/>
        </w:rPr>
        <w:drawing>
          <wp:inline distT="0" distB="0" distL="0" distR="0">
            <wp:extent cx="59436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F5" w:rsidRDefault="004152F5" w:rsidP="004152F5">
      <w:r w:rsidRPr="004152F5">
        <w:t>In this experiment, we want to measure the Slew- rate of OPV, the maximum slew rate of the output voltage when the input voltage changes abruptly. For this sudden change, we gener</w:t>
      </w:r>
      <w:r>
        <w:t>ate a square wave signal and pa</w:t>
      </w:r>
      <w:r w:rsidRPr="004152F5">
        <w:t>s</w:t>
      </w:r>
      <w:r>
        <w:t>s</w:t>
      </w:r>
      <w:r w:rsidRPr="004152F5">
        <w:t xml:space="preserve"> it to the input.</w:t>
      </w:r>
    </w:p>
    <w:p w:rsidR="005F1AA3" w:rsidRDefault="005F1AA3" w:rsidP="004152F5"/>
    <w:p w:rsidR="005F1AA3" w:rsidRDefault="005F1AA3" w:rsidP="004152F5"/>
    <w:p w:rsidR="004152F5" w:rsidRDefault="004152F5" w:rsidP="004152F5"/>
    <w:p w:rsidR="004152F5" w:rsidRDefault="004152F5" w:rsidP="004152F5"/>
    <w:p w:rsidR="004152F5" w:rsidRDefault="004152F5" w:rsidP="004152F5">
      <w:pPr>
        <w:rPr>
          <w:noProof/>
        </w:rPr>
      </w:pPr>
      <w:r w:rsidRPr="004152F5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219575" cy="3164682"/>
            <wp:effectExtent l="0" t="0" r="0" b="0"/>
            <wp:docPr id="3" name="Picture 3" descr="E: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80" cy="317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2F5" w:rsidRDefault="004152F5" w:rsidP="004152F5">
      <w:pPr>
        <w:rPr>
          <w:sz w:val="18"/>
          <w:szCs w:val="18"/>
        </w:rPr>
      </w:pPr>
      <w:r>
        <w:rPr>
          <w:sz w:val="18"/>
          <w:szCs w:val="18"/>
        </w:rPr>
        <w:t>Figure 1</w:t>
      </w:r>
      <w:r w:rsidRPr="004152F5">
        <w:rPr>
          <w:sz w:val="18"/>
          <w:szCs w:val="18"/>
        </w:rPr>
        <w:t>: Input signal (db) and output (</w:t>
      </w:r>
      <w:proofErr w:type="spellStart"/>
      <w:r w:rsidRPr="004152F5">
        <w:rPr>
          <w:sz w:val="18"/>
          <w:szCs w:val="18"/>
        </w:rPr>
        <w:t>hb</w:t>
      </w:r>
      <w:proofErr w:type="spellEnd"/>
      <w:r w:rsidRPr="004152F5">
        <w:rPr>
          <w:sz w:val="18"/>
          <w:szCs w:val="18"/>
        </w:rPr>
        <w:t>)</w:t>
      </w:r>
    </w:p>
    <w:p w:rsidR="005F1AA3" w:rsidRPr="004152F5" w:rsidRDefault="005F1AA3" w:rsidP="004152F5">
      <w:pPr>
        <w:rPr>
          <w:sz w:val="18"/>
          <w:szCs w:val="18"/>
        </w:rPr>
      </w:pPr>
      <w:bookmarkStart w:id="0" w:name="_GoBack"/>
      <w:bookmarkEnd w:id="0"/>
    </w:p>
    <w:p w:rsidR="005F1AA3" w:rsidRDefault="005F1AA3" w:rsidP="005F1AA3">
      <w:r>
        <w:t>The Slew- rate is now the time that elapses until the output has increased from 90% of its low level to 90% of its high level. In our experiment, we measured an increase of 22.2 V to 27.6 microseconds. This means a Slew- rate of about 0.8 V / us. The datasheet of the OPVs indicates a value of 0.5 V / us.</w:t>
      </w:r>
    </w:p>
    <w:p w:rsidR="004152F5" w:rsidRPr="004152F5" w:rsidRDefault="005F1AA3" w:rsidP="005F1AA3">
      <w:r>
        <w:t>This discrepancy can be explained by the inaccuracies incurred in setting the cursor on the oscilloscope.</w:t>
      </w:r>
    </w:p>
    <w:sectPr w:rsidR="004152F5" w:rsidRPr="004152F5" w:rsidSect="00957869">
      <w:pgSz w:w="12240" w:h="15840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20"/>
  <w:characterSpacingControl w:val="doNotCompress"/>
  <w:compat/>
  <w:rsids>
    <w:rsidRoot w:val="00E12385"/>
    <w:rsid w:val="001D7503"/>
    <w:rsid w:val="0034436F"/>
    <w:rsid w:val="004152F5"/>
    <w:rsid w:val="00465EE2"/>
    <w:rsid w:val="005F1AA3"/>
    <w:rsid w:val="006C0DD5"/>
    <w:rsid w:val="00826AB6"/>
    <w:rsid w:val="00957869"/>
    <w:rsid w:val="00980304"/>
    <w:rsid w:val="00E1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04"/>
  </w:style>
  <w:style w:type="paragraph" w:styleId="1">
    <w:name w:val="heading 1"/>
    <w:basedOn w:val="a"/>
    <w:next w:val="a"/>
    <w:link w:val="10"/>
    <w:uiPriority w:val="9"/>
    <w:qFormat/>
    <w:rsid w:val="00E1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2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1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12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1238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7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7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Bond</cp:lastModifiedBy>
  <cp:revision>5</cp:revision>
  <dcterms:created xsi:type="dcterms:W3CDTF">2014-12-16T21:01:00Z</dcterms:created>
  <dcterms:modified xsi:type="dcterms:W3CDTF">2016-11-13T16:24:00Z</dcterms:modified>
</cp:coreProperties>
</file>