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828" w:rsidRPr="0022120E" w:rsidRDefault="000C32CA" w:rsidP="00CE7C9B">
      <w:pPr>
        <w:pStyle w:val="a3"/>
        <w:rPr>
          <w:lang w:val="en-GB"/>
        </w:rPr>
      </w:pPr>
      <w:r>
        <w:rPr>
          <w:lang w:val="en-GB"/>
        </w:rPr>
        <w:t xml:space="preserve">Operating systems </w:t>
      </w:r>
      <w:r>
        <w:rPr>
          <w:lang w:val="en-GB"/>
        </w:rPr>
        <w:br/>
        <w:t xml:space="preserve">Lab </w:t>
      </w:r>
      <w:r w:rsidR="0055631D">
        <w:rPr>
          <w:lang w:val="en-GB"/>
        </w:rPr>
        <w:t>4</w:t>
      </w:r>
      <w:r w:rsidR="00473F8C">
        <w:rPr>
          <w:lang w:val="en-GB"/>
        </w:rPr>
        <w:t xml:space="preserve"> - Report</w:t>
      </w:r>
      <w:r w:rsidR="00CE7C9B" w:rsidRPr="0022120E">
        <w:rPr>
          <w:lang w:val="en-GB"/>
        </w:rPr>
        <w:br/>
      </w:r>
      <w:r w:rsidR="0055631D" w:rsidRPr="0055631D">
        <w:rPr>
          <w:lang w:val="en-GB"/>
        </w:rPr>
        <w:t>Short-term Scheduling Policies</w:t>
      </w:r>
    </w:p>
    <w:p w:rsidR="00845005" w:rsidRDefault="00B5702C" w:rsidP="00845005">
      <w:pPr>
        <w:rPr>
          <w:lang w:val="en-GB"/>
        </w:rPr>
      </w:pPr>
      <w:r>
        <w:rPr>
          <w:lang w:val="en-GB"/>
        </w:rPr>
        <w:t>Nikolay St</w:t>
      </w:r>
      <w:r w:rsidR="00845005">
        <w:rPr>
          <w:lang w:val="en-GB"/>
        </w:rPr>
        <w:t>oitsov</w:t>
      </w:r>
    </w:p>
    <w:p w:rsidR="00473F8C" w:rsidRDefault="00473F8C" w:rsidP="00DC7018">
      <w:pPr>
        <w:rPr>
          <w:lang w:val="en-GB"/>
        </w:rPr>
      </w:pPr>
      <w:r w:rsidRPr="0022120E">
        <w:rPr>
          <w:lang w:val="en-GB"/>
        </w:rPr>
        <w:t>Adriana Bostandzhieva</w:t>
      </w:r>
    </w:p>
    <w:p w:rsidR="00DC7018" w:rsidRPr="0022120E" w:rsidRDefault="00DC7018" w:rsidP="00DC7018">
      <w:pPr>
        <w:rPr>
          <w:lang w:val="en-GB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en-GB" w:eastAsia="en-US"/>
        </w:rPr>
        <w:id w:val="-1091280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E7C9B" w:rsidRPr="0022120E" w:rsidRDefault="00CE7C9B">
          <w:pPr>
            <w:pStyle w:val="a5"/>
            <w:rPr>
              <w:lang w:val="en-GB"/>
            </w:rPr>
          </w:pPr>
          <w:r w:rsidRPr="0022120E">
            <w:rPr>
              <w:lang w:val="en-GB"/>
            </w:rPr>
            <w:t>Table of Contents</w:t>
          </w:r>
        </w:p>
        <w:p w:rsidR="003E6244" w:rsidRDefault="001B053B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GB" w:eastAsia="en-GB"/>
            </w:rPr>
          </w:pPr>
          <w:r w:rsidRPr="001B053B">
            <w:rPr>
              <w:lang w:val="en-GB"/>
            </w:rPr>
            <w:fldChar w:fldCharType="begin"/>
          </w:r>
          <w:r w:rsidR="00CE7C9B" w:rsidRPr="0022120E">
            <w:rPr>
              <w:lang w:val="en-GB"/>
            </w:rPr>
            <w:instrText xml:space="preserve"> TOC \o "1-3" \h \z \u </w:instrText>
          </w:r>
          <w:r w:rsidRPr="001B053B">
            <w:rPr>
              <w:lang w:val="en-GB"/>
            </w:rPr>
            <w:fldChar w:fldCharType="separate"/>
          </w:r>
          <w:hyperlink w:anchor="_Toc454027583" w:history="1">
            <w:r w:rsidR="003E6244" w:rsidRPr="005D52DC">
              <w:rPr>
                <w:rStyle w:val="ae"/>
                <w:rFonts w:ascii="TT15Dt00" w:hAnsi="TT15Dt00" w:cs="TT15Dt00"/>
                <w:noProof/>
                <w:lang w:val="en-GB"/>
              </w:rPr>
              <w:t>Short-term Scheduling Policies</w:t>
            </w:r>
            <w:r w:rsidR="003E6244">
              <w:rPr>
                <w:noProof/>
                <w:webHidden/>
              </w:rPr>
              <w:tab/>
            </w:r>
            <w:r w:rsidR="003E6244">
              <w:rPr>
                <w:noProof/>
                <w:webHidden/>
              </w:rPr>
              <w:fldChar w:fldCharType="begin"/>
            </w:r>
            <w:r w:rsidR="003E6244">
              <w:rPr>
                <w:noProof/>
                <w:webHidden/>
              </w:rPr>
              <w:instrText xml:space="preserve"> PAGEREF _Toc454027583 \h </w:instrText>
            </w:r>
            <w:r w:rsidR="003E6244">
              <w:rPr>
                <w:noProof/>
                <w:webHidden/>
              </w:rPr>
            </w:r>
            <w:r w:rsidR="003E6244">
              <w:rPr>
                <w:noProof/>
                <w:webHidden/>
              </w:rPr>
              <w:fldChar w:fldCharType="separate"/>
            </w:r>
            <w:r w:rsidR="00BA6A32">
              <w:rPr>
                <w:noProof/>
                <w:webHidden/>
              </w:rPr>
              <w:t>2</w:t>
            </w:r>
            <w:r w:rsidR="003E6244">
              <w:rPr>
                <w:noProof/>
                <w:webHidden/>
              </w:rPr>
              <w:fldChar w:fldCharType="end"/>
            </w:r>
          </w:hyperlink>
        </w:p>
        <w:p w:rsidR="003E6244" w:rsidRDefault="003E624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454027584" w:history="1">
            <w:r w:rsidRPr="005D52DC">
              <w:rPr>
                <w:rStyle w:val="ae"/>
                <w:noProof/>
                <w:lang w:val="en-GB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_Toc454027584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A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244" w:rsidRDefault="003E6244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454027585" w:history="1">
            <w:r w:rsidRPr="005D52DC">
              <w:rPr>
                <w:rStyle w:val="ae"/>
                <w:noProof/>
                <w:lang w:val="en-GB"/>
              </w:rPr>
              <w:t>Solution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_Toc454027585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A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C9B" w:rsidRPr="0022120E" w:rsidRDefault="001B053B">
          <w:pPr>
            <w:rPr>
              <w:lang w:val="en-GB"/>
            </w:rPr>
          </w:pPr>
          <w:r w:rsidRPr="0022120E">
            <w:rPr>
              <w:b/>
              <w:bCs/>
              <w:noProof/>
              <w:lang w:val="en-GB"/>
            </w:rPr>
            <w:fldChar w:fldCharType="end"/>
          </w:r>
        </w:p>
      </w:sdtContent>
    </w:sdt>
    <w:p w:rsidR="002A0845" w:rsidRDefault="002A0845" w:rsidP="002A0845">
      <w:pPr>
        <w:rPr>
          <w:lang w:val="en-GB"/>
        </w:rPr>
      </w:pPr>
    </w:p>
    <w:p w:rsidR="008316D1" w:rsidRDefault="00CE7C9B" w:rsidP="008316D1">
      <w:pPr>
        <w:rPr>
          <w:lang w:val="en-GB"/>
        </w:rPr>
      </w:pPr>
      <w:r w:rsidRPr="0022120E">
        <w:rPr>
          <w:lang w:val="en-GB"/>
        </w:rPr>
        <w:br w:type="page"/>
      </w:r>
    </w:p>
    <w:p w:rsidR="008316D1" w:rsidRDefault="008316D1" w:rsidP="008316D1">
      <w:pPr>
        <w:pStyle w:val="1"/>
        <w:spacing w:before="0" w:line="240" w:lineRule="auto"/>
        <w:rPr>
          <w:lang w:val="en-GB"/>
        </w:rPr>
      </w:pPr>
    </w:p>
    <w:p w:rsidR="0055631D" w:rsidRPr="0055631D" w:rsidRDefault="0055631D" w:rsidP="0055631D">
      <w:pPr>
        <w:pStyle w:val="2"/>
        <w:spacing w:after="0"/>
        <w:rPr>
          <w:rFonts w:ascii="TT15Dt00" w:hAnsi="TT15Dt00" w:cs="TT15Dt00"/>
          <w:sz w:val="27"/>
          <w:szCs w:val="23"/>
          <w:lang w:val="en-GB"/>
        </w:rPr>
      </w:pPr>
      <w:bookmarkStart w:id="1" w:name="_Toc454027583"/>
      <w:r w:rsidRPr="0055631D">
        <w:rPr>
          <w:rFonts w:ascii="TT15Dt00" w:hAnsi="TT15Dt00" w:cs="TT15Dt00"/>
          <w:sz w:val="27"/>
          <w:szCs w:val="23"/>
          <w:lang w:val="en-GB"/>
        </w:rPr>
        <w:t>Short-term Scheduling Policies</w:t>
      </w:r>
      <w:bookmarkEnd w:id="1"/>
    </w:p>
    <w:p w:rsidR="0055631D" w:rsidRDefault="0055631D" w:rsidP="002322D9">
      <w:pPr>
        <w:pStyle w:val="2"/>
        <w:rPr>
          <w:rFonts w:ascii="TT15Dt00" w:hAnsi="TT15Dt00" w:cs="TT15Dt00"/>
          <w:sz w:val="23"/>
          <w:szCs w:val="23"/>
          <w:lang w:val="en-GB"/>
        </w:rPr>
      </w:pPr>
    </w:p>
    <w:p w:rsidR="00845005" w:rsidRDefault="00CE7C9B" w:rsidP="002322D9">
      <w:pPr>
        <w:pStyle w:val="2"/>
        <w:rPr>
          <w:lang w:val="en-GB"/>
        </w:rPr>
      </w:pPr>
      <w:bookmarkStart w:id="2" w:name="_Toc454027584"/>
      <w:r w:rsidRPr="0022120E">
        <w:rPr>
          <w:lang w:val="en-GB"/>
        </w:rPr>
        <w:t>Description</w:t>
      </w:r>
      <w:bookmarkEnd w:id="2"/>
      <w:r w:rsidRPr="0022120E">
        <w:rPr>
          <w:lang w:val="en-GB"/>
        </w:rPr>
        <w:t xml:space="preserve"> </w:t>
      </w:r>
    </w:p>
    <w:p w:rsidR="00845005" w:rsidRDefault="00845005" w:rsidP="000C32CA">
      <w:pPr>
        <w:rPr>
          <w:lang w:val="en-GB"/>
        </w:rPr>
      </w:pPr>
      <w:r>
        <w:rPr>
          <w:lang w:val="en-GB"/>
        </w:rPr>
        <w:t xml:space="preserve">The aim of the task is to </w:t>
      </w:r>
      <w:r w:rsidR="000C32CA">
        <w:rPr>
          <w:lang w:val="en-GB"/>
        </w:rPr>
        <w:t xml:space="preserve">implement and analyse the performance of </w:t>
      </w:r>
      <w:r w:rsidR="00CE70E6">
        <w:rPr>
          <w:lang w:val="en-GB"/>
        </w:rPr>
        <w:t>6</w:t>
      </w:r>
      <w:r w:rsidR="009C3CB4">
        <w:rPr>
          <w:lang w:val="en-GB"/>
        </w:rPr>
        <w:t xml:space="preserve"> different</w:t>
      </w:r>
      <w:r w:rsidR="000C32CA">
        <w:rPr>
          <w:lang w:val="en-GB"/>
        </w:rPr>
        <w:t xml:space="preserve"> </w:t>
      </w:r>
      <w:r w:rsidR="00CE70E6">
        <w:rPr>
          <w:lang w:val="en-GB"/>
        </w:rPr>
        <w:t>scheduling</w:t>
      </w:r>
      <w:r w:rsidR="000C32CA">
        <w:rPr>
          <w:lang w:val="en-GB"/>
        </w:rPr>
        <w:t xml:space="preserve"> polic</w:t>
      </w:r>
      <w:r w:rsidR="009C3CB4">
        <w:rPr>
          <w:lang w:val="en-GB"/>
        </w:rPr>
        <w:t>y algorithms</w:t>
      </w:r>
      <w:r w:rsidR="000C32CA">
        <w:rPr>
          <w:lang w:val="en-GB"/>
        </w:rPr>
        <w:t xml:space="preserve"> in a</w:t>
      </w:r>
      <w:r w:rsidR="00CE70E6">
        <w:rPr>
          <w:lang w:val="en-GB"/>
        </w:rPr>
        <w:t>n</w:t>
      </w:r>
      <w:r w:rsidR="000C32CA">
        <w:rPr>
          <w:lang w:val="en-GB"/>
        </w:rPr>
        <w:t xml:space="preserve"> </w:t>
      </w:r>
      <w:r w:rsidR="00CE70E6">
        <w:rPr>
          <w:lang w:val="en-GB"/>
        </w:rPr>
        <w:t>operat</w:t>
      </w:r>
      <w:r w:rsidR="000C32CA">
        <w:rPr>
          <w:lang w:val="en-GB"/>
        </w:rPr>
        <w:t>ing system</w:t>
      </w:r>
      <w:r w:rsidR="009C3CB4">
        <w:rPr>
          <w:lang w:val="en-GB"/>
        </w:rPr>
        <w:t xml:space="preserve"> – Random, </w:t>
      </w:r>
      <w:r w:rsidR="00CE70E6">
        <w:rPr>
          <w:lang w:val="en-GB"/>
        </w:rPr>
        <w:t>First Come First Served</w:t>
      </w:r>
      <w:r w:rsidR="009C3CB4">
        <w:rPr>
          <w:lang w:val="en-GB"/>
        </w:rPr>
        <w:t xml:space="preserve">, </w:t>
      </w:r>
      <w:r w:rsidR="00CE70E6">
        <w:rPr>
          <w:lang w:val="en-GB"/>
        </w:rPr>
        <w:t>Short Process Next, Short Remaining Time, HRRN</w:t>
      </w:r>
      <w:r w:rsidR="009C3CB4">
        <w:rPr>
          <w:lang w:val="en-GB"/>
        </w:rPr>
        <w:t xml:space="preserve"> and </w:t>
      </w:r>
      <w:r w:rsidR="00CE70E6">
        <w:rPr>
          <w:lang w:val="en-GB"/>
        </w:rPr>
        <w:t>Round Robin with different time slices q</w:t>
      </w:r>
      <w:r w:rsidR="000C32CA">
        <w:rPr>
          <w:lang w:val="en-GB"/>
        </w:rPr>
        <w:t xml:space="preserve">. </w:t>
      </w:r>
    </w:p>
    <w:p w:rsidR="00251C41" w:rsidRPr="00845005" w:rsidRDefault="00251C41" w:rsidP="000C32CA">
      <w:pPr>
        <w:rPr>
          <w:lang w:val="en-GB"/>
        </w:rPr>
      </w:pPr>
    </w:p>
    <w:p w:rsidR="002322D9" w:rsidRDefault="002322D9" w:rsidP="002322D9">
      <w:pPr>
        <w:pStyle w:val="2"/>
        <w:rPr>
          <w:lang w:val="en-GB"/>
        </w:rPr>
      </w:pPr>
      <w:bookmarkStart w:id="3" w:name="_Toc454027585"/>
      <w:r w:rsidRPr="0022120E">
        <w:rPr>
          <w:lang w:val="en-GB"/>
        </w:rPr>
        <w:t>Solution</w:t>
      </w:r>
      <w:r w:rsidR="006709DB">
        <w:rPr>
          <w:lang w:val="en-GB"/>
        </w:rPr>
        <w:t xml:space="preserve"> and Results</w:t>
      </w:r>
      <w:bookmarkEnd w:id="3"/>
    </w:p>
    <w:p w:rsidR="0055631D" w:rsidRDefault="00BB7D8B" w:rsidP="0055631D">
      <w:pPr>
        <w:rPr>
          <w:lang w:val="en-GB"/>
        </w:rPr>
      </w:pPr>
      <w:r>
        <w:rPr>
          <w:lang w:val="en-GB"/>
        </w:rPr>
        <w:t xml:space="preserve">The classes are implemented and tested with 1000 processes. The final output of every algorithm is </w:t>
      </w:r>
      <w:r w:rsidR="00251C41">
        <w:rPr>
          <w:lang w:val="en-GB"/>
        </w:rPr>
        <w:t>similar to the one</w:t>
      </w:r>
      <w:r>
        <w:rPr>
          <w:lang w:val="en-GB"/>
        </w:rPr>
        <w:t xml:space="preserve"> shown on Fig. 1. That is the average of Service time</w:t>
      </w:r>
      <w:r w:rsidR="004C79BD">
        <w:rPr>
          <w:lang w:val="en-GB"/>
        </w:rPr>
        <w:t>, MTBBB and Turnaround for every of the 25 groups. The quotient is the ratio between the Turnaround and Service time.</w:t>
      </w:r>
      <w:r w:rsidR="00BA6A32" w:rsidRPr="00BA6A32">
        <w:rPr>
          <w:lang w:val="en-GB"/>
        </w:rPr>
        <w:t xml:space="preserve"> </w:t>
      </w:r>
      <w:r w:rsidR="00BA6A32">
        <w:rPr>
          <w:lang w:val="en-GB"/>
        </w:rPr>
        <w:t xml:space="preserve">The quotients for all the policies are plotted on Fig. 2.  </w:t>
      </w:r>
    </w:p>
    <w:p w:rsidR="0055631D" w:rsidRPr="0055631D" w:rsidRDefault="0055631D" w:rsidP="00251C41">
      <w:pPr>
        <w:spacing w:after="0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5943600" cy="2604770"/>
            <wp:effectExtent l="19050" t="0" r="0" b="0"/>
            <wp:docPr id="1" name="Картина 0" descr="Random-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-100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C3" w:rsidRPr="00A607C3" w:rsidRDefault="00844544" w:rsidP="00844544">
      <w:pPr>
        <w:pStyle w:val="a9"/>
        <w:rPr>
          <w:lang w:val="en-GB"/>
        </w:rPr>
      </w:pPr>
      <w:bookmarkStart w:id="4" w:name="_Ref450493007"/>
      <w:r>
        <w:t xml:space="preserve">Figure </w:t>
      </w:r>
      <w:fldSimple w:instr=" SEQ Figure \* ARABIC ">
        <w:r w:rsidR="00BA6A32">
          <w:rPr>
            <w:noProof/>
          </w:rPr>
          <w:t>1</w:t>
        </w:r>
      </w:fldSimple>
      <w:bookmarkEnd w:id="4"/>
      <w:r w:rsidR="00D01A7C">
        <w:t xml:space="preserve">. Random </w:t>
      </w:r>
      <w:r w:rsidR="00251C41">
        <w:t>scheduling</w:t>
      </w:r>
      <w:r w:rsidR="00D01A7C">
        <w:t xml:space="preserve"> policy</w:t>
      </w:r>
    </w:p>
    <w:p w:rsidR="008316D1" w:rsidRDefault="008316D1" w:rsidP="00D01A7C">
      <w:pPr>
        <w:rPr>
          <w:b/>
          <w:bCs/>
          <w:color w:val="4F81BD" w:themeColor="accent1"/>
          <w:sz w:val="18"/>
          <w:szCs w:val="18"/>
        </w:rPr>
      </w:pPr>
    </w:p>
    <w:p w:rsidR="008316D1" w:rsidRDefault="00626682" w:rsidP="00D01A7C">
      <w:pPr>
        <w:rPr>
          <w:lang w:val="en-GB"/>
        </w:rPr>
      </w:pPr>
      <w:r w:rsidRPr="00626682">
        <w:rPr>
          <w:lang w:val="en-GB"/>
        </w:rPr>
        <w:lastRenderedPageBreak/>
        <w:drawing>
          <wp:inline distT="0" distB="0" distL="0" distR="0">
            <wp:extent cx="5762626" cy="3095626"/>
            <wp:effectExtent l="19050" t="0" r="28574" b="9524"/>
            <wp:docPr id="14" name="Диагра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01A7C" w:rsidRPr="00A607C3" w:rsidRDefault="00354AF5" w:rsidP="00D01A7C">
      <w:pPr>
        <w:pStyle w:val="a9"/>
        <w:rPr>
          <w:lang w:val="en-GB"/>
        </w:rPr>
      </w:pPr>
      <w:r>
        <w:t>Figure 2</w:t>
      </w:r>
      <w:r w:rsidR="00D01A7C">
        <w:t xml:space="preserve">. </w:t>
      </w:r>
      <w:r>
        <w:t>Short-term scheduling policies</w:t>
      </w:r>
    </w:p>
    <w:p w:rsidR="00932297" w:rsidRDefault="00932297" w:rsidP="00D01A7C">
      <w:pPr>
        <w:rPr>
          <w:b/>
          <w:lang w:val="en-GB"/>
        </w:rPr>
      </w:pPr>
    </w:p>
    <w:p w:rsidR="008316D1" w:rsidRDefault="008316D1" w:rsidP="00D01A7C">
      <w:pPr>
        <w:rPr>
          <w:lang w:val="en-GB"/>
        </w:rPr>
      </w:pPr>
    </w:p>
    <w:p w:rsidR="008316D1" w:rsidRDefault="008316D1" w:rsidP="00D01A7C">
      <w:pPr>
        <w:rPr>
          <w:lang w:val="en-GB"/>
        </w:rPr>
      </w:pPr>
    </w:p>
    <w:p w:rsidR="008316D1" w:rsidRDefault="008316D1" w:rsidP="00D01A7C">
      <w:pPr>
        <w:rPr>
          <w:lang w:val="en-GB"/>
        </w:rPr>
      </w:pPr>
    </w:p>
    <w:p w:rsidR="008316D1" w:rsidRDefault="008316D1" w:rsidP="00D01A7C">
      <w:pPr>
        <w:rPr>
          <w:lang w:val="en-GB"/>
        </w:rPr>
      </w:pPr>
    </w:p>
    <w:p w:rsidR="008316D1" w:rsidRDefault="008316D1" w:rsidP="00D01A7C">
      <w:pPr>
        <w:rPr>
          <w:lang w:val="en-GB"/>
        </w:rPr>
      </w:pPr>
    </w:p>
    <w:p w:rsidR="008316D1" w:rsidRPr="00017BEE" w:rsidRDefault="008316D1" w:rsidP="00D01A7C">
      <w:pPr>
        <w:rPr>
          <w:lang w:val="en-GB"/>
        </w:rPr>
      </w:pPr>
    </w:p>
    <w:sectPr w:rsidR="008316D1" w:rsidRPr="00017BEE" w:rsidSect="002A084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88F" w:rsidRDefault="0021088F" w:rsidP="000A4338">
      <w:pPr>
        <w:spacing w:after="0" w:line="240" w:lineRule="auto"/>
      </w:pPr>
      <w:r>
        <w:separator/>
      </w:r>
    </w:p>
  </w:endnote>
  <w:endnote w:type="continuationSeparator" w:id="0">
    <w:p w:rsidR="0021088F" w:rsidRDefault="0021088F" w:rsidP="000A4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15D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496610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276828" w:rsidRDefault="00276828">
            <w:pPr>
              <w:pStyle w:val="ac"/>
              <w:jc w:val="center"/>
            </w:pPr>
            <w:r>
              <w:t xml:space="preserve">Page </w:t>
            </w:r>
            <w:r w:rsidR="001B053B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1B053B">
              <w:rPr>
                <w:b/>
                <w:bCs/>
                <w:szCs w:val="24"/>
              </w:rPr>
              <w:fldChar w:fldCharType="separate"/>
            </w:r>
            <w:r w:rsidR="00BA6A32">
              <w:rPr>
                <w:b/>
                <w:bCs/>
                <w:noProof/>
              </w:rPr>
              <w:t>1</w:t>
            </w:r>
            <w:r w:rsidR="001B053B"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 w:rsidR="001B053B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1B053B">
              <w:rPr>
                <w:b/>
                <w:bCs/>
                <w:szCs w:val="24"/>
              </w:rPr>
              <w:fldChar w:fldCharType="separate"/>
            </w:r>
            <w:r w:rsidR="00BA6A32">
              <w:rPr>
                <w:b/>
                <w:bCs/>
                <w:noProof/>
              </w:rPr>
              <w:t>3</w:t>
            </w:r>
            <w:r w:rsidR="001B053B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276828" w:rsidRDefault="00276828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88F" w:rsidRDefault="0021088F" w:rsidP="000A4338">
      <w:pPr>
        <w:spacing w:after="0" w:line="240" w:lineRule="auto"/>
      </w:pPr>
      <w:r>
        <w:separator/>
      </w:r>
    </w:p>
  </w:footnote>
  <w:footnote w:type="continuationSeparator" w:id="0">
    <w:p w:rsidR="0021088F" w:rsidRDefault="0021088F" w:rsidP="000A4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828" w:rsidRDefault="0055631D" w:rsidP="00473F8C">
    <w:pPr>
      <w:pStyle w:val="aa"/>
      <w:jc w:val="right"/>
      <w:rPr>
        <w:color w:val="7F7F7F" w:themeColor="text1" w:themeTint="80"/>
      </w:rPr>
    </w:pPr>
    <w:r>
      <w:rPr>
        <w:color w:val="7F7F7F" w:themeColor="text1" w:themeTint="80"/>
      </w:rPr>
      <w:t>OS Lab 4</w:t>
    </w:r>
    <w:r w:rsidR="00276828">
      <w:rPr>
        <w:color w:val="7F7F7F" w:themeColor="text1" w:themeTint="80"/>
      </w:rPr>
      <w:t xml:space="preserve"> Report </w:t>
    </w:r>
    <w:r w:rsidR="00276828">
      <w:rPr>
        <w:color w:val="7F7F7F" w:themeColor="text1" w:themeTint="80"/>
      </w:rPr>
      <w:tab/>
    </w:r>
    <w:r w:rsidR="00276828">
      <w:rPr>
        <w:color w:val="7F7F7F" w:themeColor="text1" w:themeTint="80"/>
      </w:rPr>
      <w:tab/>
      <w:t>Adriana Bostandzhieva</w:t>
    </w:r>
  </w:p>
  <w:p w:rsidR="00276828" w:rsidRPr="00DC7018" w:rsidRDefault="00276828" w:rsidP="00D517A3">
    <w:pPr>
      <w:pStyle w:val="aa"/>
      <w:rPr>
        <w:color w:val="7F7F7F" w:themeColor="text1" w:themeTint="80"/>
      </w:rPr>
    </w:pPr>
    <w:r>
      <w:rPr>
        <w:color w:val="7F7F7F" w:themeColor="text1" w:themeTint="80"/>
      </w:rPr>
      <w:t xml:space="preserve">Group 1 </w:t>
    </w:r>
    <w:r>
      <w:rPr>
        <w:color w:val="7F7F7F" w:themeColor="text1" w:themeTint="80"/>
      </w:rPr>
      <w:tab/>
    </w:r>
    <w:r>
      <w:rPr>
        <w:color w:val="7F7F7F" w:themeColor="text1" w:themeTint="80"/>
      </w:rPr>
      <w:tab/>
      <w:t>Nikolay Stoitsov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115C5"/>
    <w:multiLevelType w:val="hybridMultilevel"/>
    <w:tmpl w:val="1C54028A"/>
    <w:lvl w:ilvl="0" w:tplc="4CB88B4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7A36DA"/>
    <w:rsid w:val="000150E9"/>
    <w:rsid w:val="00017BEE"/>
    <w:rsid w:val="000422AC"/>
    <w:rsid w:val="000A2D97"/>
    <w:rsid w:val="000A4338"/>
    <w:rsid w:val="000C32CA"/>
    <w:rsid w:val="000C4799"/>
    <w:rsid w:val="001960AE"/>
    <w:rsid w:val="001B053B"/>
    <w:rsid w:val="001C4B6D"/>
    <w:rsid w:val="001E2691"/>
    <w:rsid w:val="0021088F"/>
    <w:rsid w:val="0022120E"/>
    <w:rsid w:val="002322D9"/>
    <w:rsid w:val="00246404"/>
    <w:rsid w:val="00251C41"/>
    <w:rsid w:val="002745EA"/>
    <w:rsid w:val="00276828"/>
    <w:rsid w:val="002A0845"/>
    <w:rsid w:val="0032265F"/>
    <w:rsid w:val="003239A1"/>
    <w:rsid w:val="00342DE9"/>
    <w:rsid w:val="00350067"/>
    <w:rsid w:val="00354AF5"/>
    <w:rsid w:val="003752AB"/>
    <w:rsid w:val="00384778"/>
    <w:rsid w:val="003A74C2"/>
    <w:rsid w:val="003C72C7"/>
    <w:rsid w:val="003E330E"/>
    <w:rsid w:val="003E6244"/>
    <w:rsid w:val="00464725"/>
    <w:rsid w:val="00473F8C"/>
    <w:rsid w:val="004975E6"/>
    <w:rsid w:val="004C79BD"/>
    <w:rsid w:val="004E1884"/>
    <w:rsid w:val="0050314E"/>
    <w:rsid w:val="00525A7F"/>
    <w:rsid w:val="0055631D"/>
    <w:rsid w:val="00561DE9"/>
    <w:rsid w:val="005620CF"/>
    <w:rsid w:val="005629FA"/>
    <w:rsid w:val="00626682"/>
    <w:rsid w:val="00636543"/>
    <w:rsid w:val="006709DB"/>
    <w:rsid w:val="00721CE8"/>
    <w:rsid w:val="007A36DA"/>
    <w:rsid w:val="008316D1"/>
    <w:rsid w:val="00844544"/>
    <w:rsid w:val="00845005"/>
    <w:rsid w:val="008670AF"/>
    <w:rsid w:val="008C2CDC"/>
    <w:rsid w:val="008E2DCE"/>
    <w:rsid w:val="008F067A"/>
    <w:rsid w:val="00932297"/>
    <w:rsid w:val="00941613"/>
    <w:rsid w:val="00967619"/>
    <w:rsid w:val="00992173"/>
    <w:rsid w:val="009A4389"/>
    <w:rsid w:val="009C3CB4"/>
    <w:rsid w:val="00A102D0"/>
    <w:rsid w:val="00A1505C"/>
    <w:rsid w:val="00A22FC9"/>
    <w:rsid w:val="00A607C3"/>
    <w:rsid w:val="00A95D73"/>
    <w:rsid w:val="00B07C83"/>
    <w:rsid w:val="00B50BE6"/>
    <w:rsid w:val="00B5702C"/>
    <w:rsid w:val="00B84DE6"/>
    <w:rsid w:val="00B86094"/>
    <w:rsid w:val="00BA6A32"/>
    <w:rsid w:val="00BB7D8B"/>
    <w:rsid w:val="00BF66A6"/>
    <w:rsid w:val="00CB5B98"/>
    <w:rsid w:val="00CC05CF"/>
    <w:rsid w:val="00CE70E6"/>
    <w:rsid w:val="00CE7C9B"/>
    <w:rsid w:val="00D00CF8"/>
    <w:rsid w:val="00D01A7C"/>
    <w:rsid w:val="00D517A3"/>
    <w:rsid w:val="00DC7018"/>
    <w:rsid w:val="00DD5F99"/>
    <w:rsid w:val="00DF1D45"/>
    <w:rsid w:val="00E32FEA"/>
    <w:rsid w:val="00E45C7D"/>
    <w:rsid w:val="00F069C4"/>
    <w:rsid w:val="00F32F7E"/>
    <w:rsid w:val="00F927F4"/>
    <w:rsid w:val="00FD518F"/>
    <w:rsid w:val="00FF6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2D9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322D9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322D9"/>
    <w:pPr>
      <w:keepNext/>
      <w:keepLines/>
      <w:spacing w:before="80" w:after="8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7C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CE7C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лавие 1 Знак"/>
    <w:basedOn w:val="a0"/>
    <w:link w:val="1"/>
    <w:uiPriority w:val="9"/>
    <w:rsid w:val="002322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CE7C9B"/>
    <w:pPr>
      <w:outlineLvl w:val="9"/>
    </w:pPr>
    <w:rPr>
      <w:lang w:eastAsia="ja-JP"/>
    </w:rPr>
  </w:style>
  <w:style w:type="paragraph" w:styleId="a6">
    <w:name w:val="Balloon Text"/>
    <w:basedOn w:val="a"/>
    <w:link w:val="a7"/>
    <w:uiPriority w:val="99"/>
    <w:semiHidden/>
    <w:unhideWhenUsed/>
    <w:rsid w:val="00CE7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CE7C9B"/>
    <w:rPr>
      <w:rFonts w:ascii="Tahoma" w:hAnsi="Tahoma" w:cs="Tahoma"/>
      <w:sz w:val="16"/>
      <w:szCs w:val="16"/>
    </w:rPr>
  </w:style>
  <w:style w:type="character" w:customStyle="1" w:styleId="20">
    <w:name w:val="Заглавие 2 Знак"/>
    <w:basedOn w:val="a0"/>
    <w:link w:val="2"/>
    <w:uiPriority w:val="9"/>
    <w:rsid w:val="00232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8">
    <w:name w:val="Table Grid"/>
    <w:basedOn w:val="a1"/>
    <w:uiPriority w:val="59"/>
    <w:rsid w:val="002212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342D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0A4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Горен колонтитул Знак"/>
    <w:basedOn w:val="a0"/>
    <w:link w:val="aa"/>
    <w:uiPriority w:val="99"/>
    <w:rsid w:val="000A4338"/>
    <w:rPr>
      <w:sz w:val="24"/>
    </w:rPr>
  </w:style>
  <w:style w:type="paragraph" w:styleId="ac">
    <w:name w:val="footer"/>
    <w:basedOn w:val="a"/>
    <w:link w:val="ad"/>
    <w:uiPriority w:val="99"/>
    <w:unhideWhenUsed/>
    <w:rsid w:val="000A4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Долен колонтитул Знак"/>
    <w:basedOn w:val="a0"/>
    <w:link w:val="ac"/>
    <w:uiPriority w:val="99"/>
    <w:rsid w:val="000A4338"/>
    <w:rPr>
      <w:sz w:val="24"/>
    </w:rPr>
  </w:style>
  <w:style w:type="paragraph" w:styleId="11">
    <w:name w:val="toc 1"/>
    <w:basedOn w:val="a"/>
    <w:next w:val="a"/>
    <w:autoRedefine/>
    <w:uiPriority w:val="39"/>
    <w:unhideWhenUsed/>
    <w:rsid w:val="002A08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A0845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2A0845"/>
    <w:rPr>
      <w:color w:val="0000FF" w:themeColor="hyperlink"/>
      <w:u w:val="single"/>
    </w:rPr>
  </w:style>
  <w:style w:type="paragraph" w:styleId="af">
    <w:name w:val="Bibliography"/>
    <w:basedOn w:val="a"/>
    <w:next w:val="a"/>
    <w:uiPriority w:val="37"/>
    <w:unhideWhenUsed/>
    <w:rsid w:val="002A0845"/>
  </w:style>
  <w:style w:type="paragraph" w:styleId="af0">
    <w:name w:val="table of figures"/>
    <w:basedOn w:val="a"/>
    <w:next w:val="a"/>
    <w:uiPriority w:val="99"/>
    <w:unhideWhenUsed/>
    <w:rsid w:val="002A0845"/>
    <w:pPr>
      <w:spacing w:after="0"/>
    </w:pPr>
  </w:style>
  <w:style w:type="table" w:styleId="-1">
    <w:name w:val="Light Shading Accent 1"/>
    <w:basedOn w:val="a1"/>
    <w:uiPriority w:val="60"/>
    <w:rsid w:val="004647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1">
    <w:name w:val="footnote text"/>
    <w:basedOn w:val="a"/>
    <w:link w:val="af2"/>
    <w:uiPriority w:val="99"/>
    <w:semiHidden/>
    <w:unhideWhenUsed/>
    <w:rsid w:val="00561DE9"/>
    <w:pPr>
      <w:spacing w:after="0" w:line="240" w:lineRule="auto"/>
    </w:pPr>
    <w:rPr>
      <w:sz w:val="20"/>
      <w:szCs w:val="20"/>
    </w:rPr>
  </w:style>
  <w:style w:type="character" w:customStyle="1" w:styleId="af2">
    <w:name w:val="Текст под линия Знак"/>
    <w:basedOn w:val="a0"/>
    <w:link w:val="af1"/>
    <w:uiPriority w:val="99"/>
    <w:semiHidden/>
    <w:rsid w:val="00561DE9"/>
    <w:rPr>
      <w:sz w:val="20"/>
      <w:szCs w:val="20"/>
    </w:rPr>
  </w:style>
  <w:style w:type="character" w:styleId="af3">
    <w:name w:val="footnote reference"/>
    <w:basedOn w:val="a0"/>
    <w:uiPriority w:val="99"/>
    <w:unhideWhenUsed/>
    <w:rsid w:val="00561DE9"/>
    <w:rPr>
      <w:vertAlign w:val="superscript"/>
    </w:rPr>
  </w:style>
  <w:style w:type="paragraph" w:styleId="af4">
    <w:name w:val="List Paragraph"/>
    <w:basedOn w:val="a"/>
    <w:uiPriority w:val="34"/>
    <w:qFormat/>
    <w:rsid w:val="00A607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2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2D9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2D9"/>
    <w:pPr>
      <w:keepNext/>
      <w:keepLines/>
      <w:spacing w:before="80" w:after="8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C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C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22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7C9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C9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32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21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42D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4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33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A4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338"/>
    <w:rPr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A08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084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A0845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A0845"/>
  </w:style>
  <w:style w:type="paragraph" w:styleId="TableofFigures">
    <w:name w:val="table of figures"/>
    <w:basedOn w:val="Normal"/>
    <w:next w:val="Normal"/>
    <w:uiPriority w:val="99"/>
    <w:unhideWhenUsed/>
    <w:rsid w:val="002A0845"/>
    <w:pPr>
      <w:spacing w:after="0"/>
    </w:pPr>
  </w:style>
  <w:style w:type="table" w:styleId="LightShading-Accent1">
    <w:name w:val="Light Shading Accent 1"/>
    <w:basedOn w:val="TableNormal"/>
    <w:uiPriority w:val="60"/>
    <w:rsid w:val="004647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561D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1D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561DE9"/>
    <w:rPr>
      <w:vertAlign w:val="superscript"/>
    </w:rPr>
  </w:style>
  <w:style w:type="paragraph" w:styleId="ListParagraph">
    <w:name w:val="List Paragraph"/>
    <w:basedOn w:val="Normal"/>
    <w:uiPriority w:val="34"/>
    <w:qFormat/>
    <w:rsid w:val="00A607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HAW\Operating%20Systems\pics\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GB"/>
  <c:chart>
    <c:title>
      <c:tx>
        <c:rich>
          <a:bodyPr/>
          <a:lstStyle/>
          <a:p>
            <a:pPr>
              <a:defRPr/>
            </a:pPr>
            <a:r>
              <a:rPr lang="en-GB" sz="1800" b="1" i="0" u="none" strike="noStrike" baseline="0" smtClean="0"/>
              <a:t>Short-term Scheduling Policies</a:t>
            </a:r>
            <a:endParaRPr lang="bg-BG"/>
          </a:p>
        </c:rich>
      </c:tx>
      <c:overlay val="1"/>
    </c:title>
    <c:plotArea>
      <c:layout/>
      <c:scatterChart>
        <c:scatterStyle val="smoothMarker"/>
        <c:ser>
          <c:idx val="0"/>
          <c:order val="0"/>
          <c:tx>
            <c:strRef>
              <c:f>Лист1!$B$34</c:f>
              <c:strCache>
                <c:ptCount val="1"/>
                <c:pt idx="0">
                  <c:v>FCFS</c:v>
                </c:pt>
              </c:strCache>
            </c:strRef>
          </c:tx>
          <c:marker>
            <c:symbol val="none"/>
          </c:marker>
          <c:xVal>
            <c:numRef>
              <c:f>Лист1!$A$35:$A$59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Лист1!$B$35:$B$59</c:f>
              <c:numCache>
                <c:formatCode>General</c:formatCode>
                <c:ptCount val="25"/>
                <c:pt idx="0">
                  <c:v>14.88</c:v>
                </c:pt>
                <c:pt idx="1">
                  <c:v>13.58</c:v>
                </c:pt>
                <c:pt idx="2">
                  <c:v>18.87</c:v>
                </c:pt>
                <c:pt idx="3">
                  <c:v>17.170000000000005</c:v>
                </c:pt>
                <c:pt idx="4">
                  <c:v>11.78</c:v>
                </c:pt>
                <c:pt idx="5">
                  <c:v>19.97</c:v>
                </c:pt>
                <c:pt idx="6">
                  <c:v>15.39</c:v>
                </c:pt>
                <c:pt idx="7">
                  <c:v>21.5</c:v>
                </c:pt>
                <c:pt idx="8">
                  <c:v>12.42</c:v>
                </c:pt>
                <c:pt idx="9">
                  <c:v>12.1</c:v>
                </c:pt>
                <c:pt idx="10">
                  <c:v>25.12</c:v>
                </c:pt>
                <c:pt idx="11">
                  <c:v>17.829999999999995</c:v>
                </c:pt>
                <c:pt idx="12">
                  <c:v>17.649999999999999</c:v>
                </c:pt>
                <c:pt idx="13">
                  <c:v>13.129999999999999</c:v>
                </c:pt>
                <c:pt idx="14">
                  <c:v>16.53</c:v>
                </c:pt>
                <c:pt idx="15">
                  <c:v>31.04</c:v>
                </c:pt>
                <c:pt idx="16">
                  <c:v>16.88</c:v>
                </c:pt>
                <c:pt idx="17">
                  <c:v>16.77</c:v>
                </c:pt>
                <c:pt idx="18">
                  <c:v>18.14</c:v>
                </c:pt>
                <c:pt idx="19">
                  <c:v>22.59</c:v>
                </c:pt>
                <c:pt idx="20">
                  <c:v>16.670000000000005</c:v>
                </c:pt>
                <c:pt idx="21">
                  <c:v>14.26</c:v>
                </c:pt>
                <c:pt idx="22">
                  <c:v>16.989999999999991</c:v>
                </c:pt>
                <c:pt idx="23">
                  <c:v>15.97</c:v>
                </c:pt>
                <c:pt idx="24">
                  <c:v>8.61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Лист1!$C$34</c:f>
              <c:strCache>
                <c:ptCount val="1"/>
                <c:pt idx="0">
                  <c:v>SPN</c:v>
                </c:pt>
              </c:strCache>
            </c:strRef>
          </c:tx>
          <c:marker>
            <c:symbol val="none"/>
          </c:marker>
          <c:xVal>
            <c:numRef>
              <c:f>Лист1!$A$35:$A$59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Лист1!$C$35:$C$59</c:f>
              <c:numCache>
                <c:formatCode>General</c:formatCode>
                <c:ptCount val="25"/>
                <c:pt idx="0">
                  <c:v>7.02</c:v>
                </c:pt>
                <c:pt idx="1">
                  <c:v>6.6599999999999993</c:v>
                </c:pt>
                <c:pt idx="2">
                  <c:v>6.24</c:v>
                </c:pt>
                <c:pt idx="3">
                  <c:v>7.04</c:v>
                </c:pt>
                <c:pt idx="4">
                  <c:v>5.21</c:v>
                </c:pt>
                <c:pt idx="5">
                  <c:v>6.58</c:v>
                </c:pt>
                <c:pt idx="6">
                  <c:v>6.33</c:v>
                </c:pt>
                <c:pt idx="7">
                  <c:v>7.1499999999999995</c:v>
                </c:pt>
                <c:pt idx="8">
                  <c:v>6.03</c:v>
                </c:pt>
                <c:pt idx="9">
                  <c:v>5.74</c:v>
                </c:pt>
                <c:pt idx="10">
                  <c:v>7.81</c:v>
                </c:pt>
                <c:pt idx="11">
                  <c:v>6.48</c:v>
                </c:pt>
                <c:pt idx="12">
                  <c:v>6.2</c:v>
                </c:pt>
                <c:pt idx="13">
                  <c:v>5.8599999999999994</c:v>
                </c:pt>
                <c:pt idx="14">
                  <c:v>6.52</c:v>
                </c:pt>
                <c:pt idx="15">
                  <c:v>6.99</c:v>
                </c:pt>
                <c:pt idx="16">
                  <c:v>6.48</c:v>
                </c:pt>
                <c:pt idx="17">
                  <c:v>5.7</c:v>
                </c:pt>
                <c:pt idx="18">
                  <c:v>7.1499999999999995</c:v>
                </c:pt>
                <c:pt idx="19">
                  <c:v>7.51</c:v>
                </c:pt>
                <c:pt idx="20">
                  <c:v>7.24</c:v>
                </c:pt>
                <c:pt idx="21">
                  <c:v>6.72</c:v>
                </c:pt>
                <c:pt idx="22">
                  <c:v>7.14</c:v>
                </c:pt>
                <c:pt idx="23">
                  <c:v>7.41</c:v>
                </c:pt>
                <c:pt idx="24">
                  <c:v>6.29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Лист1!$D$34</c:f>
              <c:strCache>
                <c:ptCount val="1"/>
                <c:pt idx="0">
                  <c:v>Random</c:v>
                </c:pt>
              </c:strCache>
            </c:strRef>
          </c:tx>
          <c:marker>
            <c:symbol val="none"/>
          </c:marker>
          <c:xVal>
            <c:numRef>
              <c:f>Лист1!$A$35:$A$59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Лист1!$D$35:$D$59</c:f>
              <c:numCache>
                <c:formatCode>General</c:formatCode>
                <c:ptCount val="25"/>
                <c:pt idx="0">
                  <c:v>11.639999999999999</c:v>
                </c:pt>
                <c:pt idx="1">
                  <c:v>8.61</c:v>
                </c:pt>
                <c:pt idx="2">
                  <c:v>10.69</c:v>
                </c:pt>
                <c:pt idx="3">
                  <c:v>10.61</c:v>
                </c:pt>
                <c:pt idx="4">
                  <c:v>8.02</c:v>
                </c:pt>
                <c:pt idx="5">
                  <c:v>10.41</c:v>
                </c:pt>
                <c:pt idx="6">
                  <c:v>9.8500000000000014</c:v>
                </c:pt>
                <c:pt idx="7">
                  <c:v>12.46</c:v>
                </c:pt>
                <c:pt idx="8">
                  <c:v>10.28</c:v>
                </c:pt>
                <c:pt idx="9">
                  <c:v>9.120000000000001</c:v>
                </c:pt>
                <c:pt idx="10">
                  <c:v>13.12</c:v>
                </c:pt>
                <c:pt idx="11">
                  <c:v>10.99</c:v>
                </c:pt>
                <c:pt idx="12">
                  <c:v>9.7100000000000009</c:v>
                </c:pt>
                <c:pt idx="13">
                  <c:v>8.2399999999999984</c:v>
                </c:pt>
                <c:pt idx="14">
                  <c:v>11.04</c:v>
                </c:pt>
                <c:pt idx="15">
                  <c:v>11.56</c:v>
                </c:pt>
                <c:pt idx="16">
                  <c:v>9.76</c:v>
                </c:pt>
                <c:pt idx="17">
                  <c:v>9.4</c:v>
                </c:pt>
                <c:pt idx="18">
                  <c:v>10.97</c:v>
                </c:pt>
                <c:pt idx="19">
                  <c:v>11.450000000000001</c:v>
                </c:pt>
                <c:pt idx="20">
                  <c:v>10.229999999999999</c:v>
                </c:pt>
                <c:pt idx="21">
                  <c:v>9.9500000000000011</c:v>
                </c:pt>
                <c:pt idx="22">
                  <c:v>10.210000000000001</c:v>
                </c:pt>
                <c:pt idx="23">
                  <c:v>9.9600000000000026</c:v>
                </c:pt>
                <c:pt idx="24">
                  <c:v>7.67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Лист1!$E$34</c:f>
              <c:strCache>
                <c:ptCount val="1"/>
                <c:pt idx="0">
                  <c:v>SRT</c:v>
                </c:pt>
              </c:strCache>
            </c:strRef>
          </c:tx>
          <c:marker>
            <c:symbol val="none"/>
          </c:marker>
          <c:xVal>
            <c:numRef>
              <c:f>Лист1!$A$35:$A$59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Лист1!$E$35:$E$59</c:f>
              <c:numCache>
                <c:formatCode>General</c:formatCode>
                <c:ptCount val="25"/>
                <c:pt idx="0">
                  <c:v>6.1099999999999994</c:v>
                </c:pt>
                <c:pt idx="1">
                  <c:v>6.8199999999999994</c:v>
                </c:pt>
                <c:pt idx="2">
                  <c:v>6.54</c:v>
                </c:pt>
                <c:pt idx="3">
                  <c:v>7.49</c:v>
                </c:pt>
                <c:pt idx="4">
                  <c:v>5.46</c:v>
                </c:pt>
                <c:pt idx="5">
                  <c:v>6.37</c:v>
                </c:pt>
                <c:pt idx="6">
                  <c:v>6.67</c:v>
                </c:pt>
                <c:pt idx="7">
                  <c:v>7.7</c:v>
                </c:pt>
                <c:pt idx="8">
                  <c:v>6.56</c:v>
                </c:pt>
                <c:pt idx="9">
                  <c:v>5.83</c:v>
                </c:pt>
                <c:pt idx="10">
                  <c:v>8.41</c:v>
                </c:pt>
                <c:pt idx="11">
                  <c:v>6.74</c:v>
                </c:pt>
                <c:pt idx="12">
                  <c:v>6.42</c:v>
                </c:pt>
                <c:pt idx="13">
                  <c:v>6.05</c:v>
                </c:pt>
                <c:pt idx="14">
                  <c:v>6.68</c:v>
                </c:pt>
                <c:pt idx="15">
                  <c:v>7.31</c:v>
                </c:pt>
                <c:pt idx="16">
                  <c:v>6.72</c:v>
                </c:pt>
                <c:pt idx="17">
                  <c:v>5.6599999999999993</c:v>
                </c:pt>
                <c:pt idx="18">
                  <c:v>7.22</c:v>
                </c:pt>
                <c:pt idx="19">
                  <c:v>7.31</c:v>
                </c:pt>
                <c:pt idx="20">
                  <c:v>7.25</c:v>
                </c:pt>
                <c:pt idx="21">
                  <c:v>6.56</c:v>
                </c:pt>
                <c:pt idx="22">
                  <c:v>7.1599999999999993</c:v>
                </c:pt>
                <c:pt idx="23">
                  <c:v>7.54</c:v>
                </c:pt>
                <c:pt idx="24">
                  <c:v>6.09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Лист1!$F$34</c:f>
              <c:strCache>
                <c:ptCount val="1"/>
                <c:pt idx="0">
                  <c:v>HRRN</c:v>
                </c:pt>
              </c:strCache>
            </c:strRef>
          </c:tx>
          <c:marker>
            <c:symbol val="none"/>
          </c:marker>
          <c:xVal>
            <c:numRef>
              <c:f>Лист1!$A$35:$A$59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Лист1!$F$35:$F$59</c:f>
              <c:numCache>
                <c:formatCode>General</c:formatCode>
                <c:ptCount val="25"/>
                <c:pt idx="0">
                  <c:v>11.5</c:v>
                </c:pt>
                <c:pt idx="1">
                  <c:v>9.26</c:v>
                </c:pt>
                <c:pt idx="2">
                  <c:v>8.8600000000000012</c:v>
                </c:pt>
                <c:pt idx="3">
                  <c:v>9.82</c:v>
                </c:pt>
                <c:pt idx="4">
                  <c:v>7.6599999999999993</c:v>
                </c:pt>
                <c:pt idx="5">
                  <c:v>8.49</c:v>
                </c:pt>
                <c:pt idx="6">
                  <c:v>9</c:v>
                </c:pt>
                <c:pt idx="7">
                  <c:v>10.66</c:v>
                </c:pt>
                <c:pt idx="8">
                  <c:v>8.4500000000000011</c:v>
                </c:pt>
                <c:pt idx="9">
                  <c:v>7.6599999999999993</c:v>
                </c:pt>
                <c:pt idx="10">
                  <c:v>10.210000000000001</c:v>
                </c:pt>
                <c:pt idx="11">
                  <c:v>8.7399999999999984</c:v>
                </c:pt>
                <c:pt idx="12">
                  <c:v>7.73</c:v>
                </c:pt>
                <c:pt idx="13">
                  <c:v>7.7700000000000005</c:v>
                </c:pt>
                <c:pt idx="14">
                  <c:v>9.3000000000000007</c:v>
                </c:pt>
                <c:pt idx="15">
                  <c:v>8.93</c:v>
                </c:pt>
                <c:pt idx="16">
                  <c:v>8.3000000000000007</c:v>
                </c:pt>
                <c:pt idx="17">
                  <c:v>7.41</c:v>
                </c:pt>
                <c:pt idx="18">
                  <c:v>8.82</c:v>
                </c:pt>
                <c:pt idx="19">
                  <c:v>8.8500000000000014</c:v>
                </c:pt>
                <c:pt idx="20">
                  <c:v>8.32</c:v>
                </c:pt>
                <c:pt idx="21">
                  <c:v>8.41</c:v>
                </c:pt>
                <c:pt idx="22">
                  <c:v>8.129999999999999</c:v>
                </c:pt>
                <c:pt idx="23">
                  <c:v>8.15</c:v>
                </c:pt>
                <c:pt idx="24">
                  <c:v>6.09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Лист1!$G$34</c:f>
              <c:strCache>
                <c:ptCount val="1"/>
                <c:pt idx="0">
                  <c:v>RR1</c:v>
                </c:pt>
              </c:strCache>
            </c:strRef>
          </c:tx>
          <c:marker>
            <c:symbol val="none"/>
          </c:marker>
          <c:xVal>
            <c:numRef>
              <c:f>Лист1!$A$35:$A$59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Лист1!$G$35:$G$59</c:f>
              <c:numCache>
                <c:formatCode>General</c:formatCode>
                <c:ptCount val="25"/>
                <c:pt idx="0">
                  <c:v>14.88</c:v>
                </c:pt>
                <c:pt idx="1">
                  <c:v>13.58</c:v>
                </c:pt>
                <c:pt idx="2">
                  <c:v>18.87</c:v>
                </c:pt>
                <c:pt idx="3">
                  <c:v>17.170000000000005</c:v>
                </c:pt>
                <c:pt idx="4">
                  <c:v>11.78</c:v>
                </c:pt>
                <c:pt idx="5">
                  <c:v>19.97</c:v>
                </c:pt>
                <c:pt idx="6">
                  <c:v>15.39</c:v>
                </c:pt>
                <c:pt idx="7">
                  <c:v>21.5</c:v>
                </c:pt>
                <c:pt idx="8">
                  <c:v>12.43</c:v>
                </c:pt>
                <c:pt idx="9">
                  <c:v>12.1</c:v>
                </c:pt>
                <c:pt idx="10">
                  <c:v>25.12</c:v>
                </c:pt>
                <c:pt idx="11">
                  <c:v>17.84</c:v>
                </c:pt>
                <c:pt idx="12">
                  <c:v>17.649999999999999</c:v>
                </c:pt>
                <c:pt idx="13">
                  <c:v>13.139999999999999</c:v>
                </c:pt>
                <c:pt idx="14">
                  <c:v>16.53</c:v>
                </c:pt>
                <c:pt idx="15">
                  <c:v>31.05</c:v>
                </c:pt>
                <c:pt idx="16">
                  <c:v>16.88</c:v>
                </c:pt>
                <c:pt idx="17">
                  <c:v>16.77</c:v>
                </c:pt>
                <c:pt idx="18">
                  <c:v>18.14</c:v>
                </c:pt>
                <c:pt idx="19">
                  <c:v>22.59</c:v>
                </c:pt>
                <c:pt idx="20">
                  <c:v>16.670000000000005</c:v>
                </c:pt>
                <c:pt idx="21">
                  <c:v>14.26</c:v>
                </c:pt>
                <c:pt idx="22">
                  <c:v>16.989999999999991</c:v>
                </c:pt>
                <c:pt idx="23">
                  <c:v>15.97</c:v>
                </c:pt>
                <c:pt idx="24">
                  <c:v>8.61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Лист1!$H$34</c:f>
              <c:strCache>
                <c:ptCount val="1"/>
                <c:pt idx="0">
                  <c:v>RR10</c:v>
                </c:pt>
              </c:strCache>
            </c:strRef>
          </c:tx>
          <c:marker>
            <c:symbol val="none"/>
          </c:marker>
          <c:xVal>
            <c:numRef>
              <c:f>Лист1!$A$35:$A$59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Лист1!$H$35:$H$59</c:f>
              <c:numCache>
                <c:formatCode>General</c:formatCode>
                <c:ptCount val="25"/>
                <c:pt idx="0">
                  <c:v>26.479999999999997</c:v>
                </c:pt>
                <c:pt idx="1">
                  <c:v>23.27</c:v>
                </c:pt>
                <c:pt idx="2">
                  <c:v>24.57</c:v>
                </c:pt>
                <c:pt idx="3">
                  <c:v>22.5</c:v>
                </c:pt>
                <c:pt idx="4">
                  <c:v>16.079999999999995</c:v>
                </c:pt>
                <c:pt idx="5">
                  <c:v>24.62</c:v>
                </c:pt>
                <c:pt idx="6">
                  <c:v>21.14</c:v>
                </c:pt>
                <c:pt idx="7">
                  <c:v>31.97</c:v>
                </c:pt>
                <c:pt idx="8">
                  <c:v>19.38</c:v>
                </c:pt>
                <c:pt idx="9">
                  <c:v>15.870000000000001</c:v>
                </c:pt>
                <c:pt idx="10">
                  <c:v>30.91</c:v>
                </c:pt>
                <c:pt idx="11">
                  <c:v>22.66</c:v>
                </c:pt>
                <c:pt idx="12">
                  <c:v>21.919999999999998</c:v>
                </c:pt>
                <c:pt idx="13">
                  <c:v>17.239999999999995</c:v>
                </c:pt>
                <c:pt idx="14">
                  <c:v>22.17</c:v>
                </c:pt>
                <c:pt idx="15">
                  <c:v>29.72</c:v>
                </c:pt>
                <c:pt idx="16">
                  <c:v>18.18</c:v>
                </c:pt>
                <c:pt idx="17">
                  <c:v>20.18</c:v>
                </c:pt>
                <c:pt idx="18">
                  <c:v>21.99</c:v>
                </c:pt>
                <c:pt idx="19">
                  <c:v>24.41</c:v>
                </c:pt>
                <c:pt idx="20">
                  <c:v>17.45</c:v>
                </c:pt>
                <c:pt idx="21">
                  <c:v>19.3</c:v>
                </c:pt>
                <c:pt idx="22">
                  <c:v>18.45</c:v>
                </c:pt>
                <c:pt idx="23">
                  <c:v>18.489999999999991</c:v>
                </c:pt>
                <c:pt idx="24">
                  <c:v>7.1899999999999995</c:v>
                </c:pt>
              </c:numCache>
            </c:numRef>
          </c:yVal>
          <c:smooth val="1"/>
        </c:ser>
        <c:ser>
          <c:idx val="7"/>
          <c:order val="7"/>
          <c:tx>
            <c:strRef>
              <c:f>Лист1!$I$34</c:f>
              <c:strCache>
                <c:ptCount val="1"/>
                <c:pt idx="0">
                  <c:v>RR100</c:v>
                </c:pt>
              </c:strCache>
            </c:strRef>
          </c:tx>
          <c:marker>
            <c:symbol val="none"/>
          </c:marker>
          <c:xVal>
            <c:numRef>
              <c:f>Лист1!$A$35:$A$59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Лист1!$I$35:$I$59</c:f>
              <c:numCache>
                <c:formatCode>General</c:formatCode>
                <c:ptCount val="25"/>
                <c:pt idx="0">
                  <c:v>43.24</c:v>
                </c:pt>
                <c:pt idx="1">
                  <c:v>33.480000000000004</c:v>
                </c:pt>
                <c:pt idx="2">
                  <c:v>41.760000000000005</c:v>
                </c:pt>
                <c:pt idx="3">
                  <c:v>31.67</c:v>
                </c:pt>
                <c:pt idx="4">
                  <c:v>18.739999999999995</c:v>
                </c:pt>
                <c:pt idx="5">
                  <c:v>28.86</c:v>
                </c:pt>
                <c:pt idx="6">
                  <c:v>29.610000000000003</c:v>
                </c:pt>
                <c:pt idx="7">
                  <c:v>40.06</c:v>
                </c:pt>
                <c:pt idx="8">
                  <c:v>30.89</c:v>
                </c:pt>
                <c:pt idx="9">
                  <c:v>24.67</c:v>
                </c:pt>
                <c:pt idx="10">
                  <c:v>40.660000000000004</c:v>
                </c:pt>
                <c:pt idx="11">
                  <c:v>31.57</c:v>
                </c:pt>
                <c:pt idx="12">
                  <c:v>24.41</c:v>
                </c:pt>
                <c:pt idx="13">
                  <c:v>22.88</c:v>
                </c:pt>
                <c:pt idx="14">
                  <c:v>21.09</c:v>
                </c:pt>
                <c:pt idx="15">
                  <c:v>33.370000000000005</c:v>
                </c:pt>
                <c:pt idx="16">
                  <c:v>22.45</c:v>
                </c:pt>
                <c:pt idx="17">
                  <c:v>25.79</c:v>
                </c:pt>
                <c:pt idx="18">
                  <c:v>24.6</c:v>
                </c:pt>
                <c:pt idx="19">
                  <c:v>22.29</c:v>
                </c:pt>
                <c:pt idx="20">
                  <c:v>20.93</c:v>
                </c:pt>
                <c:pt idx="21">
                  <c:v>19.34</c:v>
                </c:pt>
                <c:pt idx="22">
                  <c:v>17.439999999999998</c:v>
                </c:pt>
                <c:pt idx="23">
                  <c:v>19.809999999999999</c:v>
                </c:pt>
                <c:pt idx="24">
                  <c:v>6.98</c:v>
                </c:pt>
              </c:numCache>
            </c:numRef>
          </c:yVal>
          <c:smooth val="1"/>
        </c:ser>
        <c:ser>
          <c:idx val="8"/>
          <c:order val="8"/>
          <c:tx>
            <c:strRef>
              <c:f>Лист1!$J$34</c:f>
              <c:strCache>
                <c:ptCount val="1"/>
                <c:pt idx="0">
                  <c:v>RR1000</c:v>
                </c:pt>
              </c:strCache>
            </c:strRef>
          </c:tx>
          <c:marker>
            <c:symbol val="none"/>
          </c:marker>
          <c:xVal>
            <c:numRef>
              <c:f>Лист1!$A$35:$A$59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Лист1!$J$35:$J$59</c:f>
              <c:numCache>
                <c:formatCode>General</c:formatCode>
                <c:ptCount val="25"/>
                <c:pt idx="0">
                  <c:v>64.709999999999994</c:v>
                </c:pt>
                <c:pt idx="1">
                  <c:v>38.04</c:v>
                </c:pt>
                <c:pt idx="2">
                  <c:v>36.5</c:v>
                </c:pt>
                <c:pt idx="3">
                  <c:v>26.69</c:v>
                </c:pt>
                <c:pt idx="4">
                  <c:v>22.9</c:v>
                </c:pt>
                <c:pt idx="5">
                  <c:v>34.090000000000003</c:v>
                </c:pt>
                <c:pt idx="6">
                  <c:v>33.58</c:v>
                </c:pt>
                <c:pt idx="7">
                  <c:v>37.17</c:v>
                </c:pt>
                <c:pt idx="8">
                  <c:v>23.74</c:v>
                </c:pt>
                <c:pt idx="9">
                  <c:v>18.649999999999999</c:v>
                </c:pt>
                <c:pt idx="10">
                  <c:v>35.17</c:v>
                </c:pt>
                <c:pt idx="11">
                  <c:v>28.74</c:v>
                </c:pt>
                <c:pt idx="12">
                  <c:v>24.330000000000002</c:v>
                </c:pt>
                <c:pt idx="13">
                  <c:v>17.959999999999997</c:v>
                </c:pt>
                <c:pt idx="14">
                  <c:v>19.850000000000001</c:v>
                </c:pt>
                <c:pt idx="15">
                  <c:v>31.610000000000003</c:v>
                </c:pt>
                <c:pt idx="16">
                  <c:v>20</c:v>
                </c:pt>
                <c:pt idx="17">
                  <c:v>22.37</c:v>
                </c:pt>
                <c:pt idx="18">
                  <c:v>20.479999999999997</c:v>
                </c:pt>
                <c:pt idx="19">
                  <c:v>20.88</c:v>
                </c:pt>
                <c:pt idx="20">
                  <c:v>16.8</c:v>
                </c:pt>
                <c:pt idx="21">
                  <c:v>14.48</c:v>
                </c:pt>
                <c:pt idx="22">
                  <c:v>15.350000000000001</c:v>
                </c:pt>
                <c:pt idx="23">
                  <c:v>15.2</c:v>
                </c:pt>
                <c:pt idx="24">
                  <c:v>5.8</c:v>
                </c:pt>
              </c:numCache>
            </c:numRef>
          </c:yVal>
          <c:smooth val="1"/>
        </c:ser>
        <c:ser>
          <c:idx val="9"/>
          <c:order val="9"/>
          <c:tx>
            <c:strRef>
              <c:f>Лист1!$K$34</c:f>
              <c:strCache>
                <c:ptCount val="1"/>
                <c:pt idx="0">
                  <c:v>RR10000</c:v>
                </c:pt>
              </c:strCache>
            </c:strRef>
          </c:tx>
          <c:marker>
            <c:symbol val="none"/>
          </c:marker>
          <c:xVal>
            <c:numRef>
              <c:f>Лист1!$A$35:$A$59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Лист1!$K$35:$K$59</c:f>
              <c:numCache>
                <c:formatCode>General</c:formatCode>
                <c:ptCount val="25"/>
                <c:pt idx="0">
                  <c:v>84.940000000000012</c:v>
                </c:pt>
                <c:pt idx="1">
                  <c:v>33.33</c:v>
                </c:pt>
                <c:pt idx="2">
                  <c:v>45.4</c:v>
                </c:pt>
                <c:pt idx="3">
                  <c:v>24.650000000000002</c:v>
                </c:pt>
                <c:pt idx="4">
                  <c:v>17.959999999999997</c:v>
                </c:pt>
                <c:pt idx="5">
                  <c:v>22.87</c:v>
                </c:pt>
                <c:pt idx="6">
                  <c:v>23.72</c:v>
                </c:pt>
                <c:pt idx="7">
                  <c:v>31.1</c:v>
                </c:pt>
                <c:pt idx="8">
                  <c:v>24.01</c:v>
                </c:pt>
                <c:pt idx="9">
                  <c:v>22.150000000000002</c:v>
                </c:pt>
                <c:pt idx="10">
                  <c:v>26.93</c:v>
                </c:pt>
                <c:pt idx="11">
                  <c:v>19.36</c:v>
                </c:pt>
                <c:pt idx="12">
                  <c:v>15.05</c:v>
                </c:pt>
                <c:pt idx="13">
                  <c:v>12.61</c:v>
                </c:pt>
                <c:pt idx="14">
                  <c:v>16.32</c:v>
                </c:pt>
                <c:pt idx="15">
                  <c:v>16.3</c:v>
                </c:pt>
                <c:pt idx="16">
                  <c:v>14.9</c:v>
                </c:pt>
                <c:pt idx="17">
                  <c:v>14.78</c:v>
                </c:pt>
                <c:pt idx="18">
                  <c:v>15.28</c:v>
                </c:pt>
                <c:pt idx="19">
                  <c:v>14.33</c:v>
                </c:pt>
                <c:pt idx="20">
                  <c:v>12.04</c:v>
                </c:pt>
                <c:pt idx="21">
                  <c:v>12.66</c:v>
                </c:pt>
                <c:pt idx="22">
                  <c:v>11.11</c:v>
                </c:pt>
                <c:pt idx="23">
                  <c:v>9.8600000000000012</c:v>
                </c:pt>
                <c:pt idx="24">
                  <c:v>5.64</c:v>
                </c:pt>
              </c:numCache>
            </c:numRef>
          </c:yVal>
          <c:smooth val="1"/>
        </c:ser>
        <c:axId val="92640768"/>
        <c:axId val="92642688"/>
      </c:scatterChart>
      <c:valAx>
        <c:axId val="926407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Groups</a:t>
                </a:r>
                <a:endParaRPr lang="bg-BG"/>
              </a:p>
            </c:rich>
          </c:tx>
        </c:title>
        <c:numFmt formatCode="General" sourceLinked="1"/>
        <c:tickLblPos val="nextTo"/>
        <c:crossAx val="92642688"/>
        <c:crosses val="autoZero"/>
        <c:crossBetween val="midCat"/>
      </c:valAx>
      <c:valAx>
        <c:axId val="9264268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Quotient</a:t>
                </a:r>
                <a:endParaRPr lang="bg-BG"/>
              </a:p>
            </c:rich>
          </c:tx>
        </c:title>
        <c:numFmt formatCode="General" sourceLinked="1"/>
        <c:tickLblPos val="nextTo"/>
        <c:crossAx val="9264076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Sed03</b:Tag>
    <b:SourceType>Book</b:SourceType>
    <b:Guid>{D7CD6A01-E880-49A2-AE14-AFD9C414CBBB}</b:Guid>
    <b:Author>
      <b:Author>
        <b:NameList>
          <b:Person>
            <b:Last>Sedgewick</b:Last>
            <b:First>Robert</b:First>
          </b:Person>
        </b:NameList>
      </b:Author>
    </b:Author>
    <b:Title>Algorithms in Java </b:Title>
    <b:Year>2003</b:Year>
    <b:City>Boston</b:City>
    <b:Publisher>Pearson Education, Inc.</b:Publisher>
    <b:Volume>1-4</b:Volume>
    <b:Edition>3rd</b:Edition>
    <b:RefOrder>1</b:RefOrder>
  </b:Source>
  <b:Source>
    <b:Tag>14Oc</b:Tag>
    <b:SourceType>InternetSite</b:SourceType>
    <b:Guid>{E5C240C1-79F3-4DE6-98E0-BB51C6128D62}</b:Guid>
    <b:URL>http://stackoverflow.com/questions/24594112/when-will-the-worst-case-of-merge-sort-occur</b:URL>
    <b:YearAccessed>2014</b:YearAccessed>
    <b:MonthAccessed>October</b:MonthAccessed>
    <b:DayAccessed>28</b:DayAccessed>
    <b:Title>stackoverflow.com</b:Title>
    <b:RefOrder>2</b:RefOrder>
  </b:Source>
  <b:Source>
    <b:Tag>Sed14</b:Tag>
    <b:SourceType>InternetSite</b:SourceType>
    <b:Guid>{B475B998-34A2-413C-B1F7-A7BAD921BFEE}</b:Guid>
    <b:Author>
      <b:Author>
        <b:NameList>
          <b:Person>
            <b:Last>Sedgewick</b:Last>
            <b:First>Robert</b:First>
          </b:Person>
          <b:Person>
            <b:Last>Wayne</b:Last>
            <b:First>Kevin</b:First>
          </b:Person>
        </b:NameList>
      </b:Author>
    </b:Author>
    <b:Title>Java Algorithms and Clients</b:Title>
    <b:Year>2014</b:Year>
    <b:Month>October</b:Month>
    <b:Day>20</b:Day>
    <b:URL>http://algs4.cs.princeton.edu/code/</b:URL>
    <b:RefOrder>3</b:RefOrder>
  </b:Source>
</b:Sources>
</file>

<file path=customXml/itemProps1.xml><?xml version="1.0" encoding="utf-8"?>
<ds:datastoreItem xmlns:ds="http://schemas.openxmlformats.org/officeDocument/2006/customXml" ds:itemID="{DDD4BF2D-7195-4AD2-8AB0-3710BBCD5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Algorithms and Data Structures</vt:lpstr>
      <vt:lpstr>Algorithms and Data Structures</vt:lpstr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and Data Structures</dc:title>
  <dc:subject>Report Lab 2, Problem 4</dc:subject>
  <dc:creator>Adriana Bostandzhieva 2169794</dc:creator>
  <cp:lastModifiedBy>user</cp:lastModifiedBy>
  <cp:revision>27</cp:revision>
  <cp:lastPrinted>2016-06-18T14:58:00Z</cp:lastPrinted>
  <dcterms:created xsi:type="dcterms:W3CDTF">2014-10-28T20:41:00Z</dcterms:created>
  <dcterms:modified xsi:type="dcterms:W3CDTF">2016-06-18T14:59:00Z</dcterms:modified>
</cp:coreProperties>
</file>