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20" w:lineRule="exact" w:after="200"/>
      </w:pPr>
      <w:r>
        <w:rPr>
          <w:b/>
          <w:color w:val="536772"/>
          <w:sz w:val="16"/>
        </w:rPr>
        <w:t>USHIKA SECOND BRAIN</w:t>
      </w:r>
    </w:p>
    <w:p>
      <w:pPr>
        <w:pStyle w:val="Title"/>
      </w:pPr>
      <w:r>
        <w:rPr/>
        <w:t>What USHIKA needs.</w:t>
      </w:r>
      <w:r>
        <w:br/>
      </w:r>
      <w:r>
        <w:rPr/>
        <w:t>Our assessment.</w:t>
      </w:r>
      <w:r>
        <w:br/>
      </w:r>
      <w:r>
        <w:rPr/>
        <w:t>The recommended first step.</w:t>
      </w:r>
    </w:p>
    <w:p>
      <w:pPr/>
      <w:r>
        <w:rPr/>
        <w:t>Business and delivery perspective for LKT Solutions Pvt. Ltd.</w:t>
      </w:r>
    </w:p>
    <w:p>
      <w:pPr>
        <w:spacing w:line="220" w:lineRule="exact" w:after="200"/>
      </w:pPr>
      <w:r>
        <w:rPr>
          <w:b w:val="0"/>
          <w:color w:val="536772"/>
          <w:sz w:val="16"/>
        </w:rPr>
        <w:t>Discussion brief  /  13 September 2026</w:t>
      </w:r>
    </w:p>
    <w:p>
      <w:pPr>
        <w:spacing w:before="160" w:after="240" w:line="360" w:lineRule="exact"/>
      </w:pPr>
      <w:r>
        <w:rPr>
          <w:b/>
          <w:sz w:val="26"/>
        </w:rPr>
        <w:t>Our recommendation: establish one reliable operating foundation, then add intelligence as the evidence and team adoption improve.</w:t>
      </w:r>
    </w:p>
    <w:p>
      <w:pPr>
        <w:pStyle w:val="Heading2"/>
      </w:pPr>
      <w:r>
        <w:rPr/>
        <w:t>Our understanding of the need</w:t>
      </w:r>
    </w:p>
    <w:p>
      <w:pPr/>
      <w:r>
        <w:rPr/>
        <w:t>The blueprint describes a business whose most important judgement sits with its founder. USHIKA wants to preserve that knowledge, help employees handle cases more consistently and keep the founder involved in the decisions that matter. The underlying need is organisational continuity with clear ownership and control.</w:t>
      </w:r>
    </w:p>
    <w:p>
      <w:pPr>
        <w:pStyle w:val="Heading2"/>
      </w:pPr>
      <w:r>
        <w:rPr/>
        <w:t>Our take</w:t>
      </w:r>
    </w:p>
    <w:p>
      <w:pPr/>
      <w:r>
        <w:rPr/>
        <w:t>The direction is sound. The strongest near-term value is in connected case records, document readiness, decision reasons and focused escalation. We recommend delivering these together in one defined financing workflow before expanding into predictive scoring, autonomous calling or a group-wide platform.</w:t>
      </w:r>
    </w:p>
    <w:p>
      <w:pPr>
        <w:pStyle w:val="Heading2"/>
      </w:pPr>
      <w:r>
        <w:rPr/>
        <w:t>The decision we recommend now</w:t>
      </w:r>
    </w:p>
    <w:p>
      <w:pPr/>
      <w:r>
        <w:rPr/>
        <w:t>Agree a discovery and pilot scope. Use representative historical cases and a controlled live workflow to establish what the system must do, how the team will use it and what evidence will justify expansion.</w:t>
      </w:r>
    </w:p>
    <w:p>
      <w:pPr>
        <w:spacing w:line="220" w:lineRule="exact" w:after="200"/>
      </w:pPr>
      <w:r>
        <w:rPr>
          <w:b/>
          <w:color w:val="536772"/>
          <w:sz w:val="16"/>
        </w:rPr>
        <w:t>Basis and status.</w:t>
      </w:r>
      <w:r>
        <w:rPr>
          <w:b w:val="0"/>
          <w:color w:val="536772"/>
          <w:sz w:val="16"/>
        </w:rPr>
        <w:t xml:space="preserve"> This is our interpretation of the two supplied USHIKA PDFs, not a completed operational or technical audit. Recommendations in this brief are proposed for discussion. Scope, pricing, schedule and performance targets remain to be agreed.</w:t>
      </w:r>
    </w:p>
    <w:p>
      <w:pPr>
        <w:spacing w:line="220" w:lineRule="exact" w:after="200"/>
      </w:pPr>
      <w:r>
        <w:rPr>
          <w:b w:val="0"/>
          <w:color w:val="536772"/>
          <w:sz w:val="16"/>
        </w:rPr>
        <w:t>Blueprint basis: English translation, pp. 2-4, 11-16. The original and translation describe an intended future platform.</w:t>
      </w:r>
    </w:p>
    <w:p>
      <w:r>
        <w:br w:type="page"/>
      </w:r>
    </w:p>
    <w:p>
      <w:pPr>
        <w:spacing w:line="220" w:lineRule="exact" w:after="200"/>
      </w:pPr>
      <w:r>
        <w:rPr>
          <w:b/>
          <w:color w:val="536772"/>
          <w:sz w:val="16"/>
        </w:rPr>
        <w:t>01  /  CLIENT NEEDS</w:t>
      </w:r>
    </w:p>
    <w:p>
      <w:pPr>
        <w:pStyle w:val="Heading1"/>
      </w:pPr>
      <w:r>
        <w:rPr/>
        <w:t>What the founder needs in practice</w:t>
      </w:r>
    </w:p>
    <w:p>
      <w:pPr/>
      <w:r>
        <w:rPr/>
        <w:t>Our reading of the blueprint is that six operating needs should drive the product. These outcomes provide a clearer starting point for delivery than treating every proposed module as a separate project.</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6860"/>
      </w:tblGrid>
      <w:tr>
        <w:trPr>
          <w:cantSplit/>
          <w:tblHeader/>
        </w:trPr>
        <w:tc>
          <w:tcPr>
            <w:tcW w:type="dxa" w:w="2640"/>
            <w:vAlign w:val="center"/>
            <w:shd w:fill="102C3B"/>
            <w:tcMar>
              <w:top w:w="100" w:type="dxa"/>
              <w:bottom w:w="100" w:type="dxa"/>
              <w:left w:w="130" w:type="dxa"/>
              <w:right w:w="130" w:type="dxa"/>
            </w:tcMar>
          </w:tcPr>
          <w:p>
            <w:pPr>
              <w:spacing w:after="0" w:line="250" w:lineRule="exact"/>
            </w:pPr>
            <w:r>
              <w:rPr>
                <w:b/>
                <w:color w:val="FFFFFF"/>
                <w:sz w:val="18"/>
              </w:rPr>
              <w:t>Need</w:t>
            </w:r>
          </w:p>
        </w:tc>
        <w:tc>
          <w:tcPr>
            <w:tcW w:type="dxa" w:w="6860"/>
            <w:vAlign w:val="center"/>
            <w:shd w:fill="102C3B"/>
            <w:tcMar>
              <w:top w:w="100" w:type="dxa"/>
              <w:bottom w:w="100" w:type="dxa"/>
              <w:left w:w="130" w:type="dxa"/>
              <w:right w:w="130" w:type="dxa"/>
            </w:tcMar>
          </w:tcPr>
          <w:p>
            <w:pPr>
              <w:spacing w:after="0" w:line="250" w:lineRule="exact"/>
            </w:pPr>
            <w:r>
              <w:rPr>
                <w:b/>
                <w:color w:val="FFFFFF"/>
                <w:sz w:val="18"/>
              </w:rPr>
              <w:t>What it should mean in daily work</w:t>
            </w:r>
          </w:p>
        </w:tc>
      </w:tr>
      <w:tr>
        <w:trPr>
          <w:cantSplit/>
        </w:trPr>
        <w:tc>
          <w:tcPr>
            <w:tcW w:type="dxa" w:w="2640"/>
            <w:vAlign w:val="center"/>
            <w:shd w:fill="FFFFFF"/>
            <w:tcMar>
              <w:top w:w="100" w:type="dxa"/>
              <w:bottom w:w="100" w:type="dxa"/>
              <w:left w:w="130" w:type="dxa"/>
              <w:right w:w="130" w:type="dxa"/>
            </w:tcMar>
          </w:tcPr>
          <w:p>
            <w:pPr>
              <w:spacing w:after="0" w:line="250" w:lineRule="exact"/>
            </w:pPr>
            <w:r>
              <w:rPr>
                <w:b/>
                <w:color w:val="102C3B"/>
                <w:sz w:val="18"/>
              </w:rPr>
              <w:t>One case history</w:t>
            </w:r>
          </w:p>
        </w:tc>
        <w:tc>
          <w:tcPr>
            <w:tcW w:type="dxa" w:w="6860"/>
            <w:vAlign w:val="center"/>
            <w:shd w:fill="FFFFFF"/>
            <w:tcMar>
              <w:top w:w="100" w:type="dxa"/>
              <w:bottom w:w="100" w:type="dxa"/>
              <w:left w:w="130" w:type="dxa"/>
              <w:right w:w="130" w:type="dxa"/>
            </w:tcMar>
          </w:tcPr>
          <w:p>
            <w:pPr>
              <w:spacing w:after="0" w:line="250" w:lineRule="exact"/>
            </w:pPr>
            <w:r>
              <w:rPr>
                <w:b w:val="0"/>
                <w:color w:val="102C3B"/>
                <w:sz w:val="18"/>
              </w:rPr>
              <w:t>A team member can find the client, financing requirement, documents, communications and lender applications without reconstructing the case from scattered messages.</w:t>
            </w:r>
          </w:p>
        </w:tc>
      </w:tr>
      <w:tr>
        <w:trPr>
          <w:cantSplit/>
        </w:trPr>
        <w:tc>
          <w:tcPr>
            <w:tcW w:type="dxa" w:w="2640"/>
            <w:vAlign w:val="center"/>
            <w:shd w:fill="F3F7F7"/>
            <w:tcMar>
              <w:top w:w="100" w:type="dxa"/>
              <w:bottom w:w="100" w:type="dxa"/>
              <w:left w:w="130" w:type="dxa"/>
              <w:right w:w="130" w:type="dxa"/>
            </w:tcMar>
          </w:tcPr>
          <w:p>
            <w:pPr>
              <w:spacing w:after="0" w:line="250" w:lineRule="exact"/>
            </w:pPr>
            <w:r>
              <w:rPr>
                <w:b/>
                <w:color w:val="102C3B"/>
                <w:sz w:val="18"/>
              </w:rPr>
              <w:t>Decision memory</w:t>
            </w:r>
          </w:p>
        </w:tc>
        <w:tc>
          <w:tcPr>
            <w:tcW w:type="dxa" w:w="6860"/>
            <w:vAlign w:val="center"/>
            <w:shd w:fill="F3F7F7"/>
            <w:tcMar>
              <w:top w:w="100" w:type="dxa"/>
              <w:bottom w:w="100" w:type="dxa"/>
              <w:left w:w="130" w:type="dxa"/>
              <w:right w:w="130" w:type="dxa"/>
            </w:tcMar>
          </w:tcPr>
          <w:p>
            <w:pPr>
              <w:spacing w:after="0" w:line="250" w:lineRule="exact"/>
            </w:pPr>
            <w:r>
              <w:rPr>
                <w:b w:val="0"/>
                <w:color w:val="102C3B"/>
                <w:sz w:val="18"/>
              </w:rPr>
              <w:t>A significant decision records the evidence, options, chosen approach, rejected alternatives and reason. The final outcome adds the lesson.</w:t>
            </w:r>
          </w:p>
        </w:tc>
      </w:tr>
      <w:tr>
        <w:trPr>
          <w:cantSplit/>
        </w:trPr>
        <w:tc>
          <w:tcPr>
            <w:tcW w:type="dxa" w:w="2640"/>
            <w:vAlign w:val="center"/>
            <w:shd w:fill="FFFFFF"/>
            <w:tcMar>
              <w:top w:w="100" w:type="dxa"/>
              <w:bottom w:w="100" w:type="dxa"/>
              <w:left w:w="130" w:type="dxa"/>
              <w:right w:w="130" w:type="dxa"/>
            </w:tcMar>
          </w:tcPr>
          <w:p>
            <w:pPr>
              <w:spacing w:after="0" w:line="250" w:lineRule="exact"/>
            </w:pPr>
            <w:r>
              <w:rPr>
                <w:b/>
                <w:color w:val="102C3B"/>
                <w:sz w:val="18"/>
              </w:rPr>
              <w:t>Execution discipline</w:t>
            </w:r>
          </w:p>
        </w:tc>
        <w:tc>
          <w:tcPr>
            <w:tcW w:type="dxa" w:w="6860"/>
            <w:vAlign w:val="center"/>
            <w:shd w:fill="FFFFFF"/>
            <w:tcMar>
              <w:top w:w="100" w:type="dxa"/>
              <w:bottom w:w="100" w:type="dxa"/>
              <w:left w:w="130" w:type="dxa"/>
              <w:right w:w="130" w:type="dxa"/>
            </w:tcMar>
          </w:tcPr>
          <w:p>
            <w:pPr>
              <w:spacing w:after="0" w:line="250" w:lineRule="exact"/>
            </w:pPr>
            <w:r>
              <w:rPr>
                <w:b w:val="0"/>
                <w:color w:val="102C3B"/>
                <w:sz w:val="18"/>
              </w:rPr>
              <w:t>Each active case has a stage, owner, next action and due date. Critical missing documents and unresolved queries are visible.</w:t>
            </w:r>
          </w:p>
        </w:tc>
      </w:tr>
      <w:tr>
        <w:trPr>
          <w:cantSplit/>
        </w:trPr>
        <w:tc>
          <w:tcPr>
            <w:tcW w:type="dxa" w:w="2640"/>
            <w:vAlign w:val="center"/>
            <w:shd w:fill="F3F7F7"/>
            <w:tcMar>
              <w:top w:w="100" w:type="dxa"/>
              <w:bottom w:w="100" w:type="dxa"/>
              <w:left w:w="130" w:type="dxa"/>
              <w:right w:w="130" w:type="dxa"/>
            </w:tcMar>
          </w:tcPr>
          <w:p>
            <w:pPr>
              <w:spacing w:after="0" w:line="250" w:lineRule="exact"/>
            </w:pPr>
            <w:r>
              <w:rPr>
                <w:b/>
                <w:color w:val="102C3B"/>
                <w:sz w:val="18"/>
              </w:rPr>
              <w:t>Focused founder attention</w:t>
            </w:r>
          </w:p>
        </w:tc>
        <w:tc>
          <w:tcPr>
            <w:tcW w:type="dxa" w:w="6860"/>
            <w:vAlign w:val="center"/>
            <w:shd w:fill="F3F7F7"/>
            <w:tcMar>
              <w:top w:w="100" w:type="dxa"/>
              <w:bottom w:w="100" w:type="dxa"/>
              <w:left w:w="130" w:type="dxa"/>
              <w:right w:w="130" w:type="dxa"/>
            </w:tcMar>
          </w:tcPr>
          <w:p>
            <w:pPr>
              <w:spacing w:after="0" w:line="250" w:lineRule="exact"/>
            </w:pPr>
            <w:r>
              <w:rPr>
                <w:b w:val="0"/>
                <w:color w:val="102C3B"/>
                <w:sz w:val="18"/>
              </w:rPr>
              <w:t>The founder sees exceptions that require judgement, with enough context to decide. Routine follow-up has an accountable team owner.</w:t>
            </w:r>
          </w:p>
        </w:tc>
      </w:tr>
      <w:tr>
        <w:trPr>
          <w:cantSplit/>
        </w:trPr>
        <w:tc>
          <w:tcPr>
            <w:tcW w:type="dxa" w:w="2640"/>
            <w:vAlign w:val="center"/>
            <w:shd w:fill="FFFFFF"/>
            <w:tcMar>
              <w:top w:w="100" w:type="dxa"/>
              <w:bottom w:w="100" w:type="dxa"/>
              <w:left w:w="130" w:type="dxa"/>
              <w:right w:w="130" w:type="dxa"/>
            </w:tcMar>
          </w:tcPr>
          <w:p>
            <w:pPr>
              <w:spacing w:after="0" w:line="250" w:lineRule="exact"/>
            </w:pPr>
            <w:r>
              <w:rPr>
                <w:b/>
                <w:color w:val="102C3B"/>
                <w:sz w:val="18"/>
              </w:rPr>
              <w:t>Reusable team knowledge</w:t>
            </w:r>
          </w:p>
        </w:tc>
        <w:tc>
          <w:tcPr>
            <w:tcW w:type="dxa" w:w="6860"/>
            <w:vAlign w:val="center"/>
            <w:shd w:fill="FFFFFF"/>
            <w:tcMar>
              <w:top w:w="100" w:type="dxa"/>
              <w:bottom w:w="100" w:type="dxa"/>
              <w:left w:w="130" w:type="dxa"/>
              <w:right w:w="130" w:type="dxa"/>
            </w:tcMar>
          </w:tcPr>
          <w:p>
            <w:pPr>
              <w:spacing w:after="0" w:line="250" w:lineRule="exact"/>
            </w:pPr>
            <w:r>
              <w:rPr>
                <w:b w:val="0"/>
                <w:color w:val="102C3B"/>
                <w:sz w:val="18"/>
              </w:rPr>
              <w:t>Approved corrections become searchable examples or procedures. New staff can learn from real cases and recurring mistakes.</w:t>
            </w:r>
          </w:p>
        </w:tc>
      </w:tr>
      <w:tr>
        <w:trPr>
          <w:cantSplit/>
        </w:trPr>
        <w:tc>
          <w:tcPr>
            <w:tcW w:type="dxa" w:w="2640"/>
            <w:vAlign w:val="center"/>
            <w:shd w:fill="F3F7F7"/>
            <w:tcMar>
              <w:top w:w="100" w:type="dxa"/>
              <w:bottom w:w="100" w:type="dxa"/>
              <w:left w:w="130" w:type="dxa"/>
              <w:right w:w="130" w:type="dxa"/>
            </w:tcMar>
          </w:tcPr>
          <w:p>
            <w:pPr>
              <w:spacing w:after="0" w:line="250" w:lineRule="exact"/>
            </w:pPr>
            <w:r>
              <w:rPr>
                <w:b/>
                <w:color w:val="102C3B"/>
                <w:sz w:val="18"/>
              </w:rPr>
              <w:t>Controlled access</w:t>
            </w:r>
          </w:p>
        </w:tc>
        <w:tc>
          <w:tcPr>
            <w:tcW w:type="dxa" w:w="6860"/>
            <w:vAlign w:val="center"/>
            <w:shd w:fill="F3F7F7"/>
            <w:tcMar>
              <w:top w:w="100" w:type="dxa"/>
              <w:bottom w:w="100" w:type="dxa"/>
              <w:left w:w="130" w:type="dxa"/>
              <w:right w:w="130" w:type="dxa"/>
            </w:tcMar>
          </w:tcPr>
          <w:p>
            <w:pPr>
              <w:spacing w:after="0" w:line="250" w:lineRule="exact"/>
            </w:pPr>
            <w:r>
              <w:rPr>
                <w:b w:val="0"/>
                <w:color w:val="102C3B"/>
                <w:sz w:val="18"/>
              </w:rPr>
              <w:t>Each person sees the information appropriate to their role and assigned work. AI assistance follows those same boundaries.</w:t>
            </w:r>
          </w:p>
        </w:tc>
      </w:tr>
    </w:tbl>
    <w:p>
      <w:pPr>
        <w:spacing w:after="0" w:line="100" w:lineRule="exact"/>
      </w:pPr>
      <w:r>
        <w:rPr>
          <w:sz w:val="10"/>
        </w:rPr>
      </w:r>
    </w:p>
    <w:p>
      <w:pPr>
        <w:pStyle w:val="Heading2"/>
      </w:pPr>
      <w:r>
        <w:rPr/>
        <w:t>The central requirement</w:t>
      </w:r>
    </w:p>
    <w:p>
      <w:pPr/>
      <w:r>
        <w:rPr/>
        <w:t>The platform should help the organisation act consistently when the founder is unavailable, while preserving the founder's authority over exceptions. That requires agreed responsibilities and decision rules alongside the software.</w:t>
      </w:r>
    </w:p>
    <w:p>
      <w:pPr>
        <w:pStyle w:val="Heading2"/>
      </w:pPr>
      <w:r>
        <w:rPr/>
        <w:t>What this means for growth</w:t>
      </w:r>
    </w:p>
    <w:p>
      <w:pPr/>
      <w:r>
        <w:rPr/>
        <w:t>Renewal reminders, lender comparisons and customer opportunities become more useful when the underlying records are complete and current. We would establish that foundation before promising an intelligent growth engine.</w:t>
      </w:r>
    </w:p>
    <w:p>
      <w:pPr>
        <w:spacing w:line="220" w:lineRule="exact" w:after="200"/>
      </w:pPr>
      <w:r>
        <w:rPr>
          <w:b w:val="0"/>
          <w:color w:val="536772"/>
          <w:sz w:val="16"/>
        </w:rPr>
        <w:t>Blueprint basis: English translation, pp. 4-5, 7-12 and 14-15. The six needs are our synthesis of the stated requirements.</w:t>
      </w:r>
    </w:p>
    <w:p>
      <w:r>
        <w:br w:type="page"/>
      </w:r>
    </w:p>
    <w:p>
      <w:pPr>
        <w:spacing w:line="220" w:lineRule="exact" w:after="200"/>
      </w:pPr>
      <w:r>
        <w:rPr>
          <w:b/>
          <w:color w:val="536772"/>
          <w:sz w:val="16"/>
        </w:rPr>
        <w:t>02  /  OUR ASSESSMENT</w:t>
      </w:r>
    </w:p>
    <w:p>
      <w:pPr>
        <w:pStyle w:val="Heading1"/>
      </w:pPr>
      <w:r>
        <w:rPr/>
        <w:t>What we support, and what we would change</w:t>
      </w:r>
    </w:p>
    <w:p>
      <w:pPr>
        <w:pStyle w:val="Heading2"/>
      </w:pPr>
      <w:r>
        <w:rPr/>
        <w:t>We support the emphasis on reasons and outcomes</w:t>
      </w:r>
    </w:p>
    <w:p>
      <w:pPr/>
      <w:r>
        <w:rPr/>
        <w:t>The most distinctive idea is capturing why a decision was made. A useful record should connect the founder's judgement to the actual evidence and later outcome. We would make this a core feature of the first release, with a short capture process that staff can sustain.</w:t>
      </w:r>
    </w:p>
    <w:p>
      <w:pPr>
        <w:pStyle w:val="Heading2"/>
      </w:pPr>
      <w:r>
        <w:rPr/>
        <w:t>We would build one shared foundation for the ten modules</w:t>
      </w:r>
    </w:p>
    <w:p>
      <w:pPr/>
      <w:r>
        <w:rPr/>
        <w:t>The ten "brains" are useful business categories. We would initially treat them as connected capabilities over shared client, case, document and decision records. Building ten independent systems would introduce unnecessary duplication and make consistent access and reporting harder to manage.</w:t>
      </w:r>
    </w:p>
    <w:p>
      <w:pPr>
        <w:pStyle w:val="Heading2"/>
      </w:pPr>
      <w:r>
        <w:rPr/>
        <w:t>We would define learning as a reviewed process</w:t>
      </w:r>
    </w:p>
    <w:p>
      <w:pPr/>
      <w:r>
        <w:rPr/>
        <w:t>Capturing a correction does not automatically make it a reliable rule. We recommend a draft, review, approval and version-history process for shared knowledge and standard operating procedures. A branch-specific exception should remain distinguishable from a general rule.</w:t>
      </w:r>
    </w:p>
    <w:p>
      <w:pPr>
        <w:pStyle w:val="Heading2"/>
      </w:pPr>
      <w:r>
        <w:rPr/>
        <w:t>We would make evidence visible before introducing scores</w:t>
      </w:r>
    </w:p>
    <w:p>
      <w:pPr/>
      <w:r>
        <w:rPr/>
        <w:t>The blueprint's case-health and lender-fit percentages are illustrative. We would initially show readiness checks, missing evidence and the reasons for a recommendation. Predictive percentages should follow only after the team defines the outcome, assembles suitable historical data and evaluates the method.</w:t>
      </w:r>
    </w:p>
    <w:p>
      <w:pPr>
        <w:pStyle w:val="Heading2"/>
      </w:pPr>
      <w:r>
        <w:rPr/>
        <w:t>We would separate published policy from local experience</w:t>
      </w:r>
    </w:p>
    <w:p>
      <w:pPr/>
      <w:r>
        <w:rPr/>
        <w:t>Both are valuable, but they serve different purposes. Lender information should carry its source, date, owner and applicable context. An observation about one branch should not silently become a lender-wide eligibility rule.</w:t>
      </w:r>
    </w:p>
    <w:p>
      <w:pPr>
        <w:pStyle w:val="Heading2"/>
      </w:pPr>
      <w:r>
        <w:rPr/>
        <w:t>We would design for daily use</w:t>
      </w:r>
    </w:p>
    <w:p>
      <w:pPr/>
      <w:r>
        <w:rPr/>
        <w:t>The system will only preserve knowledge if people keep it current. We recommend capturing decisions within the normal case workflow, limiting duplicate entry and assigning an operations owner to review record completeness and unresolved exceptions.</w:t>
      </w:r>
    </w:p>
    <w:p>
      <w:pPr>
        <w:spacing w:before="160" w:after="240" w:line="360" w:lineRule="exact"/>
      </w:pPr>
      <w:r>
        <w:rPr>
          <w:b/>
          <w:sz w:val="26"/>
        </w:rPr>
        <w:t>Our view: the key delivery challenge is making trustworthy knowledge part of everyday work. AI becomes useful when that foundation is dependable.</w:t>
      </w:r>
    </w:p>
    <w:p>
      <w:pPr>
        <w:spacing w:line="220" w:lineRule="exact" w:after="200"/>
      </w:pPr>
      <w:r>
        <w:rPr>
          <w:b w:val="0"/>
          <w:color w:val="536772"/>
          <w:sz w:val="16"/>
        </w:rPr>
        <w:t>Blueprint basis: English translation, pp. 4, 6-8 and 13-15. Implementation choices above are our recommendations, not established findings about the current business.</w:t>
      </w:r>
    </w:p>
    <w:p>
      <w:r>
        <w:br w:type="page"/>
      </w:r>
    </w:p>
    <w:p>
      <w:pPr>
        <w:spacing w:line="220" w:lineRule="exact" w:after="200"/>
      </w:pPr>
      <w:r>
        <w:rPr>
          <w:b/>
          <w:color w:val="536772"/>
          <w:sz w:val="16"/>
        </w:rPr>
        <w:t>03  /  FIRST RELEASE</w:t>
      </w:r>
    </w:p>
    <w:p>
      <w:pPr>
        <w:pStyle w:val="Heading1"/>
      </w:pPr>
      <w:r>
        <w:rPr/>
        <w:t>A focused pilot that proves daily value</w:t>
      </w:r>
    </w:p>
    <w:p>
      <w:pPr/>
      <w:r>
        <w:rPr/>
        <w:t>We recommend one agreed financing workflow, a limited pilot team and a representative mix of completed and active cases. Final case volume and document types should follow discovery.</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0"/>
        <w:gridCol w:w="6280"/>
      </w:tblGrid>
      <w:tr>
        <w:trPr>
          <w:cantSplit/>
          <w:tblHeader/>
        </w:trPr>
        <w:tc>
          <w:tcPr>
            <w:tcW w:type="dxa" w:w="3220"/>
            <w:vAlign w:val="center"/>
            <w:shd w:fill="102C3B"/>
            <w:tcMar>
              <w:top w:w="100" w:type="dxa"/>
              <w:bottom w:w="100" w:type="dxa"/>
              <w:left w:w="130" w:type="dxa"/>
              <w:right w:w="130" w:type="dxa"/>
            </w:tcMar>
          </w:tcPr>
          <w:p>
            <w:pPr>
              <w:spacing w:after="0" w:line="250" w:lineRule="exact"/>
            </w:pPr>
            <w:r>
              <w:rPr>
                <w:b/>
                <w:color w:val="FFFFFF"/>
                <w:sz w:val="18"/>
              </w:rPr>
              <w:t>Include in the pilot</w:t>
            </w:r>
          </w:p>
        </w:tc>
        <w:tc>
          <w:tcPr>
            <w:tcW w:type="dxa" w:w="6280"/>
            <w:vAlign w:val="center"/>
            <w:shd w:fill="102C3B"/>
            <w:tcMar>
              <w:top w:w="100" w:type="dxa"/>
              <w:bottom w:w="100" w:type="dxa"/>
              <w:left w:w="130" w:type="dxa"/>
              <w:right w:w="130" w:type="dxa"/>
            </w:tcMar>
          </w:tcPr>
          <w:p>
            <w:pPr>
              <w:spacing w:after="0" w:line="250" w:lineRule="exact"/>
            </w:pPr>
            <w:r>
              <w:rPr>
                <w:b/>
                <w:color w:val="FFFFFF"/>
                <w:sz w:val="18"/>
              </w:rPr>
              <w:t>Observable result</w:t>
            </w:r>
          </w:p>
        </w:tc>
      </w:tr>
      <w:tr>
        <w:trPr>
          <w:cantSplit/>
        </w:trPr>
        <w:tc>
          <w:tcPr>
            <w:tcW w:type="dxa" w:w="3220"/>
            <w:vAlign w:val="center"/>
            <w:shd w:fill="FFFFFF"/>
            <w:tcMar>
              <w:top w:w="100" w:type="dxa"/>
              <w:bottom w:w="100" w:type="dxa"/>
              <w:left w:w="130" w:type="dxa"/>
              <w:right w:w="130" w:type="dxa"/>
            </w:tcMar>
          </w:tcPr>
          <w:p>
            <w:pPr>
              <w:spacing w:after="0" w:line="250" w:lineRule="exact"/>
            </w:pPr>
            <w:r>
              <w:rPr>
                <w:b/>
                <w:color w:val="102C3B"/>
                <w:sz w:val="18"/>
              </w:rPr>
              <w:t>Client and case workspace</w:t>
            </w:r>
          </w:p>
        </w:tc>
        <w:tc>
          <w:tcPr>
            <w:tcW w:type="dxa" w:w="6280"/>
            <w:vAlign w:val="center"/>
            <w:shd w:fill="FFFFFF"/>
            <w:tcMar>
              <w:top w:w="100" w:type="dxa"/>
              <w:bottom w:w="100" w:type="dxa"/>
              <w:left w:w="130" w:type="dxa"/>
              <w:right w:w="130" w:type="dxa"/>
            </w:tcMar>
          </w:tcPr>
          <w:p>
            <w:pPr>
              <w:spacing w:after="0" w:line="250" w:lineRule="exact"/>
            </w:pPr>
            <w:r>
              <w:rPr>
                <w:b w:val="0"/>
                <w:color w:val="102C3B"/>
                <w:sz w:val="18"/>
              </w:rPr>
              <w:t>A consolidated case summary, history, stage, owner and next action.</w:t>
            </w:r>
          </w:p>
        </w:tc>
      </w:tr>
      <w:tr>
        <w:trPr>
          <w:cantSplit/>
        </w:trPr>
        <w:tc>
          <w:tcPr>
            <w:tcW w:type="dxa" w:w="3220"/>
            <w:vAlign w:val="center"/>
            <w:shd w:fill="F3F7F7"/>
            <w:tcMar>
              <w:top w:w="100" w:type="dxa"/>
              <w:bottom w:w="100" w:type="dxa"/>
              <w:left w:w="130" w:type="dxa"/>
              <w:right w:w="130" w:type="dxa"/>
            </w:tcMar>
          </w:tcPr>
          <w:p>
            <w:pPr>
              <w:spacing w:after="0" w:line="250" w:lineRule="exact"/>
            </w:pPr>
            <w:r>
              <w:rPr>
                <w:b/>
                <w:color w:val="102C3B"/>
                <w:sz w:val="18"/>
              </w:rPr>
              <w:t>Document readiness</w:t>
            </w:r>
          </w:p>
        </w:tc>
        <w:tc>
          <w:tcPr>
            <w:tcW w:type="dxa" w:w="6280"/>
            <w:vAlign w:val="center"/>
            <w:shd w:fill="F3F7F7"/>
            <w:tcMar>
              <w:top w:w="100" w:type="dxa"/>
              <w:bottom w:w="100" w:type="dxa"/>
              <w:left w:w="130" w:type="dxa"/>
              <w:right w:w="130" w:type="dxa"/>
            </w:tcMar>
          </w:tcPr>
          <w:p>
            <w:pPr>
              <w:spacing w:after="0" w:line="250" w:lineRule="exact"/>
            </w:pPr>
            <w:r>
              <w:rPr>
                <w:b w:val="0"/>
                <w:color w:val="102C3B"/>
                <w:sz w:val="18"/>
              </w:rPr>
              <w:t>An agreed checklist with received, pending and blocking items. Assisted extraction for selected document types, with human verification.</w:t>
            </w:r>
          </w:p>
        </w:tc>
      </w:tr>
      <w:tr>
        <w:trPr>
          <w:cantSplit/>
        </w:trPr>
        <w:tc>
          <w:tcPr>
            <w:tcW w:type="dxa" w:w="3220"/>
            <w:vAlign w:val="center"/>
            <w:shd w:fill="FFFFFF"/>
            <w:tcMar>
              <w:top w:w="100" w:type="dxa"/>
              <w:bottom w:w="100" w:type="dxa"/>
              <w:left w:w="130" w:type="dxa"/>
              <w:right w:w="130" w:type="dxa"/>
            </w:tcMar>
          </w:tcPr>
          <w:p>
            <w:pPr>
              <w:spacing w:after="0" w:line="250" w:lineRule="exact"/>
            </w:pPr>
            <w:r>
              <w:rPr>
                <w:b/>
                <w:color w:val="102C3B"/>
                <w:sz w:val="18"/>
              </w:rPr>
              <w:t>Decision log</w:t>
            </w:r>
          </w:p>
        </w:tc>
        <w:tc>
          <w:tcPr>
            <w:tcW w:type="dxa" w:w="6280"/>
            <w:vAlign w:val="center"/>
            <w:shd w:fill="FFFFFF"/>
            <w:tcMar>
              <w:top w:w="100" w:type="dxa"/>
              <w:bottom w:w="100" w:type="dxa"/>
              <w:left w:w="130" w:type="dxa"/>
              <w:right w:w="130" w:type="dxa"/>
            </w:tcMar>
          </w:tcPr>
          <w:p>
            <w:pPr>
              <w:spacing w:after="0" w:line="250" w:lineRule="exact"/>
            </w:pPr>
            <w:r>
              <w:rPr>
                <w:b w:val="0"/>
                <w:color w:val="102C3B"/>
                <w:sz w:val="18"/>
              </w:rPr>
              <w:t>The selected option, alternatives, reasons, supporting evidence and reviewer. An outcome and lesson when the case closes.</w:t>
            </w:r>
          </w:p>
        </w:tc>
      </w:tr>
      <w:tr>
        <w:trPr>
          <w:cantSplit/>
        </w:trPr>
        <w:tc>
          <w:tcPr>
            <w:tcW w:type="dxa" w:w="3220"/>
            <w:vAlign w:val="center"/>
            <w:shd w:fill="F3F7F7"/>
            <w:tcMar>
              <w:top w:w="100" w:type="dxa"/>
              <w:bottom w:w="100" w:type="dxa"/>
              <w:left w:w="130" w:type="dxa"/>
              <w:right w:w="130" w:type="dxa"/>
            </w:tcMar>
          </w:tcPr>
          <w:p>
            <w:pPr>
              <w:spacing w:after="0" w:line="250" w:lineRule="exact"/>
            </w:pPr>
            <w:r>
              <w:rPr>
                <w:b/>
                <w:color w:val="102C3B"/>
                <w:sz w:val="18"/>
              </w:rPr>
              <w:t>Founder exception view</w:t>
            </w:r>
          </w:p>
        </w:tc>
        <w:tc>
          <w:tcPr>
            <w:tcW w:type="dxa" w:w="6280"/>
            <w:vAlign w:val="center"/>
            <w:shd w:fill="F3F7F7"/>
            <w:tcMar>
              <w:top w:w="100" w:type="dxa"/>
              <w:bottom w:w="100" w:type="dxa"/>
              <w:left w:w="130" w:type="dxa"/>
              <w:right w:w="130" w:type="dxa"/>
            </w:tcMar>
          </w:tcPr>
          <w:p>
            <w:pPr>
              <w:spacing w:after="0" w:line="250" w:lineRule="exact"/>
            </w:pPr>
            <w:r>
              <w:rPr>
                <w:b w:val="0"/>
                <w:color w:val="102C3B"/>
                <w:sz w:val="18"/>
              </w:rPr>
              <w:t>A concise brief of blocked cases and decisions required, based on agreed escalation rules.</w:t>
            </w:r>
          </w:p>
        </w:tc>
      </w:tr>
      <w:tr>
        <w:trPr>
          <w:cantSplit/>
        </w:trPr>
        <w:tc>
          <w:tcPr>
            <w:tcW w:type="dxa" w:w="3220"/>
            <w:vAlign w:val="center"/>
            <w:shd w:fill="FFFFFF"/>
            <w:tcMar>
              <w:top w:w="100" w:type="dxa"/>
              <w:bottom w:w="100" w:type="dxa"/>
              <w:left w:w="130" w:type="dxa"/>
              <w:right w:w="130" w:type="dxa"/>
            </w:tcMar>
          </w:tcPr>
          <w:p>
            <w:pPr>
              <w:spacing w:after="0" w:line="250" w:lineRule="exact"/>
            </w:pPr>
            <w:r>
              <w:rPr>
                <w:b/>
                <w:color w:val="102C3B"/>
                <w:sz w:val="18"/>
              </w:rPr>
              <w:t>Approved knowledge</w:t>
            </w:r>
          </w:p>
        </w:tc>
        <w:tc>
          <w:tcPr>
            <w:tcW w:type="dxa" w:w="6280"/>
            <w:vAlign w:val="center"/>
            <w:shd w:fill="FFFFFF"/>
            <w:tcMar>
              <w:top w:w="100" w:type="dxa"/>
              <w:bottom w:w="100" w:type="dxa"/>
              <w:left w:w="130" w:type="dxa"/>
              <w:right w:w="130" w:type="dxa"/>
            </w:tcMar>
          </w:tcPr>
          <w:p>
            <w:pPr>
              <w:spacing w:after="0" w:line="250" w:lineRule="exact"/>
            </w:pPr>
            <w:r>
              <w:rPr>
                <w:b w:val="0"/>
                <w:color w:val="102C3B"/>
                <w:sz w:val="18"/>
              </w:rPr>
              <w:t>Searchable procedures and case lessons with references to the underlying record.</w:t>
            </w:r>
          </w:p>
        </w:tc>
      </w:tr>
      <w:tr>
        <w:trPr>
          <w:cantSplit/>
        </w:trPr>
        <w:tc>
          <w:tcPr>
            <w:tcW w:type="dxa" w:w="3220"/>
            <w:vAlign w:val="center"/>
            <w:shd w:fill="F3F7F7"/>
            <w:tcMar>
              <w:top w:w="100" w:type="dxa"/>
              <w:bottom w:w="100" w:type="dxa"/>
              <w:left w:w="130" w:type="dxa"/>
              <w:right w:w="130" w:type="dxa"/>
            </w:tcMar>
          </w:tcPr>
          <w:p>
            <w:pPr>
              <w:spacing w:after="0" w:line="250" w:lineRule="exact"/>
            </w:pPr>
            <w:r>
              <w:rPr>
                <w:b/>
                <w:color w:val="102C3B"/>
                <w:sz w:val="18"/>
              </w:rPr>
              <w:t>Access and traceability</w:t>
            </w:r>
          </w:p>
        </w:tc>
        <w:tc>
          <w:tcPr>
            <w:tcW w:type="dxa" w:w="6280"/>
            <w:vAlign w:val="center"/>
            <w:shd w:fill="F3F7F7"/>
            <w:tcMar>
              <w:top w:w="100" w:type="dxa"/>
              <w:bottom w:w="100" w:type="dxa"/>
              <w:left w:w="130" w:type="dxa"/>
              <w:right w:w="130" w:type="dxa"/>
            </w:tcMar>
          </w:tcPr>
          <w:p>
            <w:pPr>
              <w:spacing w:after="0" w:line="250" w:lineRule="exact"/>
            </w:pPr>
            <w:r>
              <w:rPr>
                <w:b w:val="0"/>
                <w:color w:val="102C3B"/>
                <w:sz w:val="18"/>
              </w:rPr>
              <w:t>Role and case permissions, a change history and an agreed backup process.</w:t>
            </w:r>
          </w:p>
        </w:tc>
      </w:tr>
    </w:tbl>
    <w:p>
      <w:pPr>
        <w:spacing w:after="0" w:line="100" w:lineRule="exact"/>
      </w:pPr>
      <w:r>
        <w:rPr>
          <w:sz w:val="10"/>
        </w:rPr>
      </w:r>
    </w:p>
    <w:p>
      <w:pPr>
        <w:pStyle w:val="Heading2"/>
      </w:pPr>
      <w:r>
        <w:rPr/>
        <w:t>Keep later capabilities outside the initial commitment</w:t>
      </w:r>
    </w:p>
    <w:p>
      <w:pPr/>
      <w:r>
        <w:rPr/>
        <w:t>Defer autonomous voice calling, broad lender/API integrations, automated sanction predictions, advanced team scoring, market-wide opportunity analysis and multi-brand expansion. Revisit each when the pilot identifies a clear use case and its dependencies are available.</w:t>
      </w:r>
    </w:p>
    <w:p>
      <w:pPr>
        <w:pStyle w:val="Heading2"/>
      </w:pPr>
      <w:r>
        <w:rPr/>
        <w:t>Illustrative pilot journey</w:t>
      </w:r>
    </w:p>
    <w:p>
      <w:pPr/>
      <w:r>
        <w:rPr/>
        <w:t>An executive opens a working-capital case. The workspace shows the required information and missing evidence. The executive prepares an assessment. The founder reviews an exception and records the reason for the decision. Operations follows the next action. The eventual lender outcome completes the learning record.</w:t>
      </w:r>
    </w:p>
    <w:p>
      <w:pPr>
        <w:pStyle w:val="Heading2"/>
      </w:pPr>
      <w:r>
        <w:rPr/>
        <w:t>What the pilot should establish</w:t>
      </w:r>
    </w:p>
    <w:p>
      <w:pPr/>
      <w:r>
        <w:rPr/>
        <w:t>Can the team progress the selected workflow with accurate records, fewer avoidable clarification requests and a clearer distinction between routine work and founder decisions? The pilot should produce evidence for that answer before a wider rollout.</w:t>
      </w:r>
    </w:p>
    <w:p>
      <w:pPr>
        <w:spacing w:line="220" w:lineRule="exact" w:after="200"/>
      </w:pPr>
      <w:r>
        <w:rPr>
          <w:b w:val="0"/>
          <w:color w:val="536772"/>
          <w:sz w:val="16"/>
        </w:rPr>
        <w:t>Blueprint basis: English translation, pp. 3-9, 11-15. Pilot scope and exclusions are proposed delivery boundaries.</w:t>
      </w:r>
    </w:p>
    <w:p>
      <w:r>
        <w:br w:type="page"/>
      </w:r>
    </w:p>
    <w:p>
      <w:pPr>
        <w:spacing w:line="220" w:lineRule="exact" w:after="200"/>
      </w:pPr>
      <w:r>
        <w:rPr>
          <w:b/>
          <w:color w:val="536772"/>
          <w:sz w:val="16"/>
        </w:rPr>
        <w:t>04  /  DELIVERY AND ALIGNMENT</w:t>
      </w:r>
    </w:p>
    <w:p>
      <w:pPr>
        <w:pStyle w:val="Heading1"/>
      </w:pPr>
      <w:r>
        <w:rPr/>
        <w:t>How we recommend moving forward</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20"/>
        <w:gridCol w:w="7080"/>
      </w:tblGrid>
      <w:tr>
        <w:trPr>
          <w:cantSplit/>
          <w:tblHeader/>
        </w:trPr>
        <w:tc>
          <w:tcPr>
            <w:tcW w:type="dxa" w:w="2420"/>
            <w:vAlign w:val="center"/>
            <w:shd w:fill="102C3B"/>
            <w:tcMar>
              <w:top w:w="100" w:type="dxa"/>
              <w:bottom w:w="100" w:type="dxa"/>
              <w:left w:w="130" w:type="dxa"/>
              <w:right w:w="130" w:type="dxa"/>
            </w:tcMar>
          </w:tcPr>
          <w:p>
            <w:pPr>
              <w:spacing w:after="0" w:line="250" w:lineRule="exact"/>
            </w:pPr>
            <w:r>
              <w:rPr>
                <w:b/>
                <w:color w:val="FFFFFF"/>
                <w:sz w:val="18"/>
              </w:rPr>
              <w:t>Step</w:t>
            </w:r>
          </w:p>
        </w:tc>
        <w:tc>
          <w:tcPr>
            <w:tcW w:type="dxa" w:w="7080"/>
            <w:vAlign w:val="center"/>
            <w:shd w:fill="102C3B"/>
            <w:tcMar>
              <w:top w:w="100" w:type="dxa"/>
              <w:bottom w:w="100" w:type="dxa"/>
              <w:left w:w="130" w:type="dxa"/>
              <w:right w:w="130" w:type="dxa"/>
            </w:tcMar>
          </w:tcPr>
          <w:p>
            <w:pPr>
              <w:spacing w:after="0" w:line="250" w:lineRule="exact"/>
            </w:pPr>
            <w:r>
              <w:rPr>
                <w:b/>
                <w:color w:val="FFFFFF"/>
                <w:sz w:val="18"/>
              </w:rPr>
              <w:t>What needs to be agreed or demonstrated</w:t>
            </w:r>
          </w:p>
        </w:tc>
      </w:tr>
      <w:tr>
        <w:trPr>
          <w:cantSplit/>
        </w:trPr>
        <w:tc>
          <w:tcPr>
            <w:tcW w:type="dxa" w:w="2420"/>
            <w:vAlign w:val="center"/>
            <w:shd w:fill="FFFFFF"/>
            <w:tcMar>
              <w:top w:w="100" w:type="dxa"/>
              <w:bottom w:w="100" w:type="dxa"/>
              <w:left w:w="130" w:type="dxa"/>
              <w:right w:w="130" w:type="dxa"/>
            </w:tcMar>
          </w:tcPr>
          <w:p>
            <w:pPr>
              <w:spacing w:after="0" w:line="250" w:lineRule="exact"/>
            </w:pPr>
            <w:r>
              <w:rPr>
                <w:b/>
                <w:color w:val="102C3B"/>
                <w:sz w:val="18"/>
              </w:rPr>
              <w:t>1. Discovery</w:t>
            </w:r>
          </w:p>
        </w:tc>
        <w:tc>
          <w:tcPr>
            <w:tcW w:type="dxa" w:w="7080"/>
            <w:vAlign w:val="center"/>
            <w:shd w:fill="FFFFFF"/>
            <w:tcMar>
              <w:top w:w="100" w:type="dxa"/>
              <w:bottom w:w="100" w:type="dxa"/>
              <w:left w:w="130" w:type="dxa"/>
              <w:right w:w="130" w:type="dxa"/>
            </w:tcMar>
          </w:tcPr>
          <w:p>
            <w:pPr>
              <w:spacing w:after="0" w:line="250" w:lineRule="exact"/>
            </w:pPr>
            <w:r>
              <w:rPr>
                <w:b w:val="0"/>
                <w:color w:val="102C3B"/>
                <w:sz w:val="18"/>
              </w:rPr>
              <w:t>Walk through actual cases. Confirm the existing workflow, systems, data quality, document formats, user roles and founder decision points.</w:t>
            </w:r>
          </w:p>
        </w:tc>
      </w:tr>
      <w:tr>
        <w:trPr>
          <w:cantSplit/>
        </w:trPr>
        <w:tc>
          <w:tcPr>
            <w:tcW w:type="dxa" w:w="2420"/>
            <w:vAlign w:val="center"/>
            <w:shd w:fill="F3F7F7"/>
            <w:tcMar>
              <w:top w:w="100" w:type="dxa"/>
              <w:bottom w:w="100" w:type="dxa"/>
              <w:left w:w="130" w:type="dxa"/>
              <w:right w:w="130" w:type="dxa"/>
            </w:tcMar>
          </w:tcPr>
          <w:p>
            <w:pPr>
              <w:spacing w:after="0" w:line="250" w:lineRule="exact"/>
            </w:pPr>
            <w:r>
              <w:rPr>
                <w:b/>
                <w:color w:val="102C3B"/>
                <w:sz w:val="18"/>
              </w:rPr>
              <w:t>2. Workflow prototype</w:t>
            </w:r>
          </w:p>
        </w:tc>
        <w:tc>
          <w:tcPr>
            <w:tcW w:type="dxa" w:w="7080"/>
            <w:vAlign w:val="center"/>
            <w:shd w:fill="F3F7F7"/>
            <w:tcMar>
              <w:top w:w="100" w:type="dxa"/>
              <w:bottom w:w="100" w:type="dxa"/>
              <w:left w:w="130" w:type="dxa"/>
              <w:right w:w="130" w:type="dxa"/>
            </w:tcMar>
          </w:tcPr>
          <w:p>
            <w:pPr>
              <w:spacing w:after="0" w:line="250" w:lineRule="exact"/>
            </w:pPr>
            <w:r>
              <w:rPr>
                <w:b w:val="0"/>
                <w:color w:val="102C3B"/>
                <w:sz w:val="18"/>
              </w:rPr>
              <w:t>Demonstrate the case journey, document checklist, decision record and exception view using representative examples. Confirm business ownership and approval boundaries.</w:t>
            </w:r>
          </w:p>
        </w:tc>
      </w:tr>
      <w:tr>
        <w:trPr>
          <w:cantSplit/>
        </w:trPr>
        <w:tc>
          <w:tcPr>
            <w:tcW w:type="dxa" w:w="2420"/>
            <w:vAlign w:val="center"/>
            <w:shd w:fill="FFFFFF"/>
            <w:tcMar>
              <w:top w:w="100" w:type="dxa"/>
              <w:bottom w:w="100" w:type="dxa"/>
              <w:left w:w="130" w:type="dxa"/>
              <w:right w:w="130" w:type="dxa"/>
            </w:tcMar>
          </w:tcPr>
          <w:p>
            <w:pPr>
              <w:spacing w:after="0" w:line="250" w:lineRule="exact"/>
            </w:pPr>
            <w:r>
              <w:rPr>
                <w:b/>
                <w:color w:val="102C3B"/>
                <w:sz w:val="18"/>
              </w:rPr>
              <w:t>3. Controlled pilot</w:t>
            </w:r>
          </w:p>
        </w:tc>
        <w:tc>
          <w:tcPr>
            <w:tcW w:type="dxa" w:w="7080"/>
            <w:vAlign w:val="center"/>
            <w:shd w:fill="FFFFFF"/>
            <w:tcMar>
              <w:top w:w="100" w:type="dxa"/>
              <w:bottom w:w="100" w:type="dxa"/>
              <w:left w:w="130" w:type="dxa"/>
              <w:right w:w="130" w:type="dxa"/>
            </w:tcMar>
          </w:tcPr>
          <w:p>
            <w:pPr>
              <w:spacing w:after="0" w:line="250" w:lineRule="exact"/>
            </w:pPr>
            <w:r>
              <w:rPr>
                <w:b w:val="0"/>
                <w:color w:val="102C3B"/>
                <w:sz w:val="18"/>
              </w:rPr>
              <w:t>Run the agreed scope with the pilot team. Review errors, missing information, adoption and founder interventions before expanding access.</w:t>
            </w:r>
          </w:p>
        </w:tc>
      </w:tr>
      <w:tr>
        <w:trPr>
          <w:cantSplit/>
        </w:trPr>
        <w:tc>
          <w:tcPr>
            <w:tcW w:type="dxa" w:w="2420"/>
            <w:vAlign w:val="center"/>
            <w:shd w:fill="F3F7F7"/>
            <w:tcMar>
              <w:top w:w="100" w:type="dxa"/>
              <w:bottom w:w="100" w:type="dxa"/>
              <w:left w:w="130" w:type="dxa"/>
              <w:right w:w="130" w:type="dxa"/>
            </w:tcMar>
          </w:tcPr>
          <w:p>
            <w:pPr>
              <w:spacing w:after="0" w:line="250" w:lineRule="exact"/>
            </w:pPr>
            <w:r>
              <w:rPr>
                <w:b/>
                <w:color w:val="102C3B"/>
                <w:sz w:val="18"/>
              </w:rPr>
              <w:t>4. Expansion decision</w:t>
            </w:r>
          </w:p>
        </w:tc>
        <w:tc>
          <w:tcPr>
            <w:tcW w:type="dxa" w:w="7080"/>
            <w:vAlign w:val="center"/>
            <w:shd w:fill="F3F7F7"/>
            <w:tcMar>
              <w:top w:w="100" w:type="dxa"/>
              <w:bottom w:w="100" w:type="dxa"/>
              <w:left w:w="130" w:type="dxa"/>
              <w:right w:w="130" w:type="dxa"/>
            </w:tcMar>
          </w:tcPr>
          <w:p>
            <w:pPr>
              <w:spacing w:after="0" w:line="250" w:lineRule="exact"/>
            </w:pPr>
            <w:r>
              <w:rPr>
                <w:b w:val="0"/>
                <w:color w:val="102C3B"/>
                <w:sz w:val="18"/>
              </w:rPr>
              <w:t>Compare results with the baseline. Agree which capabilities to refine, extend or defer. Define the next scope using the evidence collected.</w:t>
            </w:r>
          </w:p>
        </w:tc>
      </w:tr>
    </w:tbl>
    <w:p>
      <w:pPr>
        <w:spacing w:after="0" w:line="100" w:lineRule="exact"/>
      </w:pPr>
      <w:r>
        <w:rPr>
          <w:sz w:val="10"/>
        </w:rPr>
      </w:r>
    </w:p>
    <w:p>
      <w:pPr>
        <w:pStyle w:val="Heading2"/>
      </w:pPr>
      <w:r>
        <w:rPr/>
        <w:t>How we would evaluate success</w:t>
      </w:r>
    </w:p>
    <w:p>
      <w:pPr/>
      <w:r>
        <w:rPr/>
        <w:t>Agree definitions and a baseline for case-readiness time, missing-document queries, stage delays, founder interventions and decision-record completeness. Check extracted fields against source documents and test role permissions. Set acceptance thresholds with the client before the pilot begins.</w:t>
      </w:r>
    </w:p>
    <w:p>
      <w:pPr>
        <w:pStyle w:val="Heading2"/>
      </w:pPr>
      <w:r>
        <w:rPr/>
        <w:t>What we need from USHIKA</w:t>
      </w:r>
    </w:p>
    <w:p>
      <w:pPr/>
      <w:r>
        <w:rPr/>
        <w:t>An accountable business owner, access to the founder for decision examples, representative cases and documents, current procedures, a view of existing software and integrations, and a pilot team willing to use the agreed workflow. Confirm how data access, hosting, retention and external communications should be handled.</w:t>
      </w:r>
    </w:p>
    <w:p>
      <w:pPr>
        <w:pStyle w:val="Heading2"/>
      </w:pPr>
      <w:r>
        <w:rPr/>
        <w:t>What we should commit to after discovery</w:t>
      </w:r>
    </w:p>
    <w:p>
      <w:pPr/>
      <w:r>
        <w:rPr/>
        <w:t>A defined scope with deliverables, responsibilities, acceptance criteria, dependencies, exclusions, schedule and commercial terms. Any implementation estimate should distinguish the pilot from the longer-term vision. The source documents do not establish a budget or a committed delivery date.</w:t>
      </w:r>
    </w:p>
    <w:p>
      <w:pPr>
        <w:spacing w:before="160" w:after="240" w:line="360" w:lineRule="exact"/>
      </w:pPr>
      <w:r>
        <w:rPr>
          <w:b/>
          <w:sz w:val="26"/>
        </w:rPr>
        <w:t>Recommended next action: agree a discovery session around real cases and approve a pilot definition before committing to the full platform.</w:t>
      </w:r>
    </w:p>
    <w:p>
      <w:pPr>
        <w:spacing w:line="220" w:lineRule="exact" w:after="200"/>
      </w:pPr>
      <w:r>
        <w:rPr>
          <w:b/>
          <w:color w:val="536772"/>
          <w:sz w:val="16"/>
        </w:rPr>
        <w:t>Source documents:</w:t>
      </w:r>
      <w:r>
        <w:rPr>
          <w:b w:val="0"/>
          <w:color w:val="536772"/>
          <w:sz w:val="16"/>
        </w:rPr>
        <w:t xml:space="preserve"> USHIKA.pdf and USHIKA_SECOND_BRAIN_English_Translation.pdf, both 16 pages. Page references in this brief use the English translation. Both supplied files stop after the third item in a section titled "Five Principles". We have not inferred the missing items.</w:t>
      </w:r>
    </w:p>
    <w:sectPr w:rsidR="00FC693F" w:rsidRPr="0006063C" w:rsidSect="00034616">
      <w:footerReference w:type="default" r:id="rId9"/>
      <w:pgSz w:w="11906" w:h="16838"/>
      <w:pgMar w:top="1040" w:right="1200" w:bottom="960" w:left="1200" w:header="720" w:footer="4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00" w:val="left"/>
      </w:tabs>
    </w:pPr>
    <w:r>
      <w:rPr>
        <w:color w:val="536772"/>
        <w:sz w:val="16"/>
      </w:rPr>
      <w:t>USHIKA  /  Client needs and our assessment</w:t>
      <w:tab/>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0" w:lineRule="exact"/>
    </w:pPr>
    <w:rPr>
      <w:rFonts w:ascii="Arial" w:hAnsi="Arial"/>
      <w:color w:val="102C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Theme="majorHAnsi" w:eastAsiaTheme="majorEastAsia" w:hAnsiTheme="majorHAnsi" w:cstheme="majorBidi" w:ascii="Arial" w:hAnsi="Arial"/>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102C3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USHIKA Client Needs and Our Assessment</dc:title>
  <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