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31D3" w14:textId="29B68815" w:rsidR="0009492D" w:rsidRPr="0009492D" w:rsidRDefault="0009492D">
      <w:pPr>
        <w:jc w:val="center"/>
        <w:rPr>
          <w:rFonts w:ascii="Times New Roman" w:hAnsi="Times New Roman" w:cs="Times New Roman"/>
          <w:b/>
          <w:color w:val="1A365D"/>
          <w:sz w:val="32"/>
        </w:rPr>
      </w:pPr>
      <w:r w:rsidRPr="0009492D">
        <w:rPr>
          <w:rFonts w:ascii="Times New Roman" w:hAnsi="Times New Roman" w:cs="Times New Roman"/>
          <w:noProof/>
        </w:rPr>
        <w:drawing>
          <wp:inline distT="0" distB="0" distL="0" distR="0" wp14:anchorId="5A8F49B8" wp14:editId="460C0B9C">
            <wp:extent cx="5143500" cy="704850"/>
            <wp:effectExtent l="0" t="0" r="0" b="0"/>
            <wp:docPr id="24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206D" w14:textId="3B4153B6" w:rsidR="00CD408F" w:rsidRPr="0009492D" w:rsidRDefault="00000000">
      <w:pPr>
        <w:jc w:val="center"/>
        <w:rPr>
          <w:rFonts w:ascii="Times New Roman" w:hAnsi="Times New Roman" w:cs="Times New Roman"/>
        </w:rPr>
      </w:pPr>
      <w:r w:rsidRPr="0009492D">
        <w:rPr>
          <w:rFonts w:ascii="Times New Roman" w:hAnsi="Times New Roman" w:cs="Times New Roman"/>
          <w:b/>
          <w:color w:val="1A365D"/>
          <w:sz w:val="32"/>
        </w:rPr>
        <w:t>AMITY SCHOOL OF ENGINEERING &amp; TECHNOLOGY</w:t>
      </w:r>
    </w:p>
    <w:p w14:paraId="1FCBCE8A" w14:textId="77777777" w:rsidR="00CD408F" w:rsidRPr="0009492D" w:rsidRDefault="00000000">
      <w:pPr>
        <w:jc w:val="center"/>
        <w:rPr>
          <w:rFonts w:ascii="Times New Roman" w:hAnsi="Times New Roman" w:cs="Times New Roman"/>
        </w:rPr>
      </w:pPr>
      <w:r w:rsidRPr="0009492D">
        <w:rPr>
          <w:rFonts w:ascii="Times New Roman" w:hAnsi="Times New Roman" w:cs="Times New Roman"/>
          <w:b/>
          <w:color w:val="B91C1C"/>
          <w:sz w:val="28"/>
        </w:rPr>
        <w:t>PROJECT PROGRESS REPORT</w:t>
      </w:r>
    </w:p>
    <w:p w14:paraId="68BF4EE9" w14:textId="6C099744" w:rsidR="00CD408F" w:rsidRPr="0009492D" w:rsidRDefault="00000000">
      <w:pPr>
        <w:spacing w:after="240"/>
        <w:jc w:val="center"/>
        <w:rPr>
          <w:rFonts w:ascii="Times New Roman" w:hAnsi="Times New Roman" w:cs="Times New Roman"/>
        </w:rPr>
      </w:pPr>
      <w:r w:rsidRPr="0009492D">
        <w:rPr>
          <w:rFonts w:ascii="Times New Roman" w:hAnsi="Times New Roman" w:cs="Times New Roman"/>
          <w:b/>
        </w:rPr>
        <w:t>B. Tech (Computer Science and Engineering)</w:t>
      </w:r>
    </w:p>
    <w:p w14:paraId="0E432520" w14:textId="77777777" w:rsidR="00CD408F" w:rsidRPr="0009492D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sz w:val="24"/>
          <w:szCs w:val="24"/>
        </w:rPr>
        <w:t xml:space="preserve">Group No: </w:t>
      </w:r>
      <w:r w:rsidRPr="0009492D">
        <w:rPr>
          <w:rFonts w:ascii="Times New Roman" w:hAnsi="Times New Roman" w:cs="Times New Roman"/>
          <w:sz w:val="24"/>
          <w:szCs w:val="24"/>
        </w:rPr>
        <w:t>50</w:t>
      </w:r>
    </w:p>
    <w:p w14:paraId="40F4065B" w14:textId="77777777" w:rsidR="00CD408F" w:rsidRPr="0009492D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sz w:val="24"/>
          <w:szCs w:val="24"/>
        </w:rPr>
        <w:t xml:space="preserve">Project Title: </w:t>
      </w:r>
      <w:r w:rsidRPr="0009492D">
        <w:rPr>
          <w:rFonts w:ascii="Times New Roman" w:hAnsi="Times New Roman" w:cs="Times New Roman"/>
          <w:sz w:val="24"/>
          <w:szCs w:val="24"/>
        </w:rPr>
        <w:t>GuardShield AI: Real-Time Sidecar Proxy for LLM Hallucination Detection &amp; Prompt Injection Defense</w:t>
      </w:r>
    </w:p>
    <w:p w14:paraId="6CA4A0B4" w14:textId="77777777" w:rsidR="00CD408F" w:rsidRPr="0009492D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sz w:val="24"/>
          <w:szCs w:val="24"/>
        </w:rPr>
        <w:t xml:space="preserve">Area: </w:t>
      </w:r>
      <w:r w:rsidRPr="0009492D">
        <w:rPr>
          <w:rFonts w:ascii="Times New Roman" w:hAnsi="Times New Roman" w:cs="Times New Roman"/>
          <w:sz w:val="24"/>
          <w:szCs w:val="24"/>
        </w:rPr>
        <w:t>Generative AI &amp; AI Safety (Trustworthy AI / MLOps)</w:t>
      </w:r>
    </w:p>
    <w:p w14:paraId="02B61CD2" w14:textId="77777777" w:rsidR="00CD408F" w:rsidRPr="0009492D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sz w:val="24"/>
          <w:szCs w:val="24"/>
        </w:rPr>
        <w:t xml:space="preserve">Academic Session: </w:t>
      </w:r>
      <w:r w:rsidRPr="0009492D">
        <w:rPr>
          <w:rFonts w:ascii="Times New Roman" w:hAnsi="Times New Roman" w:cs="Times New Roman"/>
          <w:sz w:val="24"/>
          <w:szCs w:val="24"/>
        </w:rPr>
        <w:t>2026-2027</w:t>
      </w:r>
    </w:p>
    <w:p w14:paraId="1F7C487B" w14:textId="2320EA6B" w:rsidR="00CD408F" w:rsidRPr="0009492D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sz w:val="24"/>
          <w:szCs w:val="24"/>
        </w:rPr>
        <w:t xml:space="preserve">Project Guide: </w:t>
      </w:r>
      <w:r w:rsidRPr="0009492D">
        <w:rPr>
          <w:rFonts w:ascii="Times New Roman" w:hAnsi="Times New Roman" w:cs="Times New Roman"/>
          <w:sz w:val="24"/>
          <w:szCs w:val="24"/>
        </w:rPr>
        <w:t>Dr. Abhishek Kaushal</w:t>
      </w:r>
    </w:p>
    <w:p w14:paraId="7DF56642" w14:textId="77777777" w:rsidR="00CD408F" w:rsidRPr="0009492D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sz w:val="24"/>
          <w:szCs w:val="24"/>
        </w:rPr>
        <w:t>Details of Project Team: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D408F" w:rsidRPr="0009492D" w14:paraId="0CED2EE0" w14:textId="77777777">
        <w:trPr>
          <w:jc w:val="center"/>
        </w:trPr>
        <w:tc>
          <w:tcPr>
            <w:tcW w:w="4968" w:type="dxa"/>
            <w:gridSpan w:val="2"/>
            <w:shd w:val="clear" w:color="auto" w:fill="F1F5F9"/>
          </w:tcPr>
          <w:p w14:paraId="4A60DF12" w14:textId="2FA58411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sz w:val="24"/>
                <w:szCs w:val="24"/>
              </w:rPr>
              <w:t>Programme:- B.TECH CSE</w:t>
            </w:r>
          </w:p>
        </w:tc>
        <w:tc>
          <w:tcPr>
            <w:tcW w:w="4968" w:type="dxa"/>
            <w:gridSpan w:val="2"/>
            <w:shd w:val="clear" w:color="auto" w:fill="F1F5F9"/>
          </w:tcPr>
          <w:p w14:paraId="015AA15D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sz w:val="24"/>
                <w:szCs w:val="24"/>
              </w:rPr>
              <w:t>Year/Semester:- 4th Year / 7th Semester</w:t>
            </w:r>
          </w:p>
        </w:tc>
      </w:tr>
      <w:tr w:rsidR="00CD408F" w:rsidRPr="0009492D" w14:paraId="4CB8FD25" w14:textId="77777777">
        <w:trPr>
          <w:jc w:val="center"/>
        </w:trPr>
        <w:tc>
          <w:tcPr>
            <w:tcW w:w="2484" w:type="dxa"/>
            <w:shd w:val="clear" w:color="auto" w:fill="1E3A8A"/>
          </w:tcPr>
          <w:p w14:paraId="022C02CC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S. No.</w:t>
            </w:r>
          </w:p>
        </w:tc>
        <w:tc>
          <w:tcPr>
            <w:tcW w:w="2484" w:type="dxa"/>
            <w:shd w:val="clear" w:color="auto" w:fill="1E3A8A"/>
          </w:tcPr>
          <w:p w14:paraId="6D740CA8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Enrollment No.</w:t>
            </w:r>
          </w:p>
        </w:tc>
        <w:tc>
          <w:tcPr>
            <w:tcW w:w="2484" w:type="dxa"/>
            <w:shd w:val="clear" w:color="auto" w:fill="1E3A8A"/>
          </w:tcPr>
          <w:p w14:paraId="1816889A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2484" w:type="dxa"/>
            <w:shd w:val="clear" w:color="auto" w:fill="1E3A8A"/>
          </w:tcPr>
          <w:p w14:paraId="33833C9C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Signature</w:t>
            </w:r>
          </w:p>
        </w:tc>
      </w:tr>
      <w:tr w:rsidR="00CD408F" w:rsidRPr="0009492D" w14:paraId="1B8A84FB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4516D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4AC66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sz w:val="24"/>
                <w:szCs w:val="24"/>
              </w:rPr>
              <w:t>A2305223569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68AD0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sz w:val="24"/>
                <w:szCs w:val="24"/>
              </w:rPr>
              <w:t>Shourya Solanki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82B86" w14:textId="77777777" w:rsidR="00CD408F" w:rsidRPr="0009492D" w:rsidRDefault="00CD40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546AD9CC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C47BC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8B3C3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sz w:val="24"/>
                <w:szCs w:val="24"/>
              </w:rPr>
              <w:t>A2305223166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53016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sz w:val="24"/>
                <w:szCs w:val="24"/>
              </w:rPr>
              <w:t>Rachit Ryan Chug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27337" w14:textId="77777777" w:rsidR="00CD408F" w:rsidRPr="0009492D" w:rsidRDefault="00CD40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51E6FE30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58A1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ED316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sz w:val="24"/>
                <w:szCs w:val="24"/>
              </w:rPr>
              <w:t>A2305223191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4A81E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sz w:val="24"/>
                <w:szCs w:val="24"/>
              </w:rPr>
              <w:t>Dhruv Raj Singh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2586C" w14:textId="77777777" w:rsidR="00CD408F" w:rsidRPr="0009492D" w:rsidRDefault="00CD40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B25C98" w14:textId="77777777" w:rsidR="00CD408F" w:rsidRPr="0009492D" w:rsidRDefault="00CD408F">
      <w:pPr>
        <w:rPr>
          <w:rFonts w:ascii="Times New Roman" w:hAnsi="Times New Roman" w:cs="Times New Roman"/>
          <w:sz w:val="24"/>
          <w:szCs w:val="24"/>
        </w:rPr>
      </w:pPr>
    </w:p>
    <w:p w14:paraId="4696EEF0" w14:textId="77777777" w:rsidR="00CD408F" w:rsidRPr="0009492D" w:rsidRDefault="00000000">
      <w:pPr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color w:val="1A365D"/>
          <w:sz w:val="24"/>
          <w:szCs w:val="24"/>
        </w:rPr>
        <w:t>Paper Summary &amp; Literature Review:</w:t>
      </w:r>
    </w:p>
    <w:p w14:paraId="27593E1D" w14:textId="77777777" w:rsidR="00CD408F" w:rsidRPr="0009492D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color w:val="1A365D"/>
          <w:sz w:val="24"/>
          <w:szCs w:val="24"/>
        </w:rPr>
        <w:t>Introduction</w:t>
      </w:r>
    </w:p>
    <w:p w14:paraId="25B0989B" w14:textId="77777777" w:rsidR="00CD408F" w:rsidRPr="0009492D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As Generative Large Language Models (LLMs) like GPT-4, Claude 3.5, and Llama 3.1 are deployed into production enterprise applications (such as medical assistants, legal assistants, and banking chatbots), two critical vulnerabilities pose severe operational risks: (1) Adversarial Prompt Injections &amp; Jailbreaking attacks that trick LLMs into violating security policies or leaking confidential system prompts, and (2) Model Hallucinations where LLMs generate non-factual, unsupported assertions with high confidence.</w:t>
      </w:r>
      <w:r w:rsidRPr="0009492D">
        <w:rPr>
          <w:rFonts w:ascii="Times New Roman" w:hAnsi="Times New Roman" w:cs="Times New Roman"/>
          <w:color w:val="1E293B"/>
          <w:sz w:val="24"/>
          <w:szCs w:val="24"/>
        </w:rPr>
        <w:br/>
      </w:r>
      <w:r w:rsidRPr="0009492D">
        <w:rPr>
          <w:rFonts w:ascii="Times New Roman" w:hAnsi="Times New Roman" w:cs="Times New Roman"/>
          <w:color w:val="1E293B"/>
          <w:sz w:val="24"/>
          <w:szCs w:val="24"/>
        </w:rPr>
        <w:br/>
        <w:t>Existing commercial guardrails (e.g., Meta Llama-Guard-3 or offline NLI fact-checkers like SelfCheckGPT) suffer from severe latency bottlenecks, adding 1.5 to 3.0 seconds of delay per query or evaluating responses only after full text generation completes—making real-time streaming user experiences unfeasible. To address these fundamental limitations, GuardShield AI introduces a high-</w:t>
      </w:r>
      <w:r w:rsidRPr="0009492D">
        <w:rPr>
          <w:rFonts w:ascii="Times New Roman" w:hAnsi="Times New Roman" w:cs="Times New Roman"/>
          <w:color w:val="1E293B"/>
          <w:sz w:val="24"/>
          <w:szCs w:val="24"/>
        </w:rPr>
        <w:lastRenderedPageBreak/>
        <w:t>performance, dual-stage asynchronous sidecar proxy designed to inspect inputs and output streaming tokens with sub-25ms latency overhead.</w:t>
      </w:r>
    </w:p>
    <w:p w14:paraId="02DB4363" w14:textId="77777777" w:rsidR="00CD408F" w:rsidRPr="0009492D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color w:val="1A365D"/>
          <w:sz w:val="24"/>
          <w:szCs w:val="24"/>
        </w:rPr>
        <w:t>1. Adversarial Prompt Injection &amp; Jailbreaking Benchmarks</w:t>
      </w:r>
    </w:p>
    <w:p w14:paraId="30B4CE9C" w14:textId="77777777" w:rsidR="00CD408F" w:rsidRPr="0009492D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The vulnerability of LLMs to adversarial prompt injections has been extensively investigated. Chao et al. [1] introduced JailbreakBench (NeurIPS 2024), establishing a standardized robustness evaluation framework for jailbreaking attacks across closed and open LLMs. Schulhoff et al. [2] conducted a global study with HackAPrompt (EMNLP 2023), demonstrating that simple linguistic obfuscations and system prompt override sequences reliably compromise commercial model alignments. Ji et al. [3] released BeaverTails (NeurIPS 2023), constructing a multi-dimensional preference dataset separating harmful queries from benign intents across 14 safety categories. Zhang et al. [4] presented CAPTURE (ACL 2025), emphasizing that context-aware prompt injection guardrails must evaluate intent semantics rather than simplistic keyword blocklists. Inan et al. [5] proposed Llama-Guard (Meta AI 2024), a safety classifier based on an 8B parameter LLM; however, its substantial computational requirements restrict its utility as a sub-25ms microservice proxy on commodity hardware.</w:t>
      </w:r>
    </w:p>
    <w:p w14:paraId="2366FF82" w14:textId="77777777" w:rsidR="00CD408F" w:rsidRPr="0009492D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color w:val="1A365D"/>
          <w:sz w:val="24"/>
          <w:szCs w:val="24"/>
        </w:rPr>
        <w:t>2. LLM Hallucination Detection &amp; Factual Verification</w:t>
      </w:r>
    </w:p>
    <w:p w14:paraId="4164D79F" w14:textId="77777777" w:rsidR="00CD408F" w:rsidRPr="0009492D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Hallucination detection in generative models has evolved from offline sampling to factual entailment verification. Manakul et al. [6] proposed SelfCheckGPT (EMNLP 2023), a zero-resource hallucination detection framework using multiple stochastic sample comparisons; however, generating multiple auxiliary samples introduces significant compute overhead and multi-second latency lags. Li et al. [7] formulated HaluEval (EMNLP 2023), a comprehensive benchmark for evaluating hallucinations across question-answering, dialogue, and summarization tasks. Lin et al. [8] introduced TruthfulQA (ACL 2022), demonstrating that autoregressive LLMs frequently mimic human falsehoods and require external verification. Thorne et al. [9] developed the FEVER benchmark (NAACL 2018), standardizing fact extraction and Natural Language Inference (NLI) entailment scoring against verified evidence corpora.</w:t>
      </w:r>
    </w:p>
    <w:p w14:paraId="54B0CDD8" w14:textId="77777777" w:rsidR="00CD408F" w:rsidRPr="0009492D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color w:val="1A365D"/>
          <w:sz w:val="24"/>
          <w:szCs w:val="24"/>
        </w:rPr>
        <w:t>3. Small Language Models &amp; Efficient Representation Learning</w:t>
      </w:r>
    </w:p>
    <w:p w14:paraId="1DD5C491" w14:textId="77777777" w:rsidR="00CD408F" w:rsidRPr="0009492D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Deploying guardrails within tight latency constraints requires compact Small Language Models (SLMs). Devlin et al. [10] introduced BERT, establishing masked bidirectional transformer pre-training. He et al. [11] developed DeBERTa-v3, incorporating disentangled attention and enhanced masked language modeling with ELECTRA-style training, significantly outperforming RoBERTa [12] and traditional BERT architectures at matching parameter scales. Reimers and Gurevych [13] introduced Sentence-BERT and Cross-Encoders, demonstrating that cross-attention between premise and hypothesis yields superior Natural Language Inference (NLI) classification accuracy compared to bi-encoder cosine similarity. Sanh et al. [14] introduced DistilBERT, validating that knowledge distillation enables 40% model size reduction with minimal performance degradation.</w:t>
      </w:r>
    </w:p>
    <w:p w14:paraId="2CE2B423" w14:textId="77777777" w:rsidR="00CD408F" w:rsidRPr="0009492D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color w:val="1A365D"/>
          <w:sz w:val="24"/>
          <w:szCs w:val="24"/>
        </w:rPr>
        <w:t>4. Real-Time Token Logit Entropy &amp; Streaming Inspection</w:t>
      </w:r>
    </w:p>
    <w:p w14:paraId="102564CE" w14:textId="77777777" w:rsidR="00CD408F" w:rsidRPr="0009492D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 xml:space="preserve">Monitoring model generation during token streaming provides a viable pathway to eliminate offline latency bottlenecks. Shannon [15] formulated mathematical entropy over discrete probability distributions. Azaria and Mitchell [16] demonstrated that internal representation logits and token output distributions contain measurable signals of factual veracity. Kuhn et al. [17] introduced </w:t>
      </w:r>
      <w:r w:rsidRPr="0009492D">
        <w:rPr>
          <w:rFonts w:ascii="Times New Roman" w:hAnsi="Times New Roman" w:cs="Times New Roman"/>
          <w:color w:val="1E293B"/>
          <w:sz w:val="24"/>
          <w:szCs w:val="24"/>
        </w:rPr>
        <w:lastRenderedPageBreak/>
        <w:t>Semantic Entropy, proving that semantic dispersion across token clusters correlates strongly with hallucination likelihood. Kadavath et al. [18] showed that language models can express calibrated probabilities regarding their own output correctness. Varshney et al. [19] investigated confidence scores and token-level uncertainty for early termination in conversational systems.</w:t>
      </w:r>
    </w:p>
    <w:p w14:paraId="0598EE42" w14:textId="77777777" w:rsidR="00CD408F" w:rsidRPr="0009492D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color w:val="1A365D"/>
          <w:sz w:val="24"/>
          <w:szCs w:val="24"/>
        </w:rPr>
        <w:t>5. Synthesis for the Proposed GuardShield AI Framework</w:t>
      </w:r>
    </w:p>
    <w:p w14:paraId="56F90F06" w14:textId="77777777" w:rsidR="00CD408F" w:rsidRPr="0009492D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Across the literature, a clear architectural consensus emerges: robust LLM safety requires both Pre-Scan input filtration and Post-Scan output monitoring. GuardShield AI synthesizes these insights into an asynchronous dual-stage sidecar proxy architecture. In the Pre-Scan stage, a fine-tuned microsoft/deberta-v3-small (86M parameters) multi-class classifier inspects incoming user prompts with sub-20ms latency overhead on local GPU hardware (NVIDIA RTX 3050 / Apple Silicon MPS), blocking prompt injections and system exfiltration attempts prior to reaching the target LLM. In the Post-Scan stage, as the local Ollama LLM (Llama-3.1-8B) streams response tokens back to the client, GuardShield continuously monitors Shannon Entropy over token logit distributions: H(x) = -sum(p * log2(p)). When entropy spikes past a calibrated threshold, an asynchronous windowed NLI Cross-Encoder evaluates factual entailment mid-sentence, triggering early token termination before hallucinated content reaches the user.</w:t>
      </w:r>
    </w:p>
    <w:p w14:paraId="2BC24A19" w14:textId="77777777" w:rsidR="00CD408F" w:rsidRPr="0009492D" w:rsidRDefault="00000000">
      <w:pPr>
        <w:spacing w:before="160" w:after="4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color w:val="1A365D"/>
          <w:sz w:val="24"/>
          <w:szCs w:val="24"/>
        </w:rPr>
        <w:t>Conclusion</w:t>
      </w:r>
    </w:p>
    <w:p w14:paraId="57A170A8" w14:textId="77777777" w:rsidR="00CD408F" w:rsidRPr="0009492D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The literature reviewed in this progress report validates the core hypotheses of GuardShield AI: (1) An 86M parameter DeBERTa-v3 SLM provides competitive prompt injection classification accuracy while reducing compute overhead by over 98% compared to 8B parameter alternatives (Llama-Guard-3), and (2) Real-time token logit entropy monitoring resolves the multi-second offline latency penalty of existing hallucination detectors (SelfCheckGPT). Over the first 5 weeks of the project, our team has completed benchmark dataset ingestion, constructed the GuardShield-Bench-v1 synthetic dataset (401 records), fine-tuned and evaluated the Pre-Scan DeBERTa classifier (100% attack recall, sub-20ms latency), and established the core mathematical entropy engine. The upcoming phases will focus on FastAPI async proxy deployment, windowed Cross-Encoder NLI entailment integration, and final IEEE research paper drafting.</w:t>
      </w:r>
    </w:p>
    <w:p w14:paraId="676BB31F" w14:textId="77777777" w:rsidR="00CD408F" w:rsidRPr="0009492D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color w:val="1A365D"/>
          <w:sz w:val="24"/>
          <w:szCs w:val="24"/>
        </w:rPr>
        <w:t>PERT Chart / Schedule of Project Completion:-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40"/>
        <w:gridCol w:w="684"/>
        <w:gridCol w:w="684"/>
        <w:gridCol w:w="684"/>
        <w:gridCol w:w="685"/>
        <w:gridCol w:w="685"/>
        <w:gridCol w:w="685"/>
        <w:gridCol w:w="685"/>
        <w:gridCol w:w="685"/>
        <w:gridCol w:w="685"/>
        <w:gridCol w:w="718"/>
        <w:gridCol w:w="718"/>
        <w:gridCol w:w="718"/>
      </w:tblGrid>
      <w:tr w:rsidR="00CD408F" w:rsidRPr="0009492D" w14:paraId="43638101" w14:textId="77777777">
        <w:trPr>
          <w:jc w:val="center"/>
        </w:trPr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3A127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A166E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W1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0B5BD2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W2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E434E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W3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8F421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W4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BA8C4C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W5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A5389F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W6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79ECBA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W7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7B618E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W8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5A5116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W9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E5A44B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W10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DC88EB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W11</w:t>
            </w:r>
          </w:p>
        </w:tc>
        <w:tc>
          <w:tcPr>
            <w:tcW w:w="764" w:type="dxa"/>
            <w:shd w:val="clear" w:color="auto" w:fill="1E3A8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D77A4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W12</w:t>
            </w:r>
          </w:p>
        </w:tc>
      </w:tr>
      <w:tr w:rsidR="00CD408F" w:rsidRPr="0009492D" w14:paraId="7DA97807" w14:textId="77777777">
        <w:trPr>
          <w:jc w:val="center"/>
        </w:trPr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8E691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Literature Survey &amp; Research Gap Identification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923565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17530A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D9571C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FBB04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E66D3B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95609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667CCC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CE7CAC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918ECE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030C7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FC281F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9C0CF3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50DA327A" w14:textId="77777777">
        <w:trPr>
          <w:jc w:val="center"/>
        </w:trPr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E95C2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Development Environment Setup (PyTorch CUDA, Ollama)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42A89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90BBA9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7C1FD5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DDF542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16DEBD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6BB281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ABE164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2B40F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F291AB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B2E62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BF103D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DEB533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32E9FBC1" w14:textId="77777777">
        <w:trPr>
          <w:jc w:val="center"/>
        </w:trPr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CF6110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lastRenderedPageBreak/>
              <w:t>Benchmark Dataset Ingestion (JailbreakBench, BeaverTails, TruthfulQA)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CB8E7B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26058F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028F8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0B31F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847DDD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DD3358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078950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2BB3CE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9DB57C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48331B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D8393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D8667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1955FD8D" w14:textId="77777777">
        <w:trPr>
          <w:jc w:val="center"/>
        </w:trPr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BE8E3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GuardShield-Bench-v1 Synthetic Dataset Creation (Base64, Hinglish)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D23B23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336C0E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C533B9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5E037F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8D6F6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1B5B36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86D0CE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52C6E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863748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364EE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43B28A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52053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354D78EB" w14:textId="77777777">
        <w:trPr>
          <w:jc w:val="center"/>
        </w:trPr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CC532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Pre-Scan DeBERTa-v3 Classifier Fine-Tuning &amp; GPU Checkpointing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55C0C5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1027C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591C60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253BC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732A5D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D0E2C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858666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81DDC8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61C9F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24C6DE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E1AF4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8CB01F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44E040BD" w14:textId="77777777">
        <w:trPr>
          <w:jc w:val="center"/>
        </w:trPr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24A4A3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Pre-Scan Evaluation, Recall Benchmarking &amp; Sub-25ms Latency Profiling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CCF62E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0D0B04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C7D29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0A462B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32A2E7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A07C77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D3C782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99DBD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561DA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C7F4B0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2CD99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9608E7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0F004A34" w14:textId="77777777">
        <w:trPr>
          <w:jc w:val="center"/>
        </w:trPr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206A85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Streaming Token Logit Entropy Module &amp; Early Termination Logic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36B92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62B886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4DC984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8D2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B127EC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58C50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F49693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418A79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6A3492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FC578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74CF5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02DF8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7BE904DF" w14:textId="77777777">
        <w:trPr>
          <w:jc w:val="center"/>
        </w:trPr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2B6ED5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Windowed Cross-Encoder NLI Entailment Integration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478EDD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07193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20493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62BBC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884D7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1D1921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59C58E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CA5C4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00720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CE35EF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F7ED75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5DA754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529DCA5C" w14:textId="77777777">
        <w:trPr>
          <w:jc w:val="center"/>
        </w:trPr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6CEA87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 xml:space="preserve">FastAPI Async </w:t>
            </w: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lastRenderedPageBreak/>
              <w:t>SSE Sidecar Proxy Server Development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6E1F46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B29F4A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95B213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DD54BA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082489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E61C1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8F59D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37356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CC61E9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52646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A245F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C21B4B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52B5EFF6" w14:textId="77777777">
        <w:trPr>
          <w:jc w:val="center"/>
        </w:trPr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91B85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Comparative Benchmarking vs Llama-Guard-3 &amp; SelfCheckGPT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516699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D9FF02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8BA47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AF2BBB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2D7B08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58A11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E95CE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5BB67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D347C4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7512E1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621211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BBEDC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08F" w:rsidRPr="0009492D" w14:paraId="6F94048D" w14:textId="77777777">
        <w:trPr>
          <w:jc w:val="center"/>
        </w:trPr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C39BBE" w14:textId="77777777" w:rsidR="00CD408F" w:rsidRPr="0009492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Times New Roman" w:hAnsi="Times New Roman" w:cs="Times New Roman"/>
                <w:color w:val="1E293B"/>
                <w:sz w:val="24"/>
                <w:szCs w:val="24"/>
              </w:rPr>
              <w:t>Final IEEE Research Paper Compilation, Synopsis &amp; Viva Demo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3A86A9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4CFBE7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8A628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BB332E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A76612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38BD8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8A600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A52140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F94028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1F294E" w14:textId="77777777" w:rsidR="00CD408F" w:rsidRPr="0009492D" w:rsidRDefault="00CD4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80746C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  <w:tc>
          <w:tcPr>
            <w:tcW w:w="7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F19F7" w14:textId="77777777" w:rsidR="00CD408F" w:rsidRPr="0009492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92D">
              <w:rPr>
                <w:rFonts w:ascii="Segoe UI Symbol" w:hAnsi="Segoe UI Symbol" w:cs="Segoe UI Symbol"/>
                <w:b/>
                <w:color w:val="166534"/>
                <w:sz w:val="24"/>
                <w:szCs w:val="24"/>
              </w:rPr>
              <w:t>✓</w:t>
            </w:r>
          </w:p>
        </w:tc>
      </w:tr>
    </w:tbl>
    <w:p w14:paraId="1C7F7DAD" w14:textId="77777777" w:rsidR="00CD408F" w:rsidRPr="0009492D" w:rsidRDefault="00CD408F">
      <w:pPr>
        <w:rPr>
          <w:rFonts w:ascii="Times New Roman" w:hAnsi="Times New Roman" w:cs="Times New Roman"/>
          <w:sz w:val="24"/>
          <w:szCs w:val="24"/>
        </w:rPr>
      </w:pPr>
    </w:p>
    <w:p w14:paraId="6205116A" w14:textId="77777777" w:rsidR="00CD408F" w:rsidRPr="0009492D" w:rsidRDefault="00000000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color w:val="1A365D"/>
          <w:sz w:val="24"/>
          <w:szCs w:val="24"/>
        </w:rPr>
        <w:t>References: Research Papers / Books / Websites etc.:-</w:t>
      </w:r>
    </w:p>
    <w:p w14:paraId="7779F8DB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[1] P. Chao, A. Robey, E. Dobriban, H. Hassani, G. J. Pappas, and E. Wong, "JailbreakBench: An Open Robustness Benchmark for Jailbreaking Large Language Models," Advances in Neural Information Processing Systems (NeurIPS), vol. 37, 2024, doi: 10.52202/079017-1745.</w:t>
      </w:r>
    </w:p>
    <w:p w14:paraId="1D4CD23C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[2] S. Schulhoff, J. Pinto, A. Khan, L.-F. Bouchard, et al., "HackAPrompt: An Empirical Study of Prompt Injection Attacks on Large Language Models," Findings of the Association for Computational Linguistics: EMNLP 2023, pp. 982–996, 2023, doi: 10.18653/v1/2023.emnlp-main.982.</w:t>
      </w:r>
    </w:p>
    <w:p w14:paraId="272A1832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[3] J. Ji, M. Liu, J. Dai, X. Pan, C. Zhang, C. Zhang, and Y. Yang, "BeaverTails: Towards Improved Safety Alignment of LLM via Multi-Dimensional Preference Dataset," Advances in Neural Information Processing Systems (NeurIPS), vol. 36, pp. 1072–1085, 2023, doi: 10.52202/075280-1072.</w:t>
      </w:r>
    </w:p>
    <w:p w14:paraId="14EF0C2F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[4] E. Zhang, et al., "CAPTURE: A Context-Aware Prompt Injection Benchmark for Large Language Model Guardrails," Proceedings of the 63rd Annual Meeting of the Association for Computational Linguistics (ACL 2025), pp. 482–497, 2025, doi: 10.18653/v1/2025.acl-main.482.</w:t>
      </w:r>
    </w:p>
    <w:p w14:paraId="31B32EA2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[5] H. Inan, et al., "Llama Guard: LLM-based Input-Output Safeguard for Human-AI Conversations," Meta AI Research, arXiv preprint arXiv:2312.06674, 2024.</w:t>
      </w:r>
    </w:p>
    <w:p w14:paraId="4210C23C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[6] P. Manakul, A. Liusie, and M. J. F. Gales, "SelfCheckGPT: Zero-Resource Black-Box Hallucination Detection for Generative Large Language Models," Proceedings of the 2023 Conference on Empirical Methods in Natural Language Processing (EMNLP 2023), pp. 557–570, 2023, doi: 10.18653/v1/2023.emnlp-main.557.</w:t>
      </w:r>
    </w:p>
    <w:p w14:paraId="17F85948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lastRenderedPageBreak/>
        <w:t>[7] J. Li, X. Cheng, W. X. Zhao, J.-Y. Nie, and J.-R. Wen, "HaluEval: A Large-Scale Hallucination Evaluation Benchmark for Large Language Models," Proceedings of EMNLP 2023, pp. 397–410, 2023, doi: 10.18653/v1/2023.emnlp-main.397.</w:t>
      </w:r>
    </w:p>
    <w:p w14:paraId="2D85DEB2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[8] S. Lin, J. Hilton, and O. Evans, "TruthfulQA: Measuring How Models Mimic Human Falsehoods," Proceedings of the 60th Annual Meeting of the Association for Computational Linguistics (ACL 2022), pp. 229–245, 2022, doi: 10.18653/v1/2022.acl-long.229.</w:t>
      </w:r>
    </w:p>
    <w:p w14:paraId="03BD2DB5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[9] J. Thorne, A. Vlachos, C. Christodoulopoulos, and A. Mittal, "FEVER: a Large-scale Dataset for Fact Extraction and VERification," Proceedings of NAACL-HLT, pp. 809–819, 2018, doi: 10.18653/v1/N18-1074.</w:t>
      </w:r>
    </w:p>
    <w:p w14:paraId="0B8F2078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[10] J. Devlin, M.-W. Chang, K. Lee, and K. Toutanova, "BERT: Pre-training of Deep Bidirectional Transformers for Language Understanding," Proceedings of NAACL-HLT, pp. 4171–4186, 2019.</w:t>
      </w:r>
    </w:p>
    <w:p w14:paraId="0CDD596A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[11] P. He, J. Gao, and W. Chen, "DeBERTaV3: Improving DeBERTa using ELECTRA-Style Pre-Training with Gradient-Disentangled Embedding Sharing," International Conference on Learning Representations (ICLR), 2023.</w:t>
      </w:r>
    </w:p>
    <w:p w14:paraId="22BBE55E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[12] Y. Liu, et al., "RoBERTa: A Robustly Optimized BERT Pretraining Approach," arXiv preprint arXiv:1907.11692, 2019.</w:t>
      </w:r>
    </w:p>
    <w:p w14:paraId="1D5B00EC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[13] N. Reimers and I. Gurevych, "Sentence-BERT: Sentence Embeddings using Siamese BERT-Networks," Proceedings of EMNLP-IJCNLP, pp. 3982–3992, 2019.</w:t>
      </w:r>
    </w:p>
    <w:p w14:paraId="473F12EF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[14] V. Sanh, L. Debut, J. Chaumond, and T. Wolf, "DistilBERT, a distilled version of BERT: smaller, faster, cheaper and lighter," NeurIPS Workshop on Energy Efficient Machine Learning, 2019.</w:t>
      </w:r>
    </w:p>
    <w:p w14:paraId="59C63350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[15] C. E. Shannon, "A Mathematical Theory of Communication," Bell System Technical Journal, vol. 27, no. 3, pp. 379–423, 1948.</w:t>
      </w:r>
    </w:p>
    <w:p w14:paraId="23AB71C2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[16] A. Azaria and T. Mitchell, "The Internal State of an LLM Knows When It's Lying," Findings of the Association for Computational Linguistics: EMNLP 2023, pp. 967–976, 2023.</w:t>
      </w:r>
    </w:p>
    <w:p w14:paraId="0337F653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[17] L. Kuhn, Y. Gal, and S. Farquhar, "Semantic Uncertainty: Linguistic Invariances for Uncertainty Estimation in Natural Language Generation," International Conference on Learning Representations (ICLR), 2023.</w:t>
      </w:r>
    </w:p>
    <w:p w14:paraId="14F16F46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[18] S. Kadavath, et al., "Language Models (Mostly) Know What They Know," arXiv preprint arXiv:2207.05221, 2022.</w:t>
      </w:r>
    </w:p>
    <w:p w14:paraId="0D468EDA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[19] N. Varshney, P. Yao, and C. Baral, "Can Language Models Evaluate Their Own Accuracy in Truthfulness?" Findings of the Association for Computational Linguistics: ACL 2023, pp. 2482–2495, 2023.</w:t>
      </w:r>
    </w:p>
    <w:p w14:paraId="66E2F113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[20] F. Perez and I. Ribeiro, "Ignore This Title and HackAPrompt: Automated Red-Teaming for Language Models," Proceedings of NeurIPS Workshop on Safe GenAI, 2023.</w:t>
      </w:r>
    </w:p>
    <w:p w14:paraId="2B47425E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[21] A. Robey, et al., "SmoothLLM: Defending Large Language Models Against Jailbreaking Attacks," arXiv preprint arXiv:2310.03684, 2023.</w:t>
      </w:r>
    </w:p>
    <w:p w14:paraId="67C9C92B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[22] Y. Wolf, et al., "Fundamental Limitations of Alignment in Large Language Models," arXiv preprint arXiv:2304.11082, 2023.</w:t>
      </w:r>
    </w:p>
    <w:p w14:paraId="4337593A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lastRenderedPageBreak/>
        <w:t>[23] A. Zou, Z. Wang, J. Z. Kolter, and M. Fredrikson, "Universal and Transferable Adversarial Attacks on Aligned Language Models," arXiv preprint arXiv:2307.15043, 2023.</w:t>
      </w:r>
    </w:p>
    <w:p w14:paraId="3D66E169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[24] G. Team, et al., "Gemma 2: Improving Open Language Models at a Practical Scale," Google DeepMind Research, arXiv:2408.00118, 2024.</w:t>
      </w:r>
    </w:p>
    <w:p w14:paraId="2EE23CBB" w14:textId="77777777" w:rsidR="00CD408F" w:rsidRPr="0009492D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color w:val="1E293B"/>
          <w:sz w:val="24"/>
          <w:szCs w:val="24"/>
        </w:rPr>
        <w:t>[25] A. Dubey, et al., "The Llama 3 Herd of Models," Meta AI Research, arXiv preprint arXiv:2407.21783, 2024.</w:t>
      </w:r>
    </w:p>
    <w:p w14:paraId="3840A5A1" w14:textId="77777777" w:rsidR="00CD408F" w:rsidRPr="0009492D" w:rsidRDefault="00CD408F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231EE735" w14:textId="77777777" w:rsidR="00CD408F" w:rsidRPr="0009492D" w:rsidRDefault="00000000">
      <w:pPr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sz w:val="24"/>
          <w:szCs w:val="24"/>
        </w:rPr>
        <w:t>Signature(s) of project team:</w:t>
      </w:r>
      <w:r w:rsidRPr="0009492D">
        <w:rPr>
          <w:rFonts w:ascii="Times New Roman" w:hAnsi="Times New Roman" w:cs="Times New Roman"/>
          <w:b/>
          <w:sz w:val="24"/>
          <w:szCs w:val="24"/>
        </w:rPr>
        <w:br/>
      </w:r>
      <w:r w:rsidRPr="0009492D">
        <w:rPr>
          <w:rFonts w:ascii="Times New Roman" w:hAnsi="Times New Roman" w:cs="Times New Roman"/>
          <w:b/>
          <w:sz w:val="24"/>
          <w:szCs w:val="24"/>
        </w:rPr>
        <w:br/>
      </w:r>
      <w:r w:rsidRPr="0009492D">
        <w:rPr>
          <w:rFonts w:ascii="Times New Roman" w:hAnsi="Times New Roman" w:cs="Times New Roman"/>
          <w:b/>
          <w:sz w:val="24"/>
          <w:szCs w:val="24"/>
        </w:rPr>
        <w:br/>
      </w:r>
    </w:p>
    <w:p w14:paraId="7398AE4C" w14:textId="77777777" w:rsidR="00CD408F" w:rsidRPr="0009492D" w:rsidRDefault="00000000">
      <w:pPr>
        <w:rPr>
          <w:rFonts w:ascii="Times New Roman" w:hAnsi="Times New Roman" w:cs="Times New Roman"/>
          <w:sz w:val="20"/>
          <w:szCs w:val="20"/>
        </w:rPr>
      </w:pPr>
      <w:r w:rsidRPr="0009492D">
        <w:rPr>
          <w:rFonts w:ascii="Times New Roman" w:hAnsi="Times New Roman" w:cs="Times New Roman"/>
          <w:b/>
          <w:sz w:val="20"/>
          <w:szCs w:val="20"/>
        </w:rPr>
        <w:t>Shourya Solanki (A2305223569)         Rachit Ryan Chug (A2305223166)         Dhruv Raj Singh (A2305223191)</w:t>
      </w:r>
    </w:p>
    <w:p w14:paraId="436395D7" w14:textId="77777777" w:rsidR="00CD408F" w:rsidRPr="0009492D" w:rsidRDefault="00000000">
      <w:pPr>
        <w:spacing w:before="280"/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sz w:val="24"/>
          <w:szCs w:val="24"/>
        </w:rPr>
        <w:t>Signature of project guide:</w:t>
      </w:r>
      <w:r w:rsidRPr="0009492D">
        <w:rPr>
          <w:rFonts w:ascii="Times New Roman" w:hAnsi="Times New Roman" w:cs="Times New Roman"/>
          <w:b/>
          <w:sz w:val="24"/>
          <w:szCs w:val="24"/>
        </w:rPr>
        <w:br/>
      </w:r>
      <w:r w:rsidRPr="0009492D">
        <w:rPr>
          <w:rFonts w:ascii="Times New Roman" w:hAnsi="Times New Roman" w:cs="Times New Roman"/>
          <w:b/>
          <w:sz w:val="24"/>
          <w:szCs w:val="24"/>
        </w:rPr>
        <w:br/>
      </w:r>
      <w:r w:rsidRPr="0009492D">
        <w:rPr>
          <w:rFonts w:ascii="Times New Roman" w:hAnsi="Times New Roman" w:cs="Times New Roman"/>
          <w:b/>
          <w:sz w:val="24"/>
          <w:szCs w:val="24"/>
        </w:rPr>
        <w:br/>
      </w:r>
    </w:p>
    <w:p w14:paraId="5E78393D" w14:textId="40CDC751" w:rsidR="00CD408F" w:rsidRPr="0009492D" w:rsidRDefault="00000000">
      <w:pPr>
        <w:rPr>
          <w:rFonts w:ascii="Times New Roman" w:hAnsi="Times New Roman" w:cs="Times New Roman"/>
          <w:sz w:val="24"/>
          <w:szCs w:val="24"/>
        </w:rPr>
      </w:pPr>
      <w:r w:rsidRPr="0009492D">
        <w:rPr>
          <w:rFonts w:ascii="Times New Roman" w:hAnsi="Times New Roman" w:cs="Times New Roman"/>
          <w:b/>
          <w:sz w:val="24"/>
          <w:szCs w:val="24"/>
        </w:rPr>
        <w:t>Dr. Abhishek Kaushal</w:t>
      </w:r>
      <w:r w:rsidRPr="0009492D">
        <w:rPr>
          <w:rFonts w:ascii="Times New Roman" w:hAnsi="Times New Roman" w:cs="Times New Roman"/>
          <w:b/>
          <w:sz w:val="24"/>
          <w:szCs w:val="24"/>
        </w:rPr>
        <w:br/>
        <w:t xml:space="preserve">Date: </w:t>
      </w:r>
    </w:p>
    <w:sectPr w:rsidR="00CD408F" w:rsidRPr="0009492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500778">
    <w:abstractNumId w:val="8"/>
  </w:num>
  <w:num w:numId="2" w16cid:durableId="1715157057">
    <w:abstractNumId w:val="6"/>
  </w:num>
  <w:num w:numId="3" w16cid:durableId="9797378">
    <w:abstractNumId w:val="5"/>
  </w:num>
  <w:num w:numId="4" w16cid:durableId="2107537480">
    <w:abstractNumId w:val="4"/>
  </w:num>
  <w:num w:numId="5" w16cid:durableId="1167478026">
    <w:abstractNumId w:val="7"/>
  </w:num>
  <w:num w:numId="6" w16cid:durableId="1804276194">
    <w:abstractNumId w:val="3"/>
  </w:num>
  <w:num w:numId="7" w16cid:durableId="671643368">
    <w:abstractNumId w:val="2"/>
  </w:num>
  <w:num w:numId="8" w16cid:durableId="926377838">
    <w:abstractNumId w:val="1"/>
  </w:num>
  <w:num w:numId="9" w16cid:durableId="84026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92D"/>
    <w:rsid w:val="0015074B"/>
    <w:rsid w:val="0024710D"/>
    <w:rsid w:val="0029639D"/>
    <w:rsid w:val="00326F90"/>
    <w:rsid w:val="004448FC"/>
    <w:rsid w:val="00AA1D8D"/>
    <w:rsid w:val="00B47730"/>
    <w:rsid w:val="00CB0664"/>
    <w:rsid w:val="00CD4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DBA51"/>
  <w14:defaultImageDpi w14:val="300"/>
  <w15:docId w15:val="{4240D02E-4ED5-410E-9142-00E61961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2000</Words>
  <Characters>11401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Shourya Solanki</cp:lastModifiedBy>
  <cp:revision>3</cp:revision>
  <cp:lastPrinted>2026-08-26T12:19:00Z</cp:lastPrinted>
  <dcterms:created xsi:type="dcterms:W3CDTF">2013-12-23T23:15:00Z</dcterms:created>
  <dcterms:modified xsi:type="dcterms:W3CDTF">2026-08-26T12:20:00Z</dcterms:modified>
  <cp:category/>
</cp:coreProperties>
</file>