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Loss - Property</w:t>
      </w:r>
    </w:p>
    <w:p>
      <w:r>
        <w:t>Policy Number: PROP-3315-7729</w:t>
      </w:r>
    </w:p>
    <w:p>
      <w:r>
        <w:t>Carrier Name: Harborstone Insurance Group</w:t>
      </w:r>
    </w:p>
    <w:p>
      <w:r>
        <w:t>Policy Effective Dates: 09/15/2025 to 09/15/2026</w:t>
      </w:r>
    </w:p>
    <w:p>
      <w:r>
        <w:t>Date of Loss: 01/28/2026</w:t>
      </w:r>
    </w:p>
    <w:p>
      <w:r>
        <w:t>Cause of Loss: Burst pipe in second-floor bathroom during a hard freeze.</w:t>
      </w:r>
    </w:p>
    <w:p>
      <w:r>
        <w:t>Loss Description: Water traveled through the second-floor bathroom wall into the kitchen ceiling below, causing drywall and cabinetry damage on both floors.</w:t>
      </w:r>
    </w:p>
    <w:p>
      <w:r>
        <w:t>Property Address: 47 Winslow Terrace, Hartford, CT</w:t>
      </w:r>
    </w:p>
    <w:p>
      <w:r>
        <w:t>Property Type: Single-family residence</w:t>
      </w:r>
    </w:p>
    <w:p>
      <w:r>
        <w:t>Occupancy Status: Owner-occupied, primary residence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