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Loss - Property</w:t>
      </w:r>
    </w:p>
    <w:p>
      <w:r>
        <w:t>Policy Number: PROP-8820-1156</w:t>
      </w:r>
    </w:p>
    <w:p>
      <w:r>
        <w:t>Carrier Name: Harborstone Insurance Group</w:t>
      </w:r>
    </w:p>
    <w:p>
      <w:r>
        <w:t>Date of Loss: 06/10/2026</w:t>
      </w:r>
    </w:p>
    <w:p>
      <w:r>
        <w:t>Cause of Loss: Wind damage during severe thunderstorm.</w:t>
      </w:r>
    </w:p>
    <w:p>
      <w:r>
        <w:t>Loss Description: High winds tore several shingles from the roof and cracked a rear window; minor water intrusion into the attic.</w:t>
      </w:r>
    </w:p>
    <w:p>
      <w:r>
        <w:t>Property Address: 902 Larkspur Ct, Millbrook, GA</w:t>
      </w:r>
    </w:p>
    <w:p>
      <w:r>
        <w:t>Property Type: Single-family residence</w:t>
      </w:r>
    </w:p>
    <w:p>
      <w:r>
        <w:t>Occupancy Status: Owner-occupied, primary residence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