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Loss - Property</w:t>
      </w:r>
    </w:p>
    <w:p>
      <w:r>
        <w:t>Policy Number: PROP-4471-0092</w:t>
      </w:r>
    </w:p>
    <w:p>
      <w:r>
        <w:t>Carrier Name: Harborstone Insurance Group</w:t>
      </w:r>
    </w:p>
    <w:p>
      <w:r>
        <w:t>Policy Effective Dates: 03/01/2026 to 03/01/2027</w:t>
      </w:r>
    </w:p>
    <w:p>
      <w:r>
        <w:t>Date of Loss: 04/22/2026</w:t>
      </w:r>
    </w:p>
    <w:p>
      <w:r>
        <w:t>Cause of Loss: Kitchen fire originating from an unattended stovetop.</w:t>
      </w:r>
    </w:p>
    <w:p>
      <w:r>
        <w:t>Loss Description: Fire caused significant smoke and heat damage to the kitchen and adjoining dining room; sprinkler activation caused water damage to the hallway flooring.</w:t>
      </w:r>
    </w:p>
    <w:p>
      <w:r>
        <w:t>Property Address: 118 Birchwood Lane, Fairview, OR</w:t>
      </w:r>
    </w:p>
    <w:p>
      <w:r>
        <w:t>Property Type: Single-family residence</w:t>
      </w:r>
    </w:p>
    <w:p>
      <w:r>
        <w:t>Occupancy Status: Owner-occupied, primary residence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