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07304F"/>
          <w:sz w:val="44"/>
          <w:szCs w:val="44"/>
        </w:rPr>
        <w:t xml:space="preserve">Agent Adoption, Feedback &amp; Insights Platform</w:t>
      </w:r>
    </w:p>
    <w:p>
      <w:pPr>
        <w:spacing w:after="400"/>
        <w:jc w:val="center"/>
      </w:pPr>
      <w:r>
        <w:rPr>
          <w:color w:val="0B5394"/>
          <w:sz w:val="28"/>
          <w:szCs w:val="28"/>
        </w:rPr>
        <w:t xml:space="preserve">Database &amp; End-to-End Architecture Design — Revision 2 (Reanalysis)</w:t>
      </w:r>
    </w:p>
    <w:p>
      <w:pPr>
        <w:spacing w:after="120"/>
        <w:jc w:val="center"/>
      </w:pPr>
      <w:r>
        <w:rPr>
          <w:i/>
          <w:iCs/>
          <w:sz w:val="22"/>
          <w:szCs w:val="22"/>
        </w:rPr>
        <w:t xml:space="preserve">Hackathon Problem Statement: AI Adoption and Feedback Trackers</w:t>
      </w:r>
    </w:p>
    <w:p>
      <w:pPr>
        <w:spacing w:after="400"/>
        <w:jc w:val="center"/>
      </w:pPr>
      <w:r>
        <w:rPr>
          <w:sz w:val="20"/>
          <w:szCs w:val="20"/>
        </w:rPr>
        <w:t xml:space="preserve">Focus of this revision: database design in depth (tables, isolation levels, relationships), an implementation plan constrained to GitHub Copilot + AWS only, and a new Agent Insights / Agent Catalog capability.</w:t>
      </w:r>
    </w:p>
    <w:p>
      <w:pPr>
        <w:jc w:val="center"/>
      </w:pPr>
      <w:r>
        <w:rPr>
          <w:color w:val="555555"/>
          <w:sz w:val="20"/>
          <w:szCs w:val="20"/>
        </w:rPr>
        <w:t xml:space="preserve">Date: 18 August 2026</w:t>
      </w:r>
    </w:p>
    <w:p>
      <w:pPr>
        <w:jc w:val="center"/>
      </w:pPr>
      <w:r>
        <w:rPr>
          <w:color w:val="555555"/>
          <w:sz w:val="20"/>
          <w:szCs w:val="20"/>
        </w:rPr>
        <w:t xml:space="preserve">Status: POC design — for team review</w:t>
      </w:r>
    </w:p>
    <w:p>
      <w:pPr>
        <w:pageBreakBefore/>
      </w:pPr>
    </w:p>
    <w:p>
      <w:pPr>
        <w:pStyle w:val="Heading1"/>
        <w:spacing w:after="160" w:before="360"/>
      </w:pPr>
      <w:r>
        <w:t xml:space="preserve">1. Reanalysis of the Existing Design</w:t>
      </w:r>
    </w:p>
    <w:p>
      <w:pPr>
        <w:spacing w:after="140"/>
      </w:pPr>
      <w:r>
        <w:t xml:space="preserve">The initial design (the attached HTML document) is a strong starting point. It correctly frames the two problem-statement outcomes — an adoption/usage tracker and a delayed feedback tracker — as a shared, generic data-capture layer keyed on ACF2 ID, with a privacy-first stance (no prompt/response/code capture) and a clean dimensional model (dim_user, dim_agent, dim_model, dim_task_tier feeding fact_llm_request, fact_agent_flow_event, fact_token_wastage, fact_adoption, fact_feedback).</w:t>
      </w:r>
    </w:p>
    <w:p>
      <w:pPr>
        <w:pStyle w:val="Heading2"/>
        <w:spacing w:after="120" w:before="280"/>
      </w:pPr>
      <w:r>
        <w:t xml:space="preserve">1.1 What the existing design already gets right</w:t>
      </w:r>
    </w:p>
    <w:p>
      <w:pPr>
        <w:pStyle w:val="ListParagraph"/>
        <w:numPr>
          <w:ilvl w:val="0"/>
          <w:numId w:val="2"/>
        </w:numPr>
        <w:spacing w:after="60"/>
      </w:pPr>
      <w:r>
        <w:t xml:space="preserve">Correctly avoids any dependency on a Copilot/LLM API key — all signals are derived from local VS Code debug logs (main.jsonl, models.json), which matches the constraint of no AI API access.</w:t>
      </w:r>
    </w:p>
    <w:p>
      <w:pPr>
        <w:pStyle w:val="ListParagraph"/>
        <w:numPr>
          <w:ilvl w:val="0"/>
          <w:numId w:val="2"/>
        </w:numPr>
        <w:spacing w:after="60"/>
      </w:pPr>
      <w:r>
        <w:t xml:space="preserve">Separates raw ingestion (facts) from reference data (dimensions), which is the right shape for a reporting/dashboard workload.</w:t>
      </w:r>
    </w:p>
    <w:p>
      <w:pPr>
        <w:pStyle w:val="ListParagraph"/>
        <w:numPr>
          <w:ilvl w:val="0"/>
          <w:numId w:val="2"/>
        </w:numPr>
        <w:spacing w:after="60"/>
      </w:pPr>
      <w:r>
        <w:t xml:space="preserve">Builds in idempotency (idempotency_key), consent lifecycle, and a clear allow-list of fields — this is exactly what a shared-database, multi-repo tracker needs so no single agent's integration can leak sensitive data.</w:t>
      </w:r>
    </w:p>
    <w:p>
      <w:pPr>
        <w:pStyle w:val="ListParagraph"/>
        <w:numPr>
          <w:ilvl w:val="0"/>
          <w:numId w:val="2"/>
        </w:numPr>
        <w:spacing w:after="60"/>
      </w:pPr>
      <w:r>
        <w:t xml:space="preserve">Ties org attributes (BG, Division, team) to Microsoft Teams rather than asking every agent repo to know that, which keeps the tracker "generic" as the problem statement demands.</w:t>
      </w:r>
    </w:p>
    <w:p>
      <w:pPr>
        <w:pStyle w:val="Heading2"/>
        <w:spacing w:after="120" w:before="280"/>
      </w:pPr>
      <w:r>
        <w:t xml:space="preserve">1.2 Gaps this revision closes</w:t>
      </w:r>
    </w:p>
    <w:p>
      <w:pPr>
        <w:spacing w:after="140"/>
      </w:pPr>
      <w:r>
        <w:t xml:space="preserve">Two things were under-specified in the first pass, and both are addressed below:</w:t>
      </w:r>
    </w:p>
    <w:p>
      <w:pPr>
        <w:pStyle w:val="ListParagraph"/>
        <w:numPr>
          <w:ilvl w:val="0"/>
          <w:numId w:val="3"/>
        </w:numPr>
        <w:spacing w:after="60"/>
      </w:pPr>
      <w:r>
        <w:t xml:space="preserve">Database depth: the original document names tables and columns but does not specify storage engine choice under our real constraints, transaction/isolation behavior per table, retention/partitioning, or how relationships enforce data integrity. Section 3 below is a full redesign of this layer.</w:t>
      </w:r>
    </w:p>
    <w:p>
      <w:pPr>
        <w:pStyle w:val="ListParagraph"/>
        <w:numPr>
          <w:ilvl w:val="0"/>
          <w:numId w:val="3"/>
        </w:numPr>
        <w:spacing w:after="60"/>
      </w:pPr>
      <w:r>
        <w:t xml:space="preserve">Agent insights: dim_agent originally only captured agent_id, agent_name, skill_id, skill_name, category, version. It could not answer "is this a custom agent someone built, or a Copilot-native agent/skill?", "who owns/maintains it?", "where does it live?", or "what can it do?" — all of which the problem statement implies ("any AI Agents' repo", "notify people of new releases", "employees unaware of relevant tools"). This revision adds a proper Agent Catalog / Agent Insights subsystem (Section 3.4).</w:t>
      </w:r>
    </w:p>
    <w:p>
      <w:pPr>
        <w:pStyle w:val="Heading1"/>
        <w:spacing w:after="160" w:before="360"/>
      </w:pPr>
      <w:r>
        <w:t xml:space="preserve">2. Constraints and How They Shape the Design</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3400"/>
        <w:gridCol w:w="7400"/>
      </w:tblGrid>
      <w:tr>
        <w:trPr>
          <w:tblHeader/>
        </w:trPr>
        <w:tc>
          <w:tcPr>
            <w:tcW w:type="dxa" w:w="3400"/>
            <w:shd w:fill="0B5394" w:val="clear"/>
            <w:tcMar>
              <w:top w:type="dxa" w:w="60"/>
              <w:left w:type="dxa" w:w="100"/>
              <w:bottom w:type="dxa" w:w="60"/>
              <w:right w:type="dxa" w:w="100"/>
            </w:tcMar>
            <w:vAlign w:val="center"/>
          </w:tcPr>
          <w:p>
            <w:r>
              <w:rPr>
                <w:b/>
                <w:bCs/>
                <w:i w:val="false"/>
                <w:iCs w:val="false"/>
                <w:color w:val="FFFFFF"/>
                <w:sz w:val="18"/>
                <w:szCs w:val="18"/>
              </w:rPr>
              <w:t xml:space="preserve">Constraint</w:t>
            </w:r>
          </w:p>
        </w:tc>
        <w:tc>
          <w:tcPr>
            <w:tcW w:type="dxa" w:w="7400"/>
            <w:shd w:fill="0B5394" w:val="clear"/>
            <w:tcMar>
              <w:top w:type="dxa" w:w="60"/>
              <w:left w:type="dxa" w:w="100"/>
              <w:bottom w:type="dxa" w:w="60"/>
              <w:right w:type="dxa" w:w="100"/>
            </w:tcMar>
            <w:vAlign w:val="center"/>
          </w:tcPr>
          <w:p>
            <w:r>
              <w:rPr>
                <w:b/>
                <w:bCs/>
                <w:i w:val="false"/>
                <w:iCs w:val="false"/>
                <w:color w:val="FFFFFF"/>
                <w:sz w:val="18"/>
                <w:szCs w:val="18"/>
              </w:rPr>
              <w:t xml:space="preserve">Implication for architecture</w:t>
            </w:r>
          </w:p>
        </w:tc>
      </w:tr>
      <w:tr>
        <w:tc>
          <w:tcPr>
            <w:tcW w:type="dxa" w:w="3400"/>
            <w:tcMar>
              <w:top w:type="dxa" w:w="60"/>
              <w:left w:type="dxa" w:w="100"/>
              <w:bottom w:type="dxa" w:w="60"/>
              <w:right w:type="dxa" w:w="100"/>
            </w:tcMar>
            <w:vAlign w:val="center"/>
          </w:tcPr>
          <w:p>
            <w:r>
              <w:rPr>
                <w:b w:val="false"/>
                <w:bCs w:val="false"/>
                <w:i w:val="false"/>
                <w:iCs w:val="false"/>
                <w:sz w:val="18"/>
                <w:szCs w:val="18"/>
              </w:rPr>
              <w:t xml:space="preserve">No API keys for any AI/LLM service at runtime</w:t>
            </w:r>
          </w:p>
        </w:tc>
        <w:tc>
          <w:tcPr>
            <w:tcW w:type="dxa" w:w="7400"/>
            <w:tcMar>
              <w:top w:type="dxa" w:w="60"/>
              <w:left w:type="dxa" w:w="100"/>
              <w:bottom w:type="dxa" w:w="60"/>
              <w:right w:type="dxa" w:w="100"/>
            </w:tcMar>
            <w:vAlign w:val="center"/>
          </w:tcPr>
          <w:p>
            <w:r>
              <w:rPr>
                <w:b w:val="false"/>
                <w:bCs w:val="false"/>
                <w:i w:val="false"/>
                <w:iCs w:val="false"/>
                <w:sz w:val="18"/>
                <w:szCs w:val="18"/>
              </w:rPr>
              <w:t xml:space="preserve">All classification (task-complexity tier, over/under-provisioning, agent type inference, survey scheduling) is done with deterministic, rule-based logic running in our own extension/Lambda code — never a call to an LLM. No vendor AI service (Bedrock, OpenAI, Anthropic API, etc.) sits in the runtime path.</w:t>
            </w:r>
          </w:p>
        </w:tc>
      </w:tr>
      <w:tr>
        <w:tc>
          <w:tcPr>
            <w:tcW w:type="dxa" w:w="3400"/>
            <w:shd w:fill="EFF4FA" w:val="clear"/>
            <w:tcMar>
              <w:top w:type="dxa" w:w="60"/>
              <w:left w:type="dxa" w:w="100"/>
              <w:bottom w:type="dxa" w:w="60"/>
              <w:right w:type="dxa" w:w="100"/>
            </w:tcMar>
            <w:vAlign w:val="center"/>
          </w:tcPr>
          <w:p>
            <w:r>
              <w:rPr>
                <w:b w:val="false"/>
                <w:bCs w:val="false"/>
                <w:i w:val="false"/>
                <w:iCs w:val="false"/>
                <w:sz w:val="18"/>
                <w:szCs w:val="18"/>
              </w:rPr>
              <w:t xml:space="preserve">GitHub Copilot is available</w:t>
            </w:r>
          </w:p>
        </w:tc>
        <w:tc>
          <w:tcPr>
            <w:tcW w:type="dxa" w:w="7400"/>
            <w:shd w:fill="EFF4FA" w:val="clear"/>
            <w:tcMar>
              <w:top w:type="dxa" w:w="60"/>
              <w:left w:type="dxa" w:w="100"/>
              <w:bottom w:type="dxa" w:w="60"/>
              <w:right w:type="dxa" w:w="100"/>
            </w:tcMar>
            <w:vAlign w:val="center"/>
          </w:tcPr>
          <w:p>
            <w:r>
              <w:rPr>
                <w:b w:val="false"/>
                <w:bCs w:val="false"/>
                <w:i w:val="false"/>
                <w:iCs w:val="false"/>
                <w:sz w:val="18"/>
                <w:szCs w:val="18"/>
              </w:rPr>
              <w:t xml:space="preserve">Copilot is used only as a coding assistant to help the team write the extension, Lambda functions, and infrastructure-as-code faster during the hackathon. It is not a runtime dependency of the platform and is not called by the pipeline — this keeps the distinction between "built with Copilot" and "powered by an AI API" clean for governance review.</w:t>
            </w:r>
          </w:p>
        </w:tc>
      </w:tr>
      <w:tr>
        <w:tc>
          <w:tcPr>
            <w:tcW w:type="dxa" w:w="3400"/>
            <w:tcMar>
              <w:top w:type="dxa" w:w="60"/>
              <w:left w:type="dxa" w:w="100"/>
              <w:bottom w:type="dxa" w:w="60"/>
              <w:right w:type="dxa" w:w="100"/>
            </w:tcMar>
            <w:vAlign w:val="center"/>
          </w:tcPr>
          <w:p>
            <w:r>
              <w:rPr>
                <w:b w:val="false"/>
                <w:bCs w:val="false"/>
                <w:i w:val="false"/>
                <w:iCs w:val="false"/>
                <w:sz w:val="18"/>
                <w:szCs w:val="18"/>
              </w:rPr>
              <w:t xml:space="preserve">AWS account is available for database services</w:t>
            </w:r>
          </w:p>
        </w:tc>
        <w:tc>
          <w:tcPr>
            <w:tcW w:type="dxa" w:w="7400"/>
            <w:tcMar>
              <w:top w:type="dxa" w:w="60"/>
              <w:left w:type="dxa" w:w="100"/>
              <w:bottom w:type="dxa" w:w="60"/>
              <w:right w:type="dxa" w:w="100"/>
            </w:tcMar>
            <w:vAlign w:val="center"/>
          </w:tcPr>
          <w:p>
            <w:r>
              <w:rPr>
                <w:b w:val="false"/>
                <w:bCs w:val="false"/>
                <w:i w:val="false"/>
                <w:iCs w:val="false"/>
                <w:sz w:val="18"/>
                <w:szCs w:val="18"/>
              </w:rPr>
              <w:t xml:space="preserve">The system of record is built entirely on AWS-native, serverless-leaning services so the team avoids managing servers during a hackathon: API Gateway, Lambda, DynamoDB, S3, Aurora PostgreSQL Serverless v2, EventBridge, Secrets Manager, KMS, and QuickSight. No third-party SaaS database is required.</w:t>
            </w:r>
          </w:p>
        </w:tc>
      </w:tr>
      <w:tr>
        <w:tc>
          <w:tcPr>
            <w:tcW w:type="dxa" w:w="3400"/>
            <w:shd w:fill="EFF4FA" w:val="clear"/>
            <w:tcMar>
              <w:top w:type="dxa" w:w="60"/>
              <w:left w:type="dxa" w:w="100"/>
              <w:bottom w:type="dxa" w:w="60"/>
              <w:right w:type="dxa" w:w="100"/>
            </w:tcMar>
            <w:vAlign w:val="center"/>
          </w:tcPr>
          <w:p>
            <w:r>
              <w:rPr>
                <w:b w:val="false"/>
                <w:bCs w:val="false"/>
                <w:i w:val="false"/>
                <w:iCs w:val="false"/>
                <w:sz w:val="18"/>
                <w:szCs w:val="18"/>
              </w:rPr>
              <w:t xml:space="preserve">Must be generic / addable to any AI agent's repo</w:t>
            </w:r>
          </w:p>
        </w:tc>
        <w:tc>
          <w:tcPr>
            <w:tcW w:type="dxa" w:w="7400"/>
            <w:shd w:fill="EFF4FA" w:val="clear"/>
            <w:tcMar>
              <w:top w:type="dxa" w:w="60"/>
              <w:left w:type="dxa" w:w="100"/>
              <w:bottom w:type="dxa" w:w="60"/>
              <w:right w:type="dxa" w:w="100"/>
            </w:tcMar>
            <w:vAlign w:val="center"/>
          </w:tcPr>
          <w:p>
            <w:r>
              <w:rPr>
                <w:b w:val="false"/>
                <w:bCs w:val="false"/>
                <w:i w:val="false"/>
                <w:iCs w:val="false"/>
                <w:sz w:val="18"/>
                <w:szCs w:val="18"/>
              </w:rPr>
              <w:t xml:space="preserve">Ingestion is a documented HTTP contract (batch POST of allow-listed fields) plus a small, dependency-light client library. Any agent repo — custom-built or Copilot-native — integrates by dropping in the client and a one-time agent manifest file (Section 3.4); nothing in the schema assumes a specific agent implementation.</w:t>
            </w:r>
          </w:p>
        </w:tc>
      </w:tr>
      <w:tr>
        <w:tc>
          <w:tcPr>
            <w:tcW w:type="dxa" w:w="3400"/>
            <w:tcMar>
              <w:top w:type="dxa" w:w="60"/>
              <w:left w:type="dxa" w:w="100"/>
              <w:bottom w:type="dxa" w:w="60"/>
              <w:right w:type="dxa" w:w="100"/>
            </w:tcMar>
            <w:vAlign w:val="center"/>
          </w:tcPr>
          <w:p>
            <w:r>
              <w:rPr>
                <w:b w:val="false"/>
                <w:bCs w:val="false"/>
                <w:i w:val="false"/>
                <w:iCs w:val="false"/>
                <w:sz w:val="18"/>
                <w:szCs w:val="18"/>
              </w:rPr>
              <w:t xml:space="preserve">One user = one device (ACF2 ID is the identity key)</w:t>
            </w:r>
          </w:p>
        </w:tc>
        <w:tc>
          <w:tcPr>
            <w:tcW w:type="dxa" w:w="7400"/>
            <w:tcMar>
              <w:top w:type="dxa" w:w="60"/>
              <w:left w:type="dxa" w:w="100"/>
              <w:bottom w:type="dxa" w:w="60"/>
              <w:right w:type="dxa" w:w="100"/>
            </w:tcMar>
            <w:vAlign w:val="center"/>
          </w:tcPr>
          <w:p>
            <w:r>
              <w:rPr>
                <w:b w:val="false"/>
                <w:bCs w:val="false"/>
                <w:i w:val="false"/>
                <w:iCs w:val="false"/>
                <w:sz w:val="18"/>
                <w:szCs w:val="18"/>
              </w:rPr>
              <w:t xml:space="preserve">No cross-device reconciliation logic is needed in the schema; ACF2 ID is a safe, stable primary key for dim_user and for all fact-table foreign keys.</w:t>
            </w:r>
          </w:p>
        </w:tc>
      </w:tr>
    </w:tbl>
    <w:p>
      <w:pPr>
        <w:pStyle w:val="Heading1"/>
        <w:spacing w:after="160" w:before="360"/>
      </w:pPr>
      <w:r>
        <w:t xml:space="preserve">3. Database Design (In Depth)</w:t>
      </w:r>
    </w:p>
    <w:p>
      <w:pPr>
        <w:pStyle w:val="Heading2"/>
        <w:spacing w:after="120" w:before="280"/>
      </w:pPr>
      <w:r>
        <w:t xml:space="preserve">3.1 Storage-tier strategy</w:t>
      </w:r>
    </w:p>
    <w:p>
      <w:pPr>
        <w:spacing w:after="140"/>
      </w:pPr>
      <w:r>
        <w:t xml:space="preserve">A single database cannot cheaply serve three very different access patterns at once: (a) high-volume, small, append-only writes from thousands of developer machines; (b) relational joins and aggregation for dashboards; and (c) an immutable audit trail for compliance/DR. We use a three-tier storage strategy, all inside the AWS workload account: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700"/>
        <w:gridCol w:w="2400"/>
        <w:gridCol w:w="3300"/>
        <w:gridCol w:w="3400"/>
      </w:tblGrid>
      <w:tr>
        <w:trPr>
          <w:tblHeader/>
        </w:trPr>
        <w:tc>
          <w:tcPr>
            <w:tcW w:type="dxa" w:w="1700"/>
            <w:shd w:fill="0B5394" w:val="clear"/>
            <w:tcMar>
              <w:top w:type="dxa" w:w="60"/>
              <w:left w:type="dxa" w:w="100"/>
              <w:bottom w:type="dxa" w:w="60"/>
              <w:right w:type="dxa" w:w="100"/>
            </w:tcMar>
            <w:vAlign w:val="center"/>
          </w:tcPr>
          <w:p>
            <w:r>
              <w:rPr>
                <w:b/>
                <w:bCs/>
                <w:i w:val="false"/>
                <w:iCs w:val="false"/>
                <w:color w:val="FFFFFF"/>
                <w:sz w:val="18"/>
                <w:szCs w:val="18"/>
              </w:rPr>
              <w:t xml:space="preserve">Tier</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AWS service</w:t>
            </w:r>
          </w:p>
        </w:tc>
        <w:tc>
          <w:tcPr>
            <w:tcW w:type="dxa" w:w="3300"/>
            <w:shd w:fill="0B5394" w:val="clear"/>
            <w:tcMar>
              <w:top w:type="dxa" w:w="60"/>
              <w:left w:type="dxa" w:w="100"/>
              <w:bottom w:type="dxa" w:w="60"/>
              <w:right w:type="dxa" w:w="100"/>
            </w:tcMar>
            <w:vAlign w:val="center"/>
          </w:tcPr>
          <w:p>
            <w:r>
              <w:rPr>
                <w:b/>
                <w:bCs/>
                <w:i w:val="false"/>
                <w:iCs w:val="false"/>
                <w:color w:val="FFFFFF"/>
                <w:sz w:val="18"/>
                <w:szCs w:val="18"/>
              </w:rPr>
              <w:t xml:space="preserve">Purpose</w:t>
            </w:r>
          </w:p>
        </w:tc>
        <w:tc>
          <w:tcPr>
            <w:tcW w:type="dxa" w:w="3400"/>
            <w:shd w:fill="0B5394" w:val="clear"/>
            <w:tcMar>
              <w:top w:type="dxa" w:w="60"/>
              <w:left w:type="dxa" w:w="100"/>
              <w:bottom w:type="dxa" w:w="60"/>
              <w:right w:type="dxa" w:w="100"/>
            </w:tcMar>
            <w:vAlign w:val="center"/>
          </w:tcPr>
          <w:p>
            <w:r>
              <w:rPr>
                <w:b/>
                <w:bCs/>
                <w:i w:val="false"/>
                <w:iCs w:val="false"/>
                <w:color w:val="FFFFFF"/>
                <w:sz w:val="18"/>
                <w:szCs w:val="18"/>
              </w:rPr>
              <w:t xml:space="preserve">Why this service under our constraints</w:t>
            </w:r>
          </w:p>
        </w:tc>
      </w:tr>
      <w:tr>
        <w:tc>
          <w:tcPr>
            <w:tcW w:type="dxa" w:w="1700"/>
            <w:tcMar>
              <w:top w:type="dxa" w:w="60"/>
              <w:left w:type="dxa" w:w="100"/>
              <w:bottom w:type="dxa" w:w="60"/>
              <w:right w:type="dxa" w:w="100"/>
            </w:tcMar>
            <w:vAlign w:val="center"/>
          </w:tcPr>
          <w:p>
            <w:r>
              <w:rPr>
                <w:b w:val="false"/>
                <w:bCs w:val="false"/>
                <w:i w:val="false"/>
                <w:iCs w:val="false"/>
                <w:sz w:val="18"/>
                <w:szCs w:val="18"/>
              </w:rPr>
              <w:t xml:space="preserve">Landing (raw, immutable)</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Amazon S3 (versioned, SSE-KMS)</w:t>
            </w:r>
          </w:p>
        </w:tc>
        <w:tc>
          <w:tcPr>
            <w:tcW w:type="dxa" w:w="3300"/>
            <w:tcMar>
              <w:top w:type="dxa" w:w="60"/>
              <w:left w:type="dxa" w:w="100"/>
              <w:bottom w:type="dxa" w:w="60"/>
              <w:right w:type="dxa" w:w="100"/>
            </w:tcMar>
            <w:vAlign w:val="center"/>
          </w:tcPr>
          <w:p>
            <w:r>
              <w:rPr>
                <w:b w:val="false"/>
                <w:bCs w:val="false"/>
                <w:i w:val="false"/>
                <w:iCs w:val="false"/>
                <w:sz w:val="18"/>
                <w:szCs w:val="18"/>
              </w:rPr>
              <w:t xml:space="preserve">Every accepted batch is written as-is (already minimized/allow-listed) before any transformation. This is the durability and replay/DR layer the original design explicitly deferred.</w:t>
            </w:r>
          </w:p>
        </w:tc>
        <w:tc>
          <w:tcPr>
            <w:tcW w:type="dxa" w:w="3400"/>
            <w:tcMar>
              <w:top w:type="dxa" w:w="60"/>
              <w:left w:type="dxa" w:w="100"/>
              <w:bottom w:type="dxa" w:w="60"/>
              <w:right w:type="dxa" w:w="100"/>
            </w:tcMar>
            <w:vAlign w:val="center"/>
          </w:tcPr>
          <w:p>
            <w:r>
              <w:rPr>
                <w:b w:val="false"/>
                <w:bCs w:val="false"/>
                <w:i w:val="false"/>
                <w:iCs w:val="false"/>
                <w:sz w:val="18"/>
                <w:szCs w:val="18"/>
              </w:rPr>
              <w:t xml:space="preserve">No servers to manage; near-infinite durability (11 nines); cheap; lets us rebuild the curated store from scratch if a bug is found in transform logic.</w:t>
            </w:r>
          </w:p>
        </w:tc>
      </w:tr>
      <w:tr>
        <w:tc>
          <w:tcPr>
            <w:tcW w:type="dxa" w:w="1700"/>
            <w:shd w:fill="EFF4FA" w:val="clear"/>
            <w:tcMar>
              <w:top w:type="dxa" w:w="60"/>
              <w:left w:type="dxa" w:w="100"/>
              <w:bottom w:type="dxa" w:w="60"/>
              <w:right w:type="dxa" w:w="100"/>
            </w:tcMar>
            <w:vAlign w:val="center"/>
          </w:tcPr>
          <w:p>
            <w:r>
              <w:rPr>
                <w:b w:val="false"/>
                <w:bCs w:val="false"/>
                <w:i w:val="false"/>
                <w:iCs w:val="false"/>
                <w:sz w:val="18"/>
                <w:szCs w:val="18"/>
              </w:rPr>
              <w:t xml:space="preserve">Idempotency ledger</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Amazon DynamoDB (on-demand, TTL enabled)</w:t>
            </w:r>
          </w:p>
        </w:tc>
        <w:tc>
          <w:tcPr>
            <w:tcW w:type="dxa" w:w="3300"/>
            <w:shd w:fill="EFF4FA" w:val="clear"/>
            <w:tcMar>
              <w:top w:type="dxa" w:w="60"/>
              <w:left w:type="dxa" w:w="100"/>
              <w:bottom w:type="dxa" w:w="60"/>
              <w:right w:type="dxa" w:w="100"/>
            </w:tcMar>
            <w:vAlign w:val="center"/>
          </w:tcPr>
          <w:p>
            <w:r>
              <w:rPr>
                <w:b w:val="false"/>
                <w:bCs w:val="false"/>
                <w:i w:val="false"/>
                <w:iCs w:val="false"/>
                <w:sz w:val="18"/>
                <w:szCs w:val="18"/>
              </w:rPr>
              <w:t xml:space="preserve">One row per idempotency_key with a conditional put (attribute_not_exists) so a retried batch from the extension's local queue is dropped, not double-counted.</w:t>
            </w:r>
          </w:p>
        </w:tc>
        <w:tc>
          <w:tcPr>
            <w:tcW w:type="dxa" w:w="3400"/>
            <w:shd w:fill="EFF4FA" w:val="clear"/>
            <w:tcMar>
              <w:top w:type="dxa" w:w="60"/>
              <w:left w:type="dxa" w:w="100"/>
              <w:bottom w:type="dxa" w:w="60"/>
              <w:right w:type="dxa" w:w="100"/>
            </w:tcMar>
            <w:vAlign w:val="center"/>
          </w:tcPr>
          <w:p>
            <w:r>
              <w:rPr>
                <w:b w:val="false"/>
                <w:bCs w:val="false"/>
                <w:i w:val="false"/>
                <w:iCs w:val="false"/>
                <w:sz w:val="18"/>
                <w:szCs w:val="18"/>
              </w:rPr>
              <w:t xml:space="preserve">Sub-millisecond conditional writes at any scale; TTL auto-expires old keys; far cheaper than doing dedup with a relational UPDATE lock under high write concurrency.</w:t>
            </w:r>
          </w:p>
        </w:tc>
      </w:tr>
      <w:tr>
        <w:tc>
          <w:tcPr>
            <w:tcW w:type="dxa" w:w="1700"/>
            <w:tcMar>
              <w:top w:type="dxa" w:w="60"/>
              <w:left w:type="dxa" w:w="100"/>
              <w:bottom w:type="dxa" w:w="60"/>
              <w:right w:type="dxa" w:w="100"/>
            </w:tcMar>
            <w:vAlign w:val="center"/>
          </w:tcPr>
          <w:p>
            <w:r>
              <w:rPr>
                <w:b w:val="false"/>
                <w:bCs w:val="false"/>
                <w:i w:val="false"/>
                <w:iCs w:val="false"/>
                <w:sz w:val="18"/>
                <w:szCs w:val="18"/>
              </w:rPr>
              <w:t xml:space="preserve">Curated system of record</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Amazon Aurora PostgreSQL (Serverless v2)</w:t>
            </w:r>
          </w:p>
        </w:tc>
        <w:tc>
          <w:tcPr>
            <w:tcW w:type="dxa" w:w="3300"/>
            <w:tcMar>
              <w:top w:type="dxa" w:w="60"/>
              <w:left w:type="dxa" w:w="100"/>
              <w:bottom w:type="dxa" w:w="60"/>
              <w:right w:type="dxa" w:w="100"/>
            </w:tcMar>
            <w:vAlign w:val="center"/>
          </w:tcPr>
          <w:p>
            <w:r>
              <w:rPr>
                <w:b w:val="false"/>
                <w:bCs w:val="false"/>
                <w:i w:val="false"/>
                <w:iCs w:val="false"/>
                <w:sz w:val="18"/>
                <w:szCs w:val="18"/>
              </w:rPr>
              <w:t xml:space="preserve">All dimension and fact tables described in 3.3–3.4, with real foreign keys, indexes, materialized views, and row-level security for the dashboards.</w:t>
            </w:r>
          </w:p>
        </w:tc>
        <w:tc>
          <w:tcPr>
            <w:tcW w:type="dxa" w:w="3400"/>
            <w:tcMar>
              <w:top w:type="dxa" w:w="60"/>
              <w:left w:type="dxa" w:w="100"/>
              <w:bottom w:type="dxa" w:w="60"/>
              <w:right w:type="dxa" w:w="100"/>
            </w:tcMar>
            <w:vAlign w:val="center"/>
          </w:tcPr>
          <w:p>
            <w:r>
              <w:rPr>
                <w:b w:val="false"/>
                <w:bCs w:val="false"/>
                <w:i w:val="false"/>
                <w:iCs w:val="false"/>
                <w:sz w:val="18"/>
                <w:szCs w:val="18"/>
              </w:rPr>
              <w:t xml:space="preserve">This is the piece the dashboards actually query. Dashboards need multi-table joins, aggregation, and window functions (retention curves, rollups) — a relational engine is the right tool, and Aurora Serverless v2 scales to zero-ish cost outside business hours, which matters for a POC budget.</w:t>
            </w:r>
          </w:p>
        </w:tc>
      </w:tr>
    </w:tbl>
    <w:p>
      <w:pPr>
        <w:pBdr>
          <w:left w:val="single" w:color="0B5394" w:sz="12"/>
        </w:pBdr>
        <w:spacing w:after="160" w:before="60"/>
        <w:ind w:left="200"/>
      </w:pPr>
      <w:r>
        <w:rPr>
          <w:i/>
          <w:iCs/>
          <w:color w:val="0B5394"/>
        </w:rPr>
        <w:t xml:space="preserve">Alternative considered: Redshift Serverless or Athena-on-S3 for the curated tier. Rejected for the POC because the dashboard queries are OLTP-shaped (point lookups by user/agent plus modest aggregates), the data volume is small relative to a warehouse's sweet spot, and Aurora Postgres gives us proper transactions/isolation levels and row-level security out of the box, which the org's governance requirements care about.</w:t>
      </w:r>
    </w:p>
    <w:p>
      <w:pPr>
        <w:pStyle w:val="Heading2"/>
        <w:spacing w:after="120" w:before="280"/>
      </w:pPr>
      <w:r>
        <w:t xml:space="preserve">3.2 Entity-relationship overview</w:t>
      </w:r>
    </w:p>
    <w:p>
      <w:pPr>
        <w:spacing w:after="140"/>
      </w:pPr>
      <w:r>
        <w:t xml:space="preserve">All tables live in Aurora PostgreSQL, in a single database with a dedicated schema (adoption_tracker). Dimension tables use Slowly-Changing-Dimension Type 2 (history-preserving) where attributes can drift over time (a user's team changes, an agent is re-published). Fact tables are append-only. Relationships:</w:t>
      </w:r>
    </w:p>
    <w:p>
      <w:pPr>
        <w:pStyle w:val="ListParagraph"/>
        <w:numPr>
          <w:ilvl w:val="0"/>
          <w:numId w:val="2"/>
        </w:numPr>
        <w:spacing w:after="60"/>
      </w:pPr>
      <w:r>
        <w:t xml:space="preserve">dim_user (1) —— (∞) fact_llm_request, fact_agent_flow_event, fact_token_wastage, fact_adoption, fact_feedback, fact_consent_event</w:t>
      </w:r>
    </w:p>
    <w:p>
      <w:pPr>
        <w:pStyle w:val="ListParagraph"/>
        <w:numPr>
          <w:ilvl w:val="0"/>
          <w:numId w:val="2"/>
        </w:numPr>
        <w:spacing w:after="60"/>
      </w:pPr>
      <w:r>
        <w:t xml:space="preserve">dim_agent (1) —— (∞) fact_llm_request, fact_agent_flow_event, fact_token_wastage, fact_adoption, fact_feedback, fact_agent_registration_event</w:t>
      </w:r>
    </w:p>
    <w:p>
      <w:pPr>
        <w:pStyle w:val="ListParagraph"/>
        <w:numPr>
          <w:ilvl w:val="0"/>
          <w:numId w:val="2"/>
        </w:numPr>
        <w:spacing w:after="60"/>
      </w:pPr>
      <w:r>
        <w:t xml:space="preserve">dim_agent (1) —— (∞) bridge_agent_capability —— (∞) dim_capability  [many-to-many: an agent declares many capabilities]</w:t>
      </w:r>
    </w:p>
    <w:p>
      <w:pPr>
        <w:pStyle w:val="ListParagraph"/>
        <w:numPr>
          <w:ilvl w:val="0"/>
          <w:numId w:val="2"/>
        </w:numPr>
        <w:spacing w:after="60"/>
      </w:pPr>
      <w:r>
        <w:t xml:space="preserve">dim_user (1) —— (∞) dim_agent  via owner_acf2_id  [an agent is registered/owned by one user or team at a time]</w:t>
      </w:r>
    </w:p>
    <w:p>
      <w:pPr>
        <w:pStyle w:val="ListParagraph"/>
        <w:numPr>
          <w:ilvl w:val="0"/>
          <w:numId w:val="2"/>
        </w:numPr>
        <w:spacing w:after="60"/>
      </w:pPr>
      <w:r>
        <w:t xml:space="preserve">dim_model (1) —— (∞) fact_llm_request, fact_token_wastage</w:t>
      </w:r>
    </w:p>
    <w:p>
      <w:pPr>
        <w:pStyle w:val="ListParagraph"/>
        <w:numPr>
          <w:ilvl w:val="0"/>
          <w:numId w:val="2"/>
        </w:numPr>
        <w:spacing w:after="60"/>
      </w:pPr>
      <w:r>
        <w:t xml:space="preserve">dim_task_tier (1) —— (∞) fact_token_wastage</w:t>
      </w:r>
    </w:p>
    <w:p>
      <w:pPr>
        <w:pStyle w:val="Heading2"/>
        <w:spacing w:after="120" w:before="280"/>
      </w:pPr>
      <w:r>
        <w:t xml:space="preserve">3.3 Core tables (adoption, usage, feedback, cost)</w:t>
      </w:r>
    </w:p>
    <w:p>
      <w:pPr>
        <w:pStyle w:val="Heading3"/>
        <w:spacing w:after="100" w:before="200"/>
      </w:pPr>
      <w:r>
        <w:t xml:space="preserve">dim_user — one row per employee, SCD Type 2</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acf2_id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varchar(32)</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Natural key (not surrogate PK — see note)</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Org-issued unique identifier; the stable 1:1 user/device key per Decision D3 of the original design.</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user_sk</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bigint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PRIMARY KEY, GENERATED ALWAYS AS IDENTITY</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Surrogate key so SCD history rows share acf2_id but have distinct PKs.</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user_name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varchar(120)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Display name synced from Teams (not authoritative identity).</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organization / team / role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varchar(120) x3</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Org hierarchy for admin filters.</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bg_division</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varchar(120)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Business Group / Division, captured per the problem statement.</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region</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varchar(60)</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Optional; for regional legal review segmentation.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consent_state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CHECK IN ('opted_in','opted_out','withdrawn')</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Current consent state; full history lives in fact_consent_event (3.5).</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retention_class</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 DEFAULT 'standard'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Governs purge job eligibility.</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valid_from / valid_to</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timestamptz</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 / NULL = current</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SCD2 validity window.</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is_current</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boolean</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Fast filter for "latest" row; partial index WHERE is_current.</w:t>
            </w:r>
          </w:p>
        </w:tc>
      </w:tr>
    </w:tbl>
    <w:p>
      <w:pPr>
        <w:pBdr>
          <w:left w:val="single" w:color="0B5394" w:sz="12"/>
        </w:pBdr>
        <w:spacing w:after="160" w:before="60"/>
        <w:ind w:left="200"/>
      </w:pPr>
      <w:r>
        <w:rPr>
          <w:i/>
          <w:iCs/>
          <w:color w:val="0B5394"/>
        </w:rPr>
        <w:t xml:space="preserve">Unique index: (acf2_id) WHERE is_current — guarantees exactly one current row per person while preserving history for org-hierarchy drift.</w:t>
      </w:r>
    </w:p>
    <w:p>
      <w:pPr>
        <w:pStyle w:val="Heading3"/>
        <w:spacing w:after="100" w:before="200"/>
      </w:pPr>
      <w:r>
        <w:t xml:space="preserve">fact_adoption — first-use / active-use rollup per person + agent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acf2_id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varchar(32)</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FK -&gt; dim_user(acf2_id)</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Who used the agent.</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agent_id</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varchar(64)</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FK -&gt; dim_agent(agent_id)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Which agent/skill.</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first_use_date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Triggers the feedback-survey clock (Section 3.6).</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last_active_date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Updated on each new activity day.</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active_day_count</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 DEFAULT 0</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Distinct active days — adoption depth, not just breadth.</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session_count</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 DEFAULT 0</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Total sessions.</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updated_at</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timestamptz</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Optimistic-concurrency column (see 3.7).</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PRIMARY KEY</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(acf2_id, agent_id)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One evolving row per person+agent, upserted — the one intentional exception to "facts are append-only" (justified: this is a running aggregate, not an event).</w:t>
            </w:r>
          </w:p>
        </w:tc>
      </w:tr>
    </w:tbl>
    <w:p>
      <w:pPr>
        <w:pStyle w:val="Heading3"/>
        <w:spacing w:after="100" w:before="200"/>
      </w:pPr>
      <w:r>
        <w:t xml:space="preserve">fact_feedback — delayed survey responses</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feedback_id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bigint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PRIMARY KEY IDENTITY</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Surrogate key.</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acf2_id / agent_id</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FK -&gt; dim_user / dim_agent</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Respondent and agent under review.</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survey_trigger_date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first_use_date + N days (N configurable, default 14).</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response_date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NULL until answered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Null = pending/skipped.</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sentiment_score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smallint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CHECK BETWEEN 1 AND 5</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Structured, not free text.</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time_saved_minutes</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CHECK &gt;= 0</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Self-reported value signal.</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barrier_categories</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text[]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Values from a fixed enum list</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Structured multi-select, never free text (governance rule: no code/secrets in feedback).</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value_signals</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text[]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Values from a fixed enum list</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e.g. faster_delivery, fewer_errors, learned_new_pattern.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UNIQUE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(acf2_id, agent_id, survey_trigger_date)</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Prevents duplicate surveys for the same trigger window.</w:t>
            </w:r>
          </w:p>
        </w:tc>
      </w:tr>
    </w:tbl>
    <w:p>
      <w:pPr>
        <w:pStyle w:val="Heading3"/>
        <w:spacing w:after="100" w:before="200"/>
      </w:pPr>
      <w:r>
        <w:t xml:space="preserve">fact_llm_request / fact_agent_flow_event / fact_token_wastage</w:t>
      </w:r>
    </w:p>
    <w:p>
      <w:pPr>
        <w:spacing w:after="140"/>
      </w:pPr>
      <w:r>
        <w:t xml:space="preserve">These three carry over from the original design largely unchanged (idempotency_key as PK, FKs to dim_user / dim_agent / dim_model / dim_task_tier, allow-listed numeric/metadata columns only). Full column lists are preserved from the original ER diagram; see Appendix A. The only structural change: all three now also carry a nullable registration_version_id column referencing dim_agent's SCD2 surrogate key, so usage/cost/wastage can be sliced by which version of an agent was running — directly feeding Agent Insights (3.4).</w:t>
      </w:r>
    </w:p>
    <w:p>
      <w:pPr>
        <w:pStyle w:val="Heading2"/>
        <w:spacing w:after="120" w:before="280"/>
      </w:pPr>
      <w:r>
        <w:t xml:space="preserve">3.4 New: Agent Catalog &amp; Agent Insights</w:t>
      </w:r>
    </w:p>
    <w:p>
      <w:pPr>
        <w:spacing w:after="140"/>
      </w:pPr>
      <w:r>
        <w:t xml:space="preserve">This is the structural change requested in this revision. The goal is to capture, for every agent that integrates the tracker, whether it is a custom agent someone built versus a Copilot-native agent/skill, who owns it, where it lives, what it can do, and how it is evolving — so the org can answer "what agents exist, who's using them, and who should we notify about a new release" (the success vision in the problem statement).</w:t>
      </w:r>
    </w:p>
    <w:p>
      <w:pPr>
        <w:pStyle w:val="Heading3"/>
        <w:spacing w:after="100" w:before="200"/>
      </w:pPr>
      <w:r>
        <w:t xml:space="preserve">dim_agent — agent catalog, SCD Type 2</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agent_id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varchar(64)</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Natural key, stable across versions</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Assigned once at first registration (UUID or slug); never reused.</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agent_sk</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bigint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PRIMARY KEY IDENTITY</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Surrogate key for SCD2 history rows.</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agent_name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varchar(160)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Display name.</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agent_type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varchar(24)</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CHECK IN ('custom_user_built','copilot_native_agent','copilot_skill','third_party')</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The core new field — answers "is this custom or Copilot-native?" directly, as requested.</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owner_acf2_id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varchar(32)</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FK -&gt; dim_user(acf2_id), NULL for vendor-native agents</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Individual or team maintainer contact for change-management outreach.</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source_repo_url</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text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Link to the agent's repo — supports "generic, addable to any AI Agents' repo".</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description</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text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Short human-readable purpose statement (metadata only, never prompt/system-prompt text).</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category</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varchar(60)</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e.g. code_review, testing, docs, data_analysis.</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publish_scope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CHECK IN ('personal','team','org_catalog')</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Discoverability level — org_catalog agents surface in the "new releases" notification flow.</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catalog_status</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CHECK IN ('active','deprecated','retired')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Lifecycle state.</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definition_version</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varchar(40)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Semver or content hash of the agent's manifest — never the agent's actual instructions/prompt.</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extension_version</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varchar(40)</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NULL</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Version of the tracker client integrated into this agent's repo.</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valid_from / valid_to / is_current</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timestamptz / boolean</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SCD2 fields</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Every republish/metadata change writes a new version row.</w:t>
            </w:r>
          </w:p>
        </w:tc>
      </w:tr>
    </w:tbl>
    <w:p>
      <w:pPr>
        <w:pBdr>
          <w:left w:val="single" w:color="0B5394" w:sz="12"/>
        </w:pBdr>
        <w:spacing w:after="160" w:before="60"/>
        <w:ind w:left="200"/>
      </w:pPr>
      <w:r>
        <w:rPr>
          <w:i/>
          <w:iCs/>
          <w:color w:val="0B5394"/>
        </w:rPr>
        <w:t xml:space="preserve">Only metadata about the agent is stored — never its system prompt, source code, or instructions. This keeps the catalog compliant with governance rule D6/D7 while still answering "what is this agent and who owns it."</w:t>
      </w:r>
    </w:p>
    <w:p>
      <w:pPr>
        <w:pStyle w:val="Heading3"/>
        <w:spacing w:after="100" w:before="200"/>
      </w:pPr>
      <w:r>
        <w:t xml:space="preserve">dim_capability + bridge_agent_capability — declared capabilities (many-to-many)</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capability_id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smallint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PRIMARY KEY</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Small fixed lookup table, e.g. code_generation, test_generation, pr_review, doc_generation, refactoring, data_query.</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label</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varchar(80)</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 UNIQUE</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Human-readable capability tag.</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 bridge_agent_capability —</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agent_id</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varchar(64)</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FK -&gt; dim_agent(agent_id)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Composite PK with capability_id.</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capability_id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smallint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FK -&gt; dim_capability(capability_id)</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An agent can declare many capabilities.</w:t>
            </w:r>
          </w:p>
        </w:tc>
      </w:tr>
    </w:tbl>
    <w:p>
      <w:pPr>
        <w:pStyle w:val="Heading3"/>
        <w:spacing w:after="100" w:before="200"/>
      </w:pPr>
      <w:r>
        <w:t xml:space="preserve">fact_agent_registration_event — append-only audit trail (the "insights" ledger)</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event_id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bigint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PRIMARY KEY IDENTITY</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Surrogate key.</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agent_id</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varchar(64)</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FK -&gt; dim_agent(agent_id)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Which agent.</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acf2_id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varchar(32)</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FK -&gt; dim_user(acf2_id)</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Who performed the action (register/update/publish/deprecate).</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event_type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varchar(24)</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CHECK IN ('registered','metadata_updated','published_to_catalog','deprecated','retired')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What happened.</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definition_version</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varchar(40)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Version at time of event — links back to dim_agent history.</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change_summary</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text</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NULL, max 500 chars, plain text only</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Optional human-entered release note (structured field, not code).</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ts</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timestamptz</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NOT NULL DEFAULT now()</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Event time — this table powers "notify people of new releases."</w:t>
            </w:r>
          </w:p>
        </w:tc>
      </w:tr>
    </w:tbl>
    <w:p>
      <w:pPr>
        <w:pBdr>
          <w:left w:val="single" w:color="0B5394" w:sz="12"/>
        </w:pBdr>
        <w:spacing w:after="160" w:before="60"/>
        <w:ind w:left="200"/>
      </w:pPr>
      <w:r>
        <w:rPr>
          <w:i/>
          <w:iCs/>
          <w:color w:val="0B5394"/>
        </w:rPr>
        <w:t xml:space="preserve">This event log is what makes the catalog auditable and is the direct source for a "new releases" notification job: an EventBridge rule scans for published_to_catalog events daily and triggers a digest to subscribed teams.</w:t>
      </w:r>
    </w:p>
    <w:p>
      <w:pPr>
        <w:pStyle w:val="Heading3"/>
        <w:spacing w:after="100" w:before="200"/>
      </w:pPr>
      <w:r>
        <w:t xml:space="preserve">Derived: mv_agent_insight_rollup (materialized view)</w:t>
      </w:r>
    </w:p>
    <w:p>
      <w:pPr>
        <w:spacing w:after="140"/>
      </w:pPr>
      <w:r>
        <w:t xml:space="preserve">A materialized view, refreshed on a schedule, joining dim_agent to fact_adoption, fact_feedback, and fact_token_wastage to produce the single dataset the "Agent Insights" panel of the admin dashboard reads: per agent — type (custom vs Copilot-native), owner, publish scope, adopter count, retention, average sentiment, average time saved, wastage rate, and days since last release. This view, not raw fact tables, is what the dashboard queries, keeping dashboard latency independent of ingestion volume.</w:t>
      </w:r>
    </w:p>
    <w:p>
      <w:pPr>
        <w:pStyle w:val="Heading2"/>
        <w:spacing w:after="120" w:before="280"/>
      </w:pPr>
      <w:r>
        <w:t xml:space="preserve">3.5 Consent as an append-only event log</w:t>
      </w:r>
    </w:p>
    <w:p>
      <w:pPr>
        <w:spacing w:after="140"/>
      </w:pPr>
      <w:r>
        <w:t xml:space="preserve">The original design modeled consent purely as a mutable state on dim_user. This revision adds fact_consent_event as the source of truth, with dim_user.consent_state kept as a fast-read cache of the latest event: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900"/>
        <w:gridCol w:w="1500"/>
        <w:gridCol w:w="2400"/>
        <w:gridCol w:w="5000"/>
      </w:tblGrid>
      <w:tr>
        <w:trPr>
          <w:tblHeader/>
        </w:trPr>
        <w:tc>
          <w:tcPr>
            <w:tcW w:type="dxa" w:w="1900"/>
            <w:shd w:fill="0B5394" w:val="clear"/>
            <w:tcMar>
              <w:top w:type="dxa" w:w="60"/>
              <w:left w:type="dxa" w:w="100"/>
              <w:bottom w:type="dxa" w:w="60"/>
              <w:right w:type="dxa" w:w="100"/>
            </w:tcMar>
            <w:vAlign w:val="center"/>
          </w:tcPr>
          <w:p>
            <w:r>
              <w:rPr>
                <w:b/>
                <w:bCs/>
                <w:i w:val="false"/>
                <w:iCs w:val="false"/>
                <w:color w:val="FFFFFF"/>
                <w:sz w:val="18"/>
                <w:szCs w:val="18"/>
              </w:rPr>
              <w:t xml:space="preserve">Column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Type</w:t>
            </w:r>
          </w:p>
        </w:tc>
        <w:tc>
          <w:tcPr>
            <w:tcW w:type="dxa" w:w="2400"/>
            <w:shd w:fill="0B5394" w:val="clear"/>
            <w:tcMar>
              <w:top w:type="dxa" w:w="60"/>
              <w:left w:type="dxa" w:w="100"/>
              <w:bottom w:type="dxa" w:w="60"/>
              <w:right w:type="dxa" w:w="100"/>
            </w:tcMar>
            <w:vAlign w:val="center"/>
          </w:tcPr>
          <w:p>
            <w:r>
              <w:rPr>
                <w:b/>
                <w:bCs/>
                <w:i w:val="false"/>
                <w:iCs w:val="false"/>
                <w:color w:val="FFFFFF"/>
                <w:sz w:val="18"/>
                <w:szCs w:val="18"/>
              </w:rPr>
              <w:t xml:space="preserve">Constraints</w:t>
            </w:r>
          </w:p>
        </w:tc>
        <w:tc>
          <w:tcPr>
            <w:tcW w:type="dxa" w:w="5000"/>
            <w:shd w:fill="0B5394" w:val="clear"/>
            <w:tcMar>
              <w:top w:type="dxa" w:w="60"/>
              <w:left w:type="dxa" w:w="100"/>
              <w:bottom w:type="dxa" w:w="60"/>
              <w:right w:type="dxa" w:w="100"/>
            </w:tcMar>
            <w:vAlign w:val="center"/>
          </w:tcPr>
          <w:p>
            <w:r>
              <w:rPr>
                <w:b/>
                <w:bCs/>
                <w:i w:val="false"/>
                <w:iCs w:val="false"/>
                <w:color w:val="FFFFFF"/>
                <w:sz w:val="18"/>
                <w:szCs w:val="18"/>
              </w:rPr>
              <w:t xml:space="preserve">Description</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event_id</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bigint</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PRIMARY KEY IDENTITY</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Surrogate key.</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acf2_id</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varchar(32)</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FK -&gt; dim_user(acf2_id)</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Whose consent.</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event_type</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CHECK IN ('opted_in','opted_out','withdrawn','erasure_requested','erased')</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Full lifecycle per Section 12 of the original design.</w:t>
            </w:r>
          </w:p>
        </w:tc>
      </w:tr>
      <w:tr>
        <w:tc>
          <w:tcPr>
            <w:tcW w:type="dxa" w:w="1900"/>
            <w:shd w:fill="EFF4FA" w:val="clear"/>
            <w:tcMar>
              <w:top w:type="dxa" w:w="60"/>
              <w:left w:type="dxa" w:w="100"/>
              <w:bottom w:type="dxa" w:w="60"/>
              <w:right w:type="dxa" w:w="100"/>
            </w:tcMar>
            <w:vAlign w:val="center"/>
          </w:tcPr>
          <w:p>
            <w:r>
              <w:rPr>
                <w:b w:val="false"/>
                <w:bCs w:val="false"/>
                <w:i w:val="false"/>
                <w:iCs w:val="false"/>
                <w:sz w:val="18"/>
                <w:szCs w:val="18"/>
              </w:rPr>
              <w:t xml:space="preserve">ts</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timestamptz</w:t>
            </w:r>
          </w:p>
        </w:tc>
        <w:tc>
          <w:tcPr>
            <w:tcW w:type="dxa" w:w="2400"/>
            <w:shd w:fill="EFF4FA" w:val="clear"/>
            <w:tcMar>
              <w:top w:type="dxa" w:w="60"/>
              <w:left w:type="dxa" w:w="100"/>
              <w:bottom w:type="dxa" w:w="60"/>
              <w:right w:type="dxa" w:w="100"/>
            </w:tcMar>
            <w:vAlign w:val="center"/>
          </w:tcPr>
          <w:p>
            <w:r>
              <w:rPr>
                <w:b w:val="false"/>
                <w:bCs w:val="false"/>
                <w:i w:val="false"/>
                <w:iCs w:val="false"/>
                <w:sz w:val="18"/>
                <w:szCs w:val="18"/>
              </w:rPr>
              <w:t xml:space="preserve">NOT NULL DEFAULT now()</w:t>
            </w:r>
          </w:p>
        </w:tc>
        <w:tc>
          <w:tcPr>
            <w:tcW w:type="dxa" w:w="5000"/>
            <w:shd w:fill="EFF4FA" w:val="clear"/>
            <w:tcMar>
              <w:top w:type="dxa" w:w="60"/>
              <w:left w:type="dxa" w:w="100"/>
              <w:bottom w:type="dxa" w:w="60"/>
              <w:right w:type="dxa" w:w="100"/>
            </w:tcMar>
            <w:vAlign w:val="center"/>
          </w:tcPr>
          <w:p>
            <w:r>
              <w:rPr>
                <w:b w:val="false"/>
                <w:bCs w:val="false"/>
                <w:i w:val="false"/>
                <w:iCs w:val="false"/>
                <w:sz w:val="18"/>
                <w:szCs w:val="18"/>
              </w:rPr>
              <w:t xml:space="preserve">When it happened — audit requirement.</w:t>
            </w:r>
          </w:p>
        </w:tc>
      </w:tr>
      <w:tr>
        <w:tc>
          <w:tcPr>
            <w:tcW w:type="dxa" w:w="1900"/>
            <w:tcMar>
              <w:top w:type="dxa" w:w="60"/>
              <w:left w:type="dxa" w:w="100"/>
              <w:bottom w:type="dxa" w:w="60"/>
              <w:right w:type="dxa" w:w="100"/>
            </w:tcMar>
            <w:vAlign w:val="center"/>
          </w:tcPr>
          <w:p>
            <w:r>
              <w:rPr>
                <w:b w:val="false"/>
                <w:bCs w:val="false"/>
                <w:i w:val="false"/>
                <w:iCs w:val="false"/>
                <w:sz w:val="18"/>
                <w:szCs w:val="18"/>
              </w:rPr>
              <w:t xml:space="preserve">actor</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2400"/>
            <w:tcMar>
              <w:top w:type="dxa" w:w="60"/>
              <w:left w:type="dxa" w:w="100"/>
              <w:bottom w:type="dxa" w:w="60"/>
              <w:right w:type="dxa" w:w="100"/>
            </w:tcMar>
            <w:vAlign w:val="center"/>
          </w:tcPr>
          <w:p>
            <w:r>
              <w:rPr>
                <w:b w:val="false"/>
                <w:bCs w:val="false"/>
                <w:i w:val="false"/>
                <w:iCs w:val="false"/>
                <w:sz w:val="18"/>
                <w:szCs w:val="18"/>
              </w:rPr>
              <w:t xml:space="preserve">CHECK IN ('self','admin_reidentify')</w:t>
            </w:r>
          </w:p>
        </w:tc>
        <w:tc>
          <w:tcPr>
            <w:tcW w:type="dxa" w:w="5000"/>
            <w:tcMar>
              <w:top w:type="dxa" w:w="60"/>
              <w:left w:type="dxa" w:w="100"/>
              <w:bottom w:type="dxa" w:w="60"/>
              <w:right w:type="dxa" w:w="100"/>
            </w:tcMar>
            <w:vAlign w:val="center"/>
          </w:tcPr>
          <w:p>
            <w:r>
              <w:rPr>
                <w:b w:val="false"/>
                <w:bCs w:val="false"/>
                <w:i w:val="false"/>
                <w:iCs w:val="false"/>
                <w:sz w:val="18"/>
                <w:szCs w:val="18"/>
              </w:rPr>
              <w:t xml:space="preserve">Distinguishes self-service actions from audited admin re-identification.</w:t>
            </w:r>
          </w:p>
        </w:tc>
      </w:tr>
    </w:tbl>
    <w:p>
      <w:pPr>
        <w:pStyle w:val="Heading2"/>
        <w:spacing w:after="120" w:before="280"/>
      </w:pPr>
      <w:r>
        <w:t xml:space="preserve">3.6 Transaction and isolation-level strategy</w:t>
      </w:r>
    </w:p>
    <w:p>
      <w:pPr>
        <w:spacing w:after="140"/>
      </w:pPr>
      <w:r>
        <w:t xml:space="preserve">Aurora PostgreSQL defaults to READ COMMITTED. We deviate from the default only where a real race condition exists; everywhere else the default is kept for throughput. This is the isolation policy per table/operation:</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2100"/>
        <w:gridCol w:w="1500"/>
        <w:gridCol w:w="2600"/>
        <w:gridCol w:w="4600"/>
      </w:tblGrid>
      <w:tr>
        <w:trPr>
          <w:tblHeader/>
        </w:trPr>
        <w:tc>
          <w:tcPr>
            <w:tcW w:type="dxa" w:w="2100"/>
            <w:shd w:fill="0B5394" w:val="clear"/>
            <w:tcMar>
              <w:top w:type="dxa" w:w="60"/>
              <w:left w:type="dxa" w:w="100"/>
              <w:bottom w:type="dxa" w:w="60"/>
              <w:right w:type="dxa" w:w="100"/>
            </w:tcMar>
            <w:vAlign w:val="center"/>
          </w:tcPr>
          <w:p>
            <w:r>
              <w:rPr>
                <w:b/>
                <w:bCs/>
                <w:i w:val="false"/>
                <w:iCs w:val="false"/>
                <w:color w:val="FFFFFF"/>
                <w:sz w:val="18"/>
                <w:szCs w:val="18"/>
              </w:rPr>
              <w:t xml:space="preserve">Table / operation</w:t>
            </w:r>
          </w:p>
        </w:tc>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Isolation level</w:t>
            </w:r>
          </w:p>
        </w:tc>
        <w:tc>
          <w:tcPr>
            <w:tcW w:type="dxa" w:w="2600"/>
            <w:shd w:fill="0B5394" w:val="clear"/>
            <w:tcMar>
              <w:top w:type="dxa" w:w="60"/>
              <w:left w:type="dxa" w:w="100"/>
              <w:bottom w:type="dxa" w:w="60"/>
              <w:right w:type="dxa" w:w="100"/>
            </w:tcMar>
            <w:vAlign w:val="center"/>
          </w:tcPr>
          <w:p>
            <w:r>
              <w:rPr>
                <w:b/>
                <w:bCs/>
                <w:i w:val="false"/>
                <w:iCs w:val="false"/>
                <w:color w:val="FFFFFF"/>
                <w:sz w:val="18"/>
                <w:szCs w:val="18"/>
              </w:rPr>
              <w:t xml:space="preserve">Concurrency control</w:t>
            </w:r>
          </w:p>
        </w:tc>
        <w:tc>
          <w:tcPr>
            <w:tcW w:type="dxa" w:w="4600"/>
            <w:shd w:fill="0B5394" w:val="clear"/>
            <w:tcMar>
              <w:top w:type="dxa" w:w="60"/>
              <w:left w:type="dxa" w:w="100"/>
              <w:bottom w:type="dxa" w:w="60"/>
              <w:right w:type="dxa" w:w="100"/>
            </w:tcMar>
            <w:vAlign w:val="center"/>
          </w:tcPr>
          <w:p>
            <w:r>
              <w:rPr>
                <w:b/>
                <w:bCs/>
                <w:i w:val="false"/>
                <w:iCs w:val="false"/>
                <w:color w:val="FFFFFF"/>
                <w:sz w:val="18"/>
                <w:szCs w:val="18"/>
              </w:rPr>
              <w:t xml:space="preserve">Why</w:t>
            </w:r>
          </w:p>
        </w:tc>
      </w:tr>
      <w:tr>
        <w:tc>
          <w:tcPr>
            <w:tcW w:type="dxa" w:w="2100"/>
            <w:tcMar>
              <w:top w:type="dxa" w:w="60"/>
              <w:left w:type="dxa" w:w="100"/>
              <w:bottom w:type="dxa" w:w="60"/>
              <w:right w:type="dxa" w:w="100"/>
            </w:tcMar>
            <w:vAlign w:val="center"/>
          </w:tcPr>
          <w:p>
            <w:r>
              <w:rPr>
                <w:b w:val="false"/>
                <w:bCs w:val="false"/>
                <w:i w:val="false"/>
                <w:iCs w:val="false"/>
                <w:sz w:val="18"/>
                <w:szCs w:val="18"/>
              </w:rPr>
              <w:t xml:space="preserve">fact_llm_request, fact_agent_flow_event, fact_token_wastage inserts</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READ COMMITTED (default)</w:t>
            </w:r>
          </w:p>
        </w:tc>
        <w:tc>
          <w:tcPr>
            <w:tcW w:type="dxa" w:w="2600"/>
            <w:tcMar>
              <w:top w:type="dxa" w:w="60"/>
              <w:left w:type="dxa" w:w="100"/>
              <w:bottom w:type="dxa" w:w="60"/>
              <w:right w:type="dxa" w:w="100"/>
            </w:tcMar>
            <w:vAlign w:val="center"/>
          </w:tcPr>
          <w:p>
            <w:r>
              <w:rPr>
                <w:b w:val="false"/>
                <w:bCs w:val="false"/>
                <w:i w:val="false"/>
                <w:iCs w:val="false"/>
                <w:sz w:val="18"/>
                <w:szCs w:val="18"/>
              </w:rPr>
              <w:t xml:space="preserve">UNIQUE constraint on idempotency_key + INSERT ... ON CONFLICT DO NOTHING</w:t>
            </w:r>
          </w:p>
        </w:tc>
        <w:tc>
          <w:tcPr>
            <w:tcW w:type="dxa" w:w="4600"/>
            <w:tcMar>
              <w:top w:type="dxa" w:w="60"/>
              <w:left w:type="dxa" w:w="100"/>
              <w:bottom w:type="dxa" w:w="60"/>
              <w:right w:type="dxa" w:w="100"/>
            </w:tcMar>
            <w:vAlign w:val="center"/>
          </w:tcPr>
          <w:p>
            <w:r>
              <w:rPr>
                <w:b w:val="false"/>
                <w:bCs w:val="false"/>
                <w:i w:val="false"/>
                <w:iCs w:val="false"/>
                <w:sz w:val="18"/>
                <w:szCs w:val="18"/>
              </w:rPr>
              <w:t xml:space="preserve">Rows are independent events; correctness comes from the unique constraint being enforced atomically, not from a stronger isolation level. High write concurrency benefits from staying at the default.</w:t>
            </w:r>
          </w:p>
        </w:tc>
      </w:tr>
      <w:tr>
        <w:tc>
          <w:tcPr>
            <w:tcW w:type="dxa" w:w="2100"/>
            <w:shd w:fill="EFF4FA" w:val="clear"/>
            <w:tcMar>
              <w:top w:type="dxa" w:w="60"/>
              <w:left w:type="dxa" w:w="100"/>
              <w:bottom w:type="dxa" w:w="60"/>
              <w:right w:type="dxa" w:w="100"/>
            </w:tcMar>
            <w:vAlign w:val="center"/>
          </w:tcPr>
          <w:p>
            <w:r>
              <w:rPr>
                <w:b w:val="false"/>
                <w:bCs w:val="false"/>
                <w:i w:val="false"/>
                <w:iCs w:val="false"/>
                <w:sz w:val="18"/>
                <w:szCs w:val="18"/>
              </w:rPr>
              <w:t xml:space="preserve">fact_adoption upsert (running aggregate)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READ COMMITTED</w:t>
            </w:r>
          </w:p>
        </w:tc>
        <w:tc>
          <w:tcPr>
            <w:tcW w:type="dxa" w:w="2600"/>
            <w:shd w:fill="EFF4FA" w:val="clear"/>
            <w:tcMar>
              <w:top w:type="dxa" w:w="60"/>
              <w:left w:type="dxa" w:w="100"/>
              <w:bottom w:type="dxa" w:w="60"/>
              <w:right w:type="dxa" w:w="100"/>
            </w:tcMar>
            <w:vAlign w:val="center"/>
          </w:tcPr>
          <w:p>
            <w:r>
              <w:rPr>
                <w:b w:val="false"/>
                <w:bCs w:val="false"/>
                <w:i w:val="false"/>
                <w:iCs w:val="false"/>
                <w:sz w:val="18"/>
                <w:szCs w:val="18"/>
              </w:rPr>
              <w:t xml:space="preserve">INSERT ... ON CONFLICT (acf2_id, agent_id) DO UPDATE with a WHERE clause on updated_at (optimistic concurrency)</w:t>
            </w:r>
          </w:p>
        </w:tc>
        <w:tc>
          <w:tcPr>
            <w:tcW w:type="dxa" w:w="4600"/>
            <w:shd w:fill="EFF4FA" w:val="clear"/>
            <w:tcMar>
              <w:top w:type="dxa" w:w="60"/>
              <w:left w:type="dxa" w:w="100"/>
              <w:bottom w:type="dxa" w:w="60"/>
              <w:right w:type="dxa" w:w="100"/>
            </w:tcMar>
            <w:vAlign w:val="center"/>
          </w:tcPr>
          <w:p>
            <w:r>
              <w:rPr>
                <w:b w:val="false"/>
                <w:bCs w:val="false"/>
                <w:i w:val="false"/>
                <w:iCs w:val="false"/>
                <w:sz w:val="18"/>
                <w:szCs w:val="18"/>
              </w:rPr>
              <w:t xml:space="preserve">Two events for the same person+agent can arrive close together from the local batch queue; the WHERE guard prevents a stale write from clobbering a newer one without needing to lock.</w:t>
            </w:r>
          </w:p>
        </w:tc>
      </w:tr>
      <w:tr>
        <w:tc>
          <w:tcPr>
            <w:tcW w:type="dxa" w:w="2100"/>
            <w:tcMar>
              <w:top w:type="dxa" w:w="60"/>
              <w:left w:type="dxa" w:w="100"/>
              <w:bottom w:type="dxa" w:w="60"/>
              <w:right w:type="dxa" w:w="100"/>
            </w:tcMar>
            <w:vAlign w:val="center"/>
          </w:tcPr>
          <w:p>
            <w:r>
              <w:rPr>
                <w:b w:val="false"/>
                <w:bCs w:val="false"/>
                <w:i w:val="false"/>
                <w:iCs w:val="false"/>
                <w:sz w:val="18"/>
                <w:szCs w:val="18"/>
              </w:rPr>
              <w:t xml:space="preserve">dim_user / dim_agent SCD2 version writes</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REPEATABLE READ, explicit transaction: SELECT ... FOR UPDATE on the current row, then close it (valid_to = now()) and insert the new version</w:t>
            </w:r>
          </w:p>
        </w:tc>
        <w:tc>
          <w:tcPr>
            <w:tcW w:type="dxa" w:w="2600"/>
            <w:tcMar>
              <w:top w:type="dxa" w:w="60"/>
              <w:left w:type="dxa" w:w="100"/>
              <w:bottom w:type="dxa" w:w="60"/>
              <w:right w:type="dxa" w:w="100"/>
            </w:tcMar>
            <w:vAlign w:val="center"/>
          </w:tcPr>
          <w:p>
            <w:r>
              <w:rPr>
                <w:b w:val="false"/>
                <w:bCs w:val="false"/>
                <w:i w:val="false"/>
                <w:iCs w:val="false"/>
                <w:sz w:val="18"/>
                <w:szCs w:val="18"/>
              </w:rPr>
              <w:t xml:space="preserve">Row lock via FOR UPDATE inside the transaction</w:t>
            </w:r>
          </w:p>
        </w:tc>
        <w:tc>
          <w:tcPr>
            <w:tcW w:type="dxa" w:w="4600"/>
            <w:tcMar>
              <w:top w:type="dxa" w:w="60"/>
              <w:left w:type="dxa" w:w="100"/>
              <w:bottom w:type="dxa" w:w="60"/>
              <w:right w:type="dxa" w:w="100"/>
            </w:tcMar>
            <w:vAlign w:val="center"/>
          </w:tcPr>
          <w:p>
            <w:r>
              <w:rPr>
                <w:b w:val="false"/>
                <w:bCs w:val="false"/>
                <w:i w:val="false"/>
                <w:iCs w:val="false"/>
                <w:sz w:val="18"/>
                <w:szCs w:val="18"/>
              </w:rPr>
              <w:t xml:space="preserve">Two near-simultaneous updates (e.g., a Teams sync job and a manual metadata edit) must not both think they're updating "the current row" — this is a classic SCD2 race that needs an explicit lock, not just a unique constraint.</w:t>
            </w:r>
          </w:p>
        </w:tc>
      </w:tr>
      <w:tr>
        <w:tc>
          <w:tcPr>
            <w:tcW w:type="dxa" w:w="2100"/>
            <w:shd w:fill="EFF4FA" w:val="clear"/>
            <w:tcMar>
              <w:top w:type="dxa" w:w="60"/>
              <w:left w:type="dxa" w:w="100"/>
              <w:bottom w:type="dxa" w:w="60"/>
              <w:right w:type="dxa" w:w="100"/>
            </w:tcMar>
            <w:vAlign w:val="center"/>
          </w:tcPr>
          <w:p>
            <w:r>
              <w:rPr>
                <w:b w:val="false"/>
                <w:bCs w:val="false"/>
                <w:i w:val="false"/>
                <w:iCs w:val="false"/>
                <w:sz w:val="18"/>
                <w:szCs w:val="18"/>
              </w:rPr>
              <w:t xml:space="preserve">fact_consent_event inserts + dim_user.consent_state cache update</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SERIALIZABLE, single transaction</w:t>
            </w:r>
          </w:p>
        </w:tc>
        <w:tc>
          <w:tcPr>
            <w:tcW w:type="dxa" w:w="2600"/>
            <w:shd w:fill="EFF4FA" w:val="clear"/>
            <w:tcMar>
              <w:top w:type="dxa" w:w="60"/>
              <w:left w:type="dxa" w:w="100"/>
              <w:bottom w:type="dxa" w:w="60"/>
              <w:right w:type="dxa" w:w="100"/>
            </w:tcMar>
            <w:vAlign w:val="center"/>
          </w:tcPr>
          <w:p>
            <w:r>
              <w:rPr>
                <w:b w:val="false"/>
                <w:bCs w:val="false"/>
                <w:i w:val="false"/>
                <w:iCs w:val="false"/>
                <w:sz w:val="18"/>
                <w:szCs w:val="18"/>
              </w:rPr>
              <w:t xml:space="preserve">Postgres serializable snapshot isolation; retry on 40001 serialization failure</w:t>
            </w:r>
          </w:p>
        </w:tc>
        <w:tc>
          <w:tcPr>
            <w:tcW w:type="dxa" w:w="4600"/>
            <w:shd w:fill="EFF4FA" w:val="clear"/>
            <w:tcMar>
              <w:top w:type="dxa" w:w="60"/>
              <w:left w:type="dxa" w:w="100"/>
              <w:bottom w:type="dxa" w:w="60"/>
              <w:right w:type="dxa" w:w="100"/>
            </w:tcMar>
            <w:vAlign w:val="center"/>
          </w:tcPr>
          <w:p>
            <w:r>
              <w:rPr>
                <w:b w:val="false"/>
                <w:bCs w:val="false"/>
                <w:i w:val="false"/>
                <w:iCs w:val="false"/>
                <w:sz w:val="18"/>
                <w:szCs w:val="18"/>
              </w:rPr>
              <w:t xml:space="preserve">Consent correctness is a compliance requirement — we accept the (small) cost of serializable isolation and an occasional retry rather than risk two concurrent consent actions producing an inconsistent cached state.</w:t>
            </w:r>
          </w:p>
        </w:tc>
      </w:tr>
      <w:tr>
        <w:tc>
          <w:tcPr>
            <w:tcW w:type="dxa" w:w="2100"/>
            <w:tcMar>
              <w:top w:type="dxa" w:w="60"/>
              <w:left w:type="dxa" w:w="100"/>
              <w:bottom w:type="dxa" w:w="60"/>
              <w:right w:type="dxa" w:w="100"/>
            </w:tcMar>
            <w:vAlign w:val="center"/>
          </w:tcPr>
          <w:p>
            <w:r>
              <w:rPr>
                <w:b w:val="false"/>
                <w:bCs w:val="false"/>
                <w:i w:val="false"/>
                <w:iCs w:val="false"/>
                <w:sz w:val="18"/>
                <w:szCs w:val="18"/>
              </w:rPr>
              <w:t xml:space="preserve">fact_agent_registration_event + dim_agent publish transition</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SERIALIZABLE for the publish step; READ COMMITTED for simple metadata_updated events</w:t>
            </w:r>
          </w:p>
        </w:tc>
        <w:tc>
          <w:tcPr>
            <w:tcW w:type="dxa" w:w="2600"/>
            <w:tcMar>
              <w:top w:type="dxa" w:w="60"/>
              <w:left w:type="dxa" w:w="100"/>
              <w:bottom w:type="dxa" w:w="60"/>
              <w:right w:type="dxa" w:w="100"/>
            </w:tcMar>
            <w:vAlign w:val="center"/>
          </w:tcPr>
          <w:p>
            <w:r>
              <w:rPr>
                <w:b w:val="false"/>
                <w:bCs w:val="false"/>
                <w:i w:val="false"/>
                <w:iCs w:val="false"/>
                <w:sz w:val="18"/>
                <w:szCs w:val="18"/>
              </w:rPr>
              <w:t xml:space="preserve">Serializable for 'publish_to_catalog' to prevent two team members publishing conflicting versions simultaneously</w:t>
            </w:r>
          </w:p>
        </w:tc>
        <w:tc>
          <w:tcPr>
            <w:tcW w:type="dxa" w:w="4600"/>
            <w:tcMar>
              <w:top w:type="dxa" w:w="60"/>
              <w:left w:type="dxa" w:w="100"/>
              <w:bottom w:type="dxa" w:w="60"/>
              <w:right w:type="dxa" w:w="100"/>
            </w:tcMar>
            <w:vAlign w:val="center"/>
          </w:tcPr>
          <w:p>
            <w:r>
              <w:rPr>
                <w:b w:val="false"/>
                <w:bCs w:val="false"/>
                <w:i w:val="false"/>
                <w:iCs w:val="false"/>
                <w:sz w:val="18"/>
                <w:szCs w:val="18"/>
              </w:rPr>
              <w:t xml:space="preserve">Publishing to the org catalog is a low-frequency, high-consequence action (it triggers notifications), so correctness is prioritized over throughput here specifically.</w:t>
            </w:r>
          </w:p>
        </w:tc>
      </w:tr>
      <w:tr>
        <w:tc>
          <w:tcPr>
            <w:tcW w:type="dxa" w:w="2100"/>
            <w:shd w:fill="EFF4FA" w:val="clear"/>
            <w:tcMar>
              <w:top w:type="dxa" w:w="60"/>
              <w:left w:type="dxa" w:w="100"/>
              <w:bottom w:type="dxa" w:w="60"/>
              <w:right w:type="dxa" w:w="100"/>
            </w:tcMar>
            <w:vAlign w:val="center"/>
          </w:tcPr>
          <w:p>
            <w:r>
              <w:rPr>
                <w:b w:val="false"/>
                <w:bCs w:val="false"/>
                <w:i w:val="false"/>
                <w:iCs w:val="false"/>
                <w:sz w:val="18"/>
                <w:szCs w:val="18"/>
              </w:rPr>
              <w:t xml:space="preserve">mv_agent_insight_rollup / other materialized views</w:t>
            </w:r>
          </w:p>
        </w:tc>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REPEATABLE READ (implicit in REFRESH MATERIALIZED VIEW CONCURRENTLY)</w:t>
            </w:r>
          </w:p>
        </w:tc>
        <w:tc>
          <w:tcPr>
            <w:tcW w:type="dxa" w:w="2600"/>
            <w:shd w:fill="EFF4FA" w:val="clear"/>
            <w:tcMar>
              <w:top w:type="dxa" w:w="60"/>
              <w:left w:type="dxa" w:w="100"/>
              <w:bottom w:type="dxa" w:w="60"/>
              <w:right w:type="dxa" w:w="100"/>
            </w:tcMar>
            <w:vAlign w:val="center"/>
          </w:tcPr>
          <w:p>
            <w:r>
              <w:rPr>
                <w:b w:val="false"/>
                <w:bCs w:val="false"/>
                <w:i w:val="false"/>
                <w:iCs w:val="false"/>
                <w:sz w:val="18"/>
                <w:szCs w:val="18"/>
              </w:rPr>
              <w:t xml:space="preserve">Postgres-managed snapshot during refresh; CONCURRENTLY avoids locking readers out</w:t>
            </w:r>
          </w:p>
        </w:tc>
        <w:tc>
          <w:tcPr>
            <w:tcW w:type="dxa" w:w="4600"/>
            <w:shd w:fill="EFF4FA" w:val="clear"/>
            <w:tcMar>
              <w:top w:type="dxa" w:w="60"/>
              <w:left w:type="dxa" w:w="100"/>
              <w:bottom w:type="dxa" w:w="60"/>
              <w:right w:type="dxa" w:w="100"/>
            </w:tcMar>
            <w:vAlign w:val="center"/>
          </w:tcPr>
          <w:p>
            <w:r>
              <w:rPr>
                <w:b w:val="false"/>
                <w:bCs w:val="false"/>
                <w:i w:val="false"/>
                <w:iCs w:val="false"/>
                <w:sz w:val="18"/>
                <w:szCs w:val="18"/>
              </w:rPr>
              <w:t xml:space="preserve">Dashboards must never block on a refresh, and the refresh must see one consistent snapshot of the fact tables.</w:t>
            </w:r>
          </w:p>
        </w:tc>
      </w:tr>
      <w:tr>
        <w:tc>
          <w:tcPr>
            <w:tcW w:type="dxa" w:w="2100"/>
            <w:tcMar>
              <w:top w:type="dxa" w:w="60"/>
              <w:left w:type="dxa" w:w="100"/>
              <w:bottom w:type="dxa" w:w="60"/>
              <w:right w:type="dxa" w:w="100"/>
            </w:tcMar>
            <w:vAlign w:val="center"/>
          </w:tcPr>
          <w:p>
            <w:r>
              <w:rPr>
                <w:b w:val="false"/>
                <w:bCs w:val="false"/>
                <w:i w:val="false"/>
                <w:iCs w:val="false"/>
                <w:sz w:val="18"/>
                <w:szCs w:val="18"/>
              </w:rPr>
              <w:t xml:space="preserve">fact_feedback insert</w:t>
            </w:r>
          </w:p>
        </w:tc>
        <w:tc>
          <w:tcPr>
            <w:tcW w:type="dxa" w:w="1500"/>
            <w:tcMar>
              <w:top w:type="dxa" w:w="60"/>
              <w:left w:type="dxa" w:w="100"/>
              <w:bottom w:type="dxa" w:w="60"/>
              <w:right w:type="dxa" w:w="100"/>
            </w:tcMar>
            <w:vAlign w:val="center"/>
          </w:tcPr>
          <w:p>
            <w:r>
              <w:rPr>
                <w:b w:val="false"/>
                <w:bCs w:val="false"/>
                <w:i w:val="false"/>
                <w:iCs w:val="false"/>
                <w:sz w:val="18"/>
                <w:szCs w:val="18"/>
              </w:rPr>
              <w:t xml:space="preserve">READ COMMITTED</w:t>
            </w:r>
          </w:p>
        </w:tc>
        <w:tc>
          <w:tcPr>
            <w:tcW w:type="dxa" w:w="2600"/>
            <w:tcMar>
              <w:top w:type="dxa" w:w="60"/>
              <w:left w:type="dxa" w:w="100"/>
              <w:bottom w:type="dxa" w:w="60"/>
              <w:right w:type="dxa" w:w="100"/>
            </w:tcMar>
            <w:vAlign w:val="center"/>
          </w:tcPr>
          <w:p>
            <w:r>
              <w:rPr>
                <w:b w:val="false"/>
                <w:bCs w:val="false"/>
                <w:i w:val="false"/>
                <w:iCs w:val="false"/>
                <w:sz w:val="18"/>
                <w:szCs w:val="18"/>
              </w:rPr>
              <w:t xml:space="preserve">UNIQUE (acf2_id, agent_id, survey_trigger_date)</w:t>
            </w:r>
          </w:p>
        </w:tc>
        <w:tc>
          <w:tcPr>
            <w:tcW w:type="dxa" w:w="4600"/>
            <w:tcMar>
              <w:top w:type="dxa" w:w="60"/>
              <w:left w:type="dxa" w:w="100"/>
              <w:bottom w:type="dxa" w:w="60"/>
              <w:right w:type="dxa" w:w="100"/>
            </w:tcMar>
            <w:vAlign w:val="center"/>
          </w:tcPr>
          <w:p>
            <w:r>
              <w:rPr>
                <w:b w:val="false"/>
                <w:bCs w:val="false"/>
                <w:i w:val="false"/>
                <w:iCs w:val="false"/>
                <w:sz w:val="18"/>
                <w:szCs w:val="18"/>
              </w:rPr>
              <w:t xml:space="preserve">One response per trigger window; the unique constraint is sufficient.</w:t>
            </w:r>
          </w:p>
        </w:tc>
      </w:tr>
    </w:tbl>
    <w:p>
      <w:pPr>
        <w:pStyle w:val="Heading2"/>
        <w:spacing w:after="120" w:before="280"/>
      </w:pPr>
      <w:r>
        <w:t xml:space="preserve">3.7 Indexing, partitioning and retention</w:t>
      </w:r>
    </w:p>
    <w:p>
      <w:pPr>
        <w:pStyle w:val="ListParagraph"/>
        <w:numPr>
          <w:ilvl w:val="0"/>
          <w:numId w:val="2"/>
        </w:numPr>
        <w:spacing w:after="60"/>
      </w:pPr>
      <w:r>
        <w:t xml:space="preserve">High-volume fact tables (fact_llm_request, fact_agent_flow_event) are range-partitioned by month on ts using native Postgres declarative partitioning, so retention purges (D2/D7 governance) are a fast DROP PARTITION rather than a slow DELETE.</w:t>
      </w:r>
    </w:p>
    <w:p>
      <w:pPr>
        <w:pStyle w:val="ListParagraph"/>
        <w:numPr>
          <w:ilvl w:val="0"/>
          <w:numId w:val="2"/>
        </w:numPr>
        <w:spacing w:after="60"/>
      </w:pPr>
      <w:r>
        <w:t xml:space="preserve">Every fact table has a composite index on (agent_id, ts) and (acf2_id, ts) to serve both "per-agent" and "per-user" dashboard filters without a sequential scan.</w:t>
      </w:r>
    </w:p>
    <w:p>
      <w:pPr>
        <w:pStyle w:val="ListParagraph"/>
        <w:numPr>
          <w:ilvl w:val="0"/>
          <w:numId w:val="2"/>
        </w:numPr>
        <w:spacing w:after="60"/>
      </w:pPr>
      <w:r>
        <w:t xml:space="preserve">dim_user and dim_agent each have a partial UNIQUE index on the natural key WHERE is_current, so "look up the current row" stays O(1) even with years of SCD2 history.</w:t>
      </w:r>
    </w:p>
    <w:p>
      <w:pPr>
        <w:pStyle w:val="ListParagraph"/>
        <w:numPr>
          <w:ilvl w:val="0"/>
          <w:numId w:val="2"/>
        </w:numPr>
        <w:spacing w:after="60"/>
      </w:pPr>
      <w:r>
        <w:t xml:space="preserve">Default retention: 13 months rolling for raw fact data (configurable per retention_class on dim_user), permanent for aggregated/anonymized rollups used in long-term trend reporting.</w:t>
      </w:r>
    </w:p>
    <w:p>
      <w:pPr>
        <w:pStyle w:val="Heading2"/>
        <w:spacing w:after="120" w:before="280"/>
      </w:pPr>
      <w:r>
        <w:t xml:space="preserve">3.8 Security and access isolation</w:t>
      </w:r>
    </w:p>
    <w:p>
      <w:pPr>
        <w:pStyle w:val="ListParagraph"/>
        <w:numPr>
          <w:ilvl w:val="0"/>
          <w:numId w:val="2"/>
        </w:numPr>
        <w:spacing w:after="60"/>
      </w:pPr>
      <w:r>
        <w:t xml:space="preserve">Encryption at rest via AWS KMS (customer-managed key) on the S3 landing bucket, DynamoDB table, and Aurora cluster; TLS in transit everywhere (API Gateway enforces HTTPS only).</w:t>
      </w:r>
    </w:p>
    <w:p>
      <w:pPr>
        <w:pStyle w:val="ListParagraph"/>
        <w:numPr>
          <w:ilvl w:val="0"/>
          <w:numId w:val="2"/>
        </w:numPr>
        <w:spacing w:after="60"/>
      </w:pPr>
      <w:r>
        <w:t xml:space="preserve">Row-Level Security (RLS) policies in Postgres: the user-dashboard role can only SELECT rows where acf2_id = current session's authenticated identity; the admin-dashboard role sees pseudonymous/aggregated views by default, with a separate, audited 're-identify' role required to join back to real names — matching the original design's 'admin re-identification is audited' rule.</w:t>
      </w:r>
    </w:p>
    <w:p>
      <w:pPr>
        <w:pStyle w:val="ListParagraph"/>
        <w:numPr>
          <w:ilvl w:val="0"/>
          <w:numId w:val="2"/>
        </w:numPr>
        <w:spacing w:after="60"/>
      </w:pPr>
      <w:r>
        <w:t xml:space="preserve">The ingestion API uses a write-only IAM-scoped credential (via Secrets Manager) that can INSERT but not SELECT/UPDATE/DELETE on fact tables — a compromised extension credential cannot exfiltrate other users' data.</w:t>
      </w:r>
    </w:p>
    <w:p>
      <w:pPr>
        <w:pStyle w:val="ListParagraph"/>
        <w:numPr>
          <w:ilvl w:val="0"/>
          <w:numId w:val="2"/>
        </w:numPr>
        <w:spacing w:after="60"/>
      </w:pPr>
      <w:r>
        <w:t xml:space="preserve">No table in this schema stores prompt text, response text, file contents, or file paths, per governance rule D6 — enforced both by the extension's allow-list before data ever leaves the laptop and by NOT NULL/CHECK constraints that simply have no column to put such data in.</w:t>
      </w:r>
    </w:p>
    <w:p>
      <w:pPr>
        <w:pStyle w:val="Heading1"/>
        <w:spacing w:after="160" w:before="360"/>
      </w:pPr>
      <w:r>
        <w:t xml:space="preserve">4. Revised End-to-End Flow</w:t>
      </w:r>
    </w:p>
    <w:p>
      <w:pPr>
        <w:spacing w:after="140"/>
      </w:pPr>
      <w:r>
        <w:t xml:space="preserve">Nothing about the developer-facing flow changes from the original design (Sections 10–12 of the HTML remain accurate for the usage/feedback pipeline). What's new is the Agent Catalog registration path, shown alongside it below.</w:t>
      </w:r>
    </w:p>
    <w:p>
      <w:pPr>
        <w:pStyle w:val="Heading3"/>
        <w:spacing w:after="100" w:before="200"/>
      </w:pPr>
      <w:r>
        <w:t xml:space="preserve">4.1 One-time: agent registers itself in the catalog</w:t>
      </w:r>
    </w:p>
    <w:p>
      <w:pPr>
        <w:pStyle w:val="ListParagraph"/>
        <w:numPr>
          <w:ilvl w:val="0"/>
          <w:numId w:val="3"/>
        </w:numPr>
        <w:spacing w:after="60"/>
      </w:pPr>
      <w:r>
        <w:t xml:space="preserve">A repo adopts the tracker by adding the client library plus a small agent manifest file (agent.yaml: name, type, owner, description, category, capabilities) — no code, no secrets.</w:t>
      </w:r>
    </w:p>
    <w:p>
      <w:pPr>
        <w:pStyle w:val="ListParagraph"/>
        <w:numPr>
          <w:ilvl w:val="0"/>
          <w:numId w:val="3"/>
        </w:numPr>
        <w:spacing w:after="60"/>
      </w:pPr>
      <w:r>
        <w:t xml:space="preserve">On first load, the extension POSTs the manifest to POST /agents/register on the same AWS Ingestion API (API Gateway -&gt; Lambda).</w:t>
      </w:r>
    </w:p>
    <w:p>
      <w:pPr>
        <w:pStyle w:val="ListParagraph"/>
        <w:numPr>
          <w:ilvl w:val="0"/>
          <w:numId w:val="3"/>
        </w:numPr>
        <w:spacing w:after="60"/>
      </w:pPr>
      <w:r>
        <w:t xml:space="preserve">Lambda validates the payload against the allow-listed schema, then in a single SERIALIZABLE transaction: closes the current dim_agent row (if any), inserts the new SCD2 version, and inserts a fact_agent_registration_event('registered' or 'metadata_updated').</w:t>
      </w:r>
    </w:p>
    <w:p>
      <w:pPr>
        <w:pStyle w:val="ListParagraph"/>
        <w:numPr>
          <w:ilvl w:val="0"/>
          <w:numId w:val="3"/>
        </w:numPr>
        <w:spacing w:after="60"/>
      </w:pPr>
      <w:r>
        <w:t xml:space="preserve">A repo owner can later call the same endpoint with publish_scope=org_catalog to promote the agent to the org-wide catalog; this triggers the serializable 'publish' transition described in 3.6.</w:t>
      </w:r>
    </w:p>
    <w:p>
      <w:pPr>
        <w:pStyle w:val="Heading3"/>
        <w:spacing w:after="100" w:before="200"/>
      </w:pPr>
      <w:r>
        <w:t xml:space="preserve">4.2 Ongoing: usage, cost and feedback (unchanged in spirit)</w:t>
      </w:r>
    </w:p>
    <w:p>
      <w:pPr>
        <w:pStyle w:val="ListParagraph"/>
        <w:numPr>
          <w:ilvl w:val="0"/>
          <w:numId w:val="3"/>
        </w:numPr>
        <w:spacing w:after="60"/>
      </w:pPr>
      <w:r>
        <w:t xml:space="preserve">The extension incrementally reads local Copilot debug logs, minimizes fields, classifies task tier and wastage locally, and batches events with an idempotency key.</w:t>
      </w:r>
    </w:p>
    <w:p>
      <w:pPr>
        <w:pStyle w:val="ListParagraph"/>
        <w:numPr>
          <w:ilvl w:val="0"/>
          <w:numId w:val="3"/>
        </w:numPr>
        <w:spacing w:after="60"/>
      </w:pPr>
      <w:r>
        <w:t xml:space="preserve">Batches POST over HTTPS to API Gateway -&gt; Lambda, which (a) checks DynamoDB for the idempotency key (conditional put), (b) writes the raw batch to S3, and (c) writes/updates rows in Aurora (fact_llm_request, fact_agent_flow_event, fact_token_wastage, fact_adoption upsert).</w:t>
      </w:r>
    </w:p>
    <w:p>
      <w:pPr>
        <w:pStyle w:val="ListParagraph"/>
        <w:numPr>
          <w:ilvl w:val="0"/>
          <w:numId w:val="3"/>
        </w:numPr>
        <w:spacing w:after="60"/>
      </w:pPr>
      <w:r>
        <w:t xml:space="preserve">14 days (configurable) after first_use_date, the local feedback survey fires; a submitted response is validated (structured fields only) and POSTed to the same API, landing in fact_feedback.</w:t>
      </w:r>
    </w:p>
    <w:p>
      <w:pPr>
        <w:pStyle w:val="ListParagraph"/>
        <w:numPr>
          <w:ilvl w:val="0"/>
          <w:numId w:val="3"/>
        </w:numPr>
        <w:spacing w:after="60"/>
      </w:pPr>
      <w:r>
        <w:t xml:space="preserve">EventBridge-scheduled Lambda/Glue jobs run nightly: sync Teams org hierarchy into dim_user, refresh materialized views (mv_agent_insight_rollup, per-team rollups, credit-eligibility scoring), and scan fact_agent_registration_event for new org_catalog publishes to send a "new release" digest.</w:t>
      </w:r>
    </w:p>
    <w:p>
      <w:pPr>
        <w:pStyle w:val="ListParagraph"/>
        <w:numPr>
          <w:ilvl w:val="0"/>
          <w:numId w:val="3"/>
        </w:numPr>
        <w:spacing w:after="60"/>
      </w:pPr>
      <w:r>
        <w:t xml:space="preserve">QuickSight (or an internal Grafana instance on ECS Fargate, if licensing is a concern) reads only from the curated Aurora schema / materialized views — never from raw S3 — via the RLS-scoped database roles from 3.8.</w:t>
      </w:r>
    </w:p>
    <w:p>
      <w:pPr>
        <w:pStyle w:val="Heading3"/>
        <w:spacing w:after="100" w:before="200"/>
      </w:pPr>
      <w:r>
        <w:t xml:space="preserve">4.3 Service map (all inside the AWS workload account)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3600"/>
        <w:gridCol w:w="7200"/>
      </w:tblGrid>
      <w:tr>
        <w:trPr>
          <w:tblHeader/>
        </w:trPr>
        <w:tc>
          <w:tcPr>
            <w:tcW w:type="dxa" w:w="3600"/>
            <w:shd w:fill="0B5394" w:val="clear"/>
            <w:tcMar>
              <w:top w:type="dxa" w:w="60"/>
              <w:left w:type="dxa" w:w="100"/>
              <w:bottom w:type="dxa" w:w="60"/>
              <w:right w:type="dxa" w:w="100"/>
            </w:tcMar>
            <w:vAlign w:val="center"/>
          </w:tcPr>
          <w:p>
            <w:r>
              <w:rPr>
                <w:b/>
                <w:bCs/>
                <w:i w:val="false"/>
                <w:iCs w:val="false"/>
                <w:color w:val="FFFFFF"/>
                <w:sz w:val="18"/>
                <w:szCs w:val="18"/>
              </w:rPr>
              <w:t xml:space="preserve">Layer</w:t>
            </w:r>
          </w:p>
        </w:tc>
        <w:tc>
          <w:tcPr>
            <w:tcW w:type="dxa" w:w="7200"/>
            <w:shd w:fill="0B5394" w:val="clear"/>
            <w:tcMar>
              <w:top w:type="dxa" w:w="60"/>
              <w:left w:type="dxa" w:w="100"/>
              <w:bottom w:type="dxa" w:w="60"/>
              <w:right w:type="dxa" w:w="100"/>
            </w:tcMar>
            <w:vAlign w:val="center"/>
          </w:tcPr>
          <w:p>
            <w:r>
              <w:rPr>
                <w:b/>
                <w:bCs/>
                <w:i w:val="false"/>
                <w:iCs w:val="false"/>
                <w:color w:val="FFFFFF"/>
                <w:sz w:val="18"/>
                <w:szCs w:val="18"/>
              </w:rPr>
              <w:t xml:space="preserve">AWS service(s)</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Ingestion API</w:t>
            </w:r>
          </w:p>
        </w:tc>
        <w:tc>
          <w:tcPr>
            <w:tcW w:type="dxa" w:w="7200"/>
            <w:tcMar>
              <w:top w:type="dxa" w:w="60"/>
              <w:left w:type="dxa" w:w="100"/>
              <w:bottom w:type="dxa" w:w="60"/>
              <w:right w:type="dxa" w:w="100"/>
            </w:tcMar>
            <w:vAlign w:val="center"/>
          </w:tcPr>
          <w:p>
            <w:r>
              <w:rPr>
                <w:b w:val="false"/>
                <w:bCs w:val="false"/>
                <w:i w:val="false"/>
                <w:iCs w:val="false"/>
                <w:sz w:val="18"/>
                <w:szCs w:val="18"/>
              </w:rPr>
              <w:t xml:space="preserve">Amazon API Gateway (HTTP API) + AWS Lambda</w:t>
            </w:r>
          </w:p>
        </w:tc>
      </w:tr>
      <w:tr>
        <w:tc>
          <w:tcPr>
            <w:tcW w:type="dxa" w:w="3600"/>
            <w:shd w:fill="EFF4FA" w:val="clear"/>
            <w:tcMar>
              <w:top w:type="dxa" w:w="60"/>
              <w:left w:type="dxa" w:w="100"/>
              <w:bottom w:type="dxa" w:w="60"/>
              <w:right w:type="dxa" w:w="100"/>
            </w:tcMar>
            <w:vAlign w:val="center"/>
          </w:tcPr>
          <w:p>
            <w:r>
              <w:rPr>
                <w:b w:val="false"/>
                <w:bCs w:val="false"/>
                <w:i w:val="false"/>
                <w:iCs w:val="false"/>
                <w:sz w:val="18"/>
                <w:szCs w:val="18"/>
              </w:rPr>
              <w:t xml:space="preserve">Idempotency</w:t>
            </w:r>
          </w:p>
        </w:tc>
        <w:tc>
          <w:tcPr>
            <w:tcW w:type="dxa" w:w="7200"/>
            <w:shd w:fill="EFF4FA" w:val="clear"/>
            <w:tcMar>
              <w:top w:type="dxa" w:w="60"/>
              <w:left w:type="dxa" w:w="100"/>
              <w:bottom w:type="dxa" w:w="60"/>
              <w:right w:type="dxa" w:w="100"/>
            </w:tcMar>
            <w:vAlign w:val="center"/>
          </w:tcPr>
          <w:p>
            <w:r>
              <w:rPr>
                <w:b w:val="false"/>
                <w:bCs w:val="false"/>
                <w:i w:val="false"/>
                <w:iCs w:val="false"/>
                <w:sz w:val="18"/>
                <w:szCs w:val="18"/>
              </w:rPr>
              <w:t xml:space="preserve">Amazon DynamoDB (on-demand, TTL)</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Raw landing / DR</w:t>
            </w:r>
          </w:p>
        </w:tc>
        <w:tc>
          <w:tcPr>
            <w:tcW w:type="dxa" w:w="7200"/>
            <w:tcMar>
              <w:top w:type="dxa" w:w="60"/>
              <w:left w:type="dxa" w:w="100"/>
              <w:bottom w:type="dxa" w:w="60"/>
              <w:right w:type="dxa" w:w="100"/>
            </w:tcMar>
            <w:vAlign w:val="center"/>
          </w:tcPr>
          <w:p>
            <w:r>
              <w:rPr>
                <w:b w:val="false"/>
                <w:bCs w:val="false"/>
                <w:i w:val="false"/>
                <w:iCs w:val="false"/>
                <w:sz w:val="18"/>
                <w:szCs w:val="18"/>
              </w:rPr>
              <w:t xml:space="preserve">Amazon S3 (versioned, SSE-KMS)</w:t>
            </w:r>
          </w:p>
        </w:tc>
      </w:tr>
      <w:tr>
        <w:tc>
          <w:tcPr>
            <w:tcW w:type="dxa" w:w="3600"/>
            <w:shd w:fill="EFF4FA" w:val="clear"/>
            <w:tcMar>
              <w:top w:type="dxa" w:w="60"/>
              <w:left w:type="dxa" w:w="100"/>
              <w:bottom w:type="dxa" w:w="60"/>
              <w:right w:type="dxa" w:w="100"/>
            </w:tcMar>
            <w:vAlign w:val="center"/>
          </w:tcPr>
          <w:p>
            <w:r>
              <w:rPr>
                <w:b w:val="false"/>
                <w:bCs w:val="false"/>
                <w:i w:val="false"/>
                <w:iCs w:val="false"/>
                <w:sz w:val="18"/>
                <w:szCs w:val="18"/>
              </w:rPr>
              <w:t xml:space="preserve">Curated system of record</w:t>
            </w:r>
          </w:p>
        </w:tc>
        <w:tc>
          <w:tcPr>
            <w:tcW w:type="dxa" w:w="7200"/>
            <w:shd w:fill="EFF4FA" w:val="clear"/>
            <w:tcMar>
              <w:top w:type="dxa" w:w="60"/>
              <w:left w:type="dxa" w:w="100"/>
              <w:bottom w:type="dxa" w:w="60"/>
              <w:right w:type="dxa" w:w="100"/>
            </w:tcMar>
            <w:vAlign w:val="center"/>
          </w:tcPr>
          <w:p>
            <w:r>
              <w:rPr>
                <w:b w:val="false"/>
                <w:bCs w:val="false"/>
                <w:i w:val="false"/>
                <w:iCs w:val="false"/>
                <w:sz w:val="18"/>
                <w:szCs w:val="18"/>
              </w:rPr>
              <w:t xml:space="preserve">Amazon Aurora PostgreSQL Serverless v2</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Scheduling / orchestration</w:t>
            </w:r>
          </w:p>
        </w:tc>
        <w:tc>
          <w:tcPr>
            <w:tcW w:type="dxa" w:w="7200"/>
            <w:tcMar>
              <w:top w:type="dxa" w:w="60"/>
              <w:left w:type="dxa" w:w="100"/>
              <w:bottom w:type="dxa" w:w="60"/>
              <w:right w:type="dxa" w:w="100"/>
            </w:tcMar>
            <w:vAlign w:val="center"/>
          </w:tcPr>
          <w:p>
            <w:r>
              <w:rPr>
                <w:b w:val="false"/>
                <w:bCs w:val="false"/>
                <w:i w:val="false"/>
                <w:iCs w:val="false"/>
                <w:sz w:val="18"/>
                <w:szCs w:val="18"/>
              </w:rPr>
              <w:t xml:space="preserve">Amazon EventBridge (+ AWS Step Functions for multi-step jobs)</w:t>
            </w:r>
          </w:p>
        </w:tc>
      </w:tr>
      <w:tr>
        <w:tc>
          <w:tcPr>
            <w:tcW w:type="dxa" w:w="3600"/>
            <w:shd w:fill="EFF4FA" w:val="clear"/>
            <w:tcMar>
              <w:top w:type="dxa" w:w="60"/>
              <w:left w:type="dxa" w:w="100"/>
              <w:bottom w:type="dxa" w:w="60"/>
              <w:right w:type="dxa" w:w="100"/>
            </w:tcMar>
            <w:vAlign w:val="center"/>
          </w:tcPr>
          <w:p>
            <w:r>
              <w:rPr>
                <w:b w:val="false"/>
                <w:bCs w:val="false"/>
                <w:i w:val="false"/>
                <w:iCs w:val="false"/>
                <w:sz w:val="18"/>
                <w:szCs w:val="18"/>
              </w:rPr>
              <w:t xml:space="preserve">Secrets &amp; keys</w:t>
            </w:r>
          </w:p>
        </w:tc>
        <w:tc>
          <w:tcPr>
            <w:tcW w:type="dxa" w:w="7200"/>
            <w:shd w:fill="EFF4FA" w:val="clear"/>
            <w:tcMar>
              <w:top w:type="dxa" w:w="60"/>
              <w:left w:type="dxa" w:w="100"/>
              <w:bottom w:type="dxa" w:w="60"/>
              <w:right w:type="dxa" w:w="100"/>
            </w:tcMar>
            <w:vAlign w:val="center"/>
          </w:tcPr>
          <w:p>
            <w:r>
              <w:rPr>
                <w:b w:val="false"/>
                <w:bCs w:val="false"/>
                <w:i w:val="false"/>
                <w:iCs w:val="false"/>
                <w:sz w:val="18"/>
                <w:szCs w:val="18"/>
              </w:rPr>
              <w:t xml:space="preserve">AWS Secrets Manager, AWS KMS</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Identity for dashboards</w:t>
            </w:r>
          </w:p>
        </w:tc>
        <w:tc>
          <w:tcPr>
            <w:tcW w:type="dxa" w:w="7200"/>
            <w:tcMar>
              <w:top w:type="dxa" w:w="60"/>
              <w:left w:type="dxa" w:w="100"/>
              <w:bottom w:type="dxa" w:w="60"/>
              <w:right w:type="dxa" w:w="100"/>
            </w:tcMar>
            <w:vAlign w:val="center"/>
          </w:tcPr>
          <w:p>
            <w:r>
              <w:rPr>
                <w:b w:val="false"/>
                <w:bCs w:val="false"/>
                <w:i w:val="false"/>
                <w:iCs w:val="false"/>
                <w:sz w:val="18"/>
                <w:szCs w:val="18"/>
              </w:rPr>
              <w:t xml:space="preserve">Amazon Cognito (or existing IdP via SAML) mapped to Postgres RLS roles</w:t>
            </w:r>
          </w:p>
        </w:tc>
      </w:tr>
      <w:tr>
        <w:tc>
          <w:tcPr>
            <w:tcW w:type="dxa" w:w="3600"/>
            <w:shd w:fill="EFF4FA" w:val="clear"/>
            <w:tcMar>
              <w:top w:type="dxa" w:w="60"/>
              <w:left w:type="dxa" w:w="100"/>
              <w:bottom w:type="dxa" w:w="60"/>
              <w:right w:type="dxa" w:w="100"/>
            </w:tcMar>
            <w:vAlign w:val="center"/>
          </w:tcPr>
          <w:p>
            <w:r>
              <w:rPr>
                <w:b w:val="false"/>
                <w:bCs w:val="false"/>
                <w:i w:val="false"/>
                <w:iCs w:val="false"/>
                <w:sz w:val="18"/>
                <w:szCs w:val="18"/>
              </w:rPr>
              <w:t xml:space="preserve">Dashboards</w:t>
            </w:r>
          </w:p>
        </w:tc>
        <w:tc>
          <w:tcPr>
            <w:tcW w:type="dxa" w:w="7200"/>
            <w:shd w:fill="EFF4FA" w:val="clear"/>
            <w:tcMar>
              <w:top w:type="dxa" w:w="60"/>
              <w:left w:type="dxa" w:w="100"/>
              <w:bottom w:type="dxa" w:w="60"/>
              <w:right w:type="dxa" w:w="100"/>
            </w:tcMar>
            <w:vAlign w:val="center"/>
          </w:tcPr>
          <w:p>
            <w:r>
              <w:rPr>
                <w:b w:val="false"/>
                <w:bCs w:val="false"/>
                <w:i w:val="false"/>
                <w:iCs w:val="false"/>
                <w:sz w:val="18"/>
                <w:szCs w:val="18"/>
              </w:rPr>
              <w:t xml:space="preserve">Amazon QuickSight (or self-hosted Grafana on ECS Fargate)</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Observability</w:t>
            </w:r>
          </w:p>
        </w:tc>
        <w:tc>
          <w:tcPr>
            <w:tcW w:type="dxa" w:w="7200"/>
            <w:tcMar>
              <w:top w:type="dxa" w:w="60"/>
              <w:left w:type="dxa" w:w="100"/>
              <w:bottom w:type="dxa" w:w="60"/>
              <w:right w:type="dxa" w:w="100"/>
            </w:tcMar>
            <w:vAlign w:val="center"/>
          </w:tcPr>
          <w:p>
            <w:r>
              <w:rPr>
                <w:b w:val="false"/>
                <w:bCs w:val="false"/>
                <w:i w:val="false"/>
                <w:iCs w:val="false"/>
                <w:sz w:val="18"/>
                <w:szCs w:val="18"/>
              </w:rPr>
              <w:t xml:space="preserve">Amazon CloudWatch (logs, alarms on data-quality / ingestion-health panels)</w:t>
            </w:r>
          </w:p>
        </w:tc>
      </w:tr>
      <w:tr>
        <w:tc>
          <w:tcPr>
            <w:tcW w:type="dxa" w:w="3600"/>
            <w:shd w:fill="EFF4FA" w:val="clear"/>
            <w:tcMar>
              <w:top w:type="dxa" w:w="60"/>
              <w:left w:type="dxa" w:w="100"/>
              <w:bottom w:type="dxa" w:w="60"/>
              <w:right w:type="dxa" w:w="100"/>
            </w:tcMar>
            <w:vAlign w:val="center"/>
          </w:tcPr>
          <w:p>
            <w:r>
              <w:rPr>
                <w:b w:val="false"/>
                <w:bCs w:val="false"/>
                <w:i w:val="false"/>
                <w:iCs w:val="false"/>
                <w:sz w:val="18"/>
                <w:szCs w:val="18"/>
              </w:rPr>
              <w:t xml:space="preserve">Edge protection</w:t>
            </w:r>
          </w:p>
        </w:tc>
        <w:tc>
          <w:tcPr>
            <w:tcW w:type="dxa" w:w="7200"/>
            <w:shd w:fill="EFF4FA" w:val="clear"/>
            <w:tcMar>
              <w:top w:type="dxa" w:w="60"/>
              <w:left w:type="dxa" w:w="100"/>
              <w:bottom w:type="dxa" w:w="60"/>
              <w:right w:type="dxa" w:w="100"/>
            </w:tcMar>
            <w:vAlign w:val="center"/>
          </w:tcPr>
          <w:p>
            <w:r>
              <w:rPr>
                <w:b w:val="false"/>
                <w:bCs w:val="false"/>
                <w:i w:val="false"/>
                <w:iCs w:val="false"/>
                <w:sz w:val="18"/>
                <w:szCs w:val="18"/>
              </w:rPr>
              <w:t xml:space="preserve">AWS WAF in front of API Gateway</w:t>
            </w:r>
          </w:p>
        </w:tc>
      </w:tr>
    </w:tbl>
    <w:p>
      <w:pPr>
        <w:pStyle w:val="Heading1"/>
        <w:spacing w:after="160" w:before="360"/>
      </w:pPr>
      <w:r>
        <w:t xml:space="preserve">5. Implementation Plan Under Current Constraints</w:t>
      </w:r>
    </w:p>
    <w:p>
      <w:pPr>
        <w:spacing w:after="140"/>
      </w:pPr>
      <w:r>
        <w:t xml:space="preserve">Given the hackathon timeframe and the "GitHub Copilot only, no AI API keys" constraint, the recommended build order front-loads the database because every other piece (extension, API, dashboard) depends on the schema being settled first:</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1500"/>
        <w:gridCol w:w="4400"/>
        <w:gridCol w:w="4900"/>
      </w:tblGrid>
      <w:tr>
        <w:trPr>
          <w:tblHeader/>
        </w:trPr>
        <w:tc>
          <w:tcPr>
            <w:tcW w:type="dxa" w:w="1500"/>
            <w:shd w:fill="0B5394" w:val="clear"/>
            <w:tcMar>
              <w:top w:type="dxa" w:w="60"/>
              <w:left w:type="dxa" w:w="100"/>
              <w:bottom w:type="dxa" w:w="60"/>
              <w:right w:type="dxa" w:w="100"/>
            </w:tcMar>
            <w:vAlign w:val="center"/>
          </w:tcPr>
          <w:p>
            <w:r>
              <w:rPr>
                <w:b/>
                <w:bCs/>
                <w:i w:val="false"/>
                <w:iCs w:val="false"/>
                <w:color w:val="FFFFFF"/>
                <w:sz w:val="18"/>
                <w:szCs w:val="18"/>
              </w:rPr>
              <w:t xml:space="preserve">Phase</w:t>
            </w:r>
          </w:p>
        </w:tc>
        <w:tc>
          <w:tcPr>
            <w:tcW w:type="dxa" w:w="4400"/>
            <w:shd w:fill="0B5394" w:val="clear"/>
            <w:tcMar>
              <w:top w:type="dxa" w:w="60"/>
              <w:left w:type="dxa" w:w="100"/>
              <w:bottom w:type="dxa" w:w="60"/>
              <w:right w:type="dxa" w:w="100"/>
            </w:tcMar>
            <w:vAlign w:val="center"/>
          </w:tcPr>
          <w:p>
            <w:r>
              <w:rPr>
                <w:b/>
                <w:bCs/>
                <w:i w:val="false"/>
                <w:iCs w:val="false"/>
                <w:color w:val="FFFFFF"/>
                <w:sz w:val="18"/>
                <w:szCs w:val="18"/>
              </w:rPr>
              <w:t xml:space="preserve">Scope</w:t>
            </w:r>
          </w:p>
        </w:tc>
        <w:tc>
          <w:tcPr>
            <w:tcW w:type="dxa" w:w="4900"/>
            <w:shd w:fill="0B5394" w:val="clear"/>
            <w:tcMar>
              <w:top w:type="dxa" w:w="60"/>
              <w:left w:type="dxa" w:w="100"/>
              <w:bottom w:type="dxa" w:w="60"/>
              <w:right w:type="dxa" w:w="100"/>
            </w:tcMar>
            <w:vAlign w:val="center"/>
          </w:tcPr>
          <w:p>
            <w:r>
              <w:rPr>
                <w:b/>
                <w:bCs/>
                <w:i w:val="false"/>
                <w:iCs w:val="false"/>
                <w:color w:val="FFFFFF"/>
                <w:sz w:val="18"/>
                <w:szCs w:val="18"/>
              </w:rPr>
              <w:t xml:space="preserve">Notes</w:t>
            </w:r>
          </w:p>
        </w:tc>
      </w:tr>
      <w:tr>
        <w:tc>
          <w:tcPr>
            <w:tcW w:type="dxa" w:w="1500"/>
            <w:tcMar>
              <w:top w:type="dxa" w:w="60"/>
              <w:left w:type="dxa" w:w="100"/>
              <w:bottom w:type="dxa" w:w="60"/>
              <w:right w:type="dxa" w:w="100"/>
            </w:tcMar>
            <w:vAlign w:val="center"/>
          </w:tcPr>
          <w:p>
            <w:r>
              <w:rPr>
                <w:b w:val="false"/>
                <w:bCs w:val="false"/>
                <w:i w:val="false"/>
                <w:iCs w:val="false"/>
                <w:sz w:val="18"/>
                <w:szCs w:val="18"/>
              </w:rPr>
              <w:t xml:space="preserve">1. Schema &amp; infra</w:t>
            </w:r>
          </w:p>
        </w:tc>
        <w:tc>
          <w:tcPr>
            <w:tcW w:type="dxa" w:w="4400"/>
            <w:tcMar>
              <w:top w:type="dxa" w:w="60"/>
              <w:left w:type="dxa" w:w="100"/>
              <w:bottom w:type="dxa" w:w="60"/>
              <w:right w:type="dxa" w:w="100"/>
            </w:tcMar>
            <w:vAlign w:val="center"/>
          </w:tcPr>
          <w:p>
            <w:r>
              <w:rPr>
                <w:b w:val="false"/>
                <w:bCs w:val="false"/>
                <w:i w:val="false"/>
                <w:iCs w:val="false"/>
                <w:sz w:val="18"/>
                <w:szCs w:val="18"/>
              </w:rPr>
              <w:t xml:space="preserve">Stand up Aurora Postgres (Serverless v2), apply the DDL for all tables in Section 3, create the S3 landing bucket and DynamoDB idempotency table, wire KMS keys and IAM roles.</w:t>
            </w:r>
          </w:p>
        </w:tc>
        <w:tc>
          <w:tcPr>
            <w:tcW w:type="dxa" w:w="4900"/>
            <w:tcMar>
              <w:top w:type="dxa" w:w="60"/>
              <w:left w:type="dxa" w:w="100"/>
              <w:bottom w:type="dxa" w:w="60"/>
              <w:right w:type="dxa" w:w="100"/>
            </w:tcMar>
            <w:vAlign w:val="center"/>
          </w:tcPr>
          <w:p>
            <w:r>
              <w:rPr>
                <w:b w:val="false"/>
                <w:bCs w:val="false"/>
                <w:i w:val="false"/>
                <w:iCs w:val="false"/>
                <w:sz w:val="18"/>
                <w:szCs w:val="18"/>
              </w:rPr>
              <w:t xml:space="preserve">Use GitHub Copilot in-IDE to draft the DDL, Terraform/CDK, and RLS policies faster; nothing here calls an AI API at runtime.</w:t>
            </w:r>
          </w:p>
        </w:tc>
      </w:tr>
      <w:tr>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2. Ingestion API</w:t>
            </w:r>
          </w:p>
        </w:tc>
        <w:tc>
          <w:tcPr>
            <w:tcW w:type="dxa" w:w="4400"/>
            <w:shd w:fill="EFF4FA" w:val="clear"/>
            <w:tcMar>
              <w:top w:type="dxa" w:w="60"/>
              <w:left w:type="dxa" w:w="100"/>
              <w:bottom w:type="dxa" w:w="60"/>
              <w:right w:type="dxa" w:w="100"/>
            </w:tcMar>
            <w:vAlign w:val="center"/>
          </w:tcPr>
          <w:p>
            <w:r>
              <w:rPr>
                <w:b w:val="false"/>
                <w:bCs w:val="false"/>
                <w:i w:val="false"/>
                <w:iCs w:val="false"/>
                <w:sz w:val="18"/>
                <w:szCs w:val="18"/>
              </w:rPr>
              <w:t xml:space="preserve">API Gateway + Lambda for POST /events (batches) and POST /agents/register, with validation, dedup, and the transactional writes from Sections 3.4/3.6.</w:t>
            </w:r>
          </w:p>
        </w:tc>
        <w:tc>
          <w:tcPr>
            <w:tcW w:type="dxa" w:w="4900"/>
            <w:shd w:fill="EFF4FA" w:val="clear"/>
            <w:tcMar>
              <w:top w:type="dxa" w:w="60"/>
              <w:left w:type="dxa" w:w="100"/>
              <w:bottom w:type="dxa" w:w="60"/>
              <w:right w:type="dxa" w:w="100"/>
            </w:tcMar>
            <w:vAlign w:val="center"/>
          </w:tcPr>
          <w:p>
            <w:r>
              <w:rPr>
                <w:b w:val="false"/>
                <w:bCs w:val="false"/>
                <w:i w:val="false"/>
                <w:iCs w:val="false"/>
                <w:sz w:val="18"/>
                <w:szCs w:val="18"/>
              </w:rPr>
              <w:t xml:space="preserve">Same rule-based (non-AI) validation and tier/wastage classification logic described in Section 5.2 of the original design.</w:t>
            </w:r>
          </w:p>
        </w:tc>
      </w:tr>
      <w:tr>
        <w:tc>
          <w:tcPr>
            <w:tcW w:type="dxa" w:w="1500"/>
            <w:tcMar>
              <w:top w:type="dxa" w:w="60"/>
              <w:left w:type="dxa" w:w="100"/>
              <w:bottom w:type="dxa" w:w="60"/>
              <w:right w:type="dxa" w:w="100"/>
            </w:tcMar>
            <w:vAlign w:val="center"/>
          </w:tcPr>
          <w:p>
            <w:r>
              <w:rPr>
                <w:b w:val="false"/>
                <w:bCs w:val="false"/>
                <w:i w:val="false"/>
                <w:iCs w:val="false"/>
                <w:sz w:val="18"/>
                <w:szCs w:val="18"/>
              </w:rPr>
              <w:t xml:space="preserve">3. Extension client</w:t>
            </w:r>
          </w:p>
        </w:tc>
        <w:tc>
          <w:tcPr>
            <w:tcW w:type="dxa" w:w="4400"/>
            <w:tcMar>
              <w:top w:type="dxa" w:w="60"/>
              <w:left w:type="dxa" w:w="100"/>
              <w:bottom w:type="dxa" w:w="60"/>
              <w:right w:type="dxa" w:w="100"/>
            </w:tcMar>
            <w:vAlign w:val="center"/>
          </w:tcPr>
          <w:p>
            <w:r>
              <w:rPr>
                <w:b w:val="false"/>
                <w:bCs w:val="false"/>
                <w:i w:val="false"/>
                <w:iCs w:val="false"/>
                <w:sz w:val="18"/>
                <w:szCs w:val="18"/>
              </w:rPr>
              <w:t xml:space="preserve">VS Code extension: log watcher, minimizer, task-tier classifier, wastage calculator, batch queue, and the one-time agent-manifest registration call.</w:t>
            </w:r>
          </w:p>
        </w:tc>
        <w:tc>
          <w:tcPr>
            <w:tcW w:type="dxa" w:w="4900"/>
            <w:tcMar>
              <w:top w:type="dxa" w:w="60"/>
              <w:left w:type="dxa" w:w="100"/>
              <w:bottom w:type="dxa" w:w="60"/>
              <w:right w:type="dxa" w:w="100"/>
            </w:tcMar>
            <w:vAlign w:val="center"/>
          </w:tcPr>
          <w:p>
            <w:r>
              <w:rPr>
                <w:b w:val="false"/>
                <w:bCs w:val="false"/>
                <w:i w:val="false"/>
                <w:iCs w:val="false"/>
                <w:sz w:val="18"/>
                <w:szCs w:val="18"/>
              </w:rPr>
              <w:t xml:space="preserve">Generic client library so any agent repo (custom or Copilot-native) can adopt it by import + one manifest file.</w:t>
            </w:r>
          </w:p>
        </w:tc>
      </w:tr>
      <w:tr>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4. Feedback survey</w:t>
            </w:r>
          </w:p>
        </w:tc>
        <w:tc>
          <w:tcPr>
            <w:tcW w:type="dxa" w:w="4400"/>
            <w:shd w:fill="EFF4FA" w:val="clear"/>
            <w:tcMar>
              <w:top w:type="dxa" w:w="60"/>
              <w:left w:type="dxa" w:w="100"/>
              <w:bottom w:type="dxa" w:w="60"/>
              <w:right w:type="dxa" w:w="100"/>
            </w:tcMar>
            <w:vAlign w:val="center"/>
          </w:tcPr>
          <w:p>
            <w:r>
              <w:rPr>
                <w:b w:val="false"/>
                <w:bCs w:val="false"/>
                <w:i w:val="false"/>
                <w:iCs w:val="false"/>
                <w:sz w:val="18"/>
                <w:szCs w:val="18"/>
              </w:rPr>
              <w:t xml:space="preserve">Local survey UI triggered on the N-day timer per (acf2_id, agent_id); structured-field validation before submit.</w:t>
            </w:r>
          </w:p>
        </w:tc>
        <w:tc>
          <w:tcPr>
            <w:tcW w:type="dxa" w:w="4900"/>
            <w:shd w:fill="EFF4FA" w:val="clear"/>
            <w:tcMar>
              <w:top w:type="dxa" w:w="60"/>
              <w:left w:type="dxa" w:w="100"/>
              <w:bottom w:type="dxa" w:w="60"/>
              <w:right w:type="dxa" w:w="100"/>
            </w:tcMar>
            <w:vAlign w:val="center"/>
          </w:tcPr>
          <w:p>
            <w:r>
              <w:rPr>
                <w:b w:val="false"/>
                <w:bCs w:val="false"/>
                <w:i w:val="false"/>
                <w:iCs w:val="false"/>
                <w:sz w:val="18"/>
                <w:szCs w:val="18"/>
              </w:rPr>
              <w:t xml:space="preserve">No free text fields that could contain code or secrets.</w:t>
            </w:r>
          </w:p>
        </w:tc>
      </w:tr>
      <w:tr>
        <w:tc>
          <w:tcPr>
            <w:tcW w:type="dxa" w:w="1500"/>
            <w:tcMar>
              <w:top w:type="dxa" w:w="60"/>
              <w:left w:type="dxa" w:w="100"/>
              <w:bottom w:type="dxa" w:w="60"/>
              <w:right w:type="dxa" w:w="100"/>
            </w:tcMar>
            <w:vAlign w:val="center"/>
          </w:tcPr>
          <w:p>
            <w:r>
              <w:rPr>
                <w:b w:val="false"/>
                <w:bCs w:val="false"/>
                <w:i w:val="false"/>
                <w:iCs w:val="false"/>
                <w:sz w:val="18"/>
                <w:szCs w:val="18"/>
              </w:rPr>
              <w:t xml:space="preserve">5. Aggregation &amp; catalog jobs</w:t>
            </w:r>
          </w:p>
        </w:tc>
        <w:tc>
          <w:tcPr>
            <w:tcW w:type="dxa" w:w="4400"/>
            <w:tcMar>
              <w:top w:type="dxa" w:w="60"/>
              <w:left w:type="dxa" w:w="100"/>
              <w:bottom w:type="dxa" w:w="60"/>
              <w:right w:type="dxa" w:w="100"/>
            </w:tcMar>
            <w:vAlign w:val="center"/>
          </w:tcPr>
          <w:p>
            <w:r>
              <w:rPr>
                <w:b w:val="false"/>
                <w:bCs w:val="false"/>
                <w:i w:val="false"/>
                <w:iCs w:val="false"/>
                <w:sz w:val="18"/>
                <w:szCs w:val="18"/>
              </w:rPr>
              <w:t xml:space="preserve">EventBridge-scheduled Lambda/Glue: Teams sync, materialized view refresh, credit-eligibility scoring, new-release digest scan.</w:t>
            </w:r>
          </w:p>
        </w:tc>
        <w:tc>
          <w:tcPr>
            <w:tcW w:type="dxa" w:w="4900"/>
            <w:tcMar>
              <w:top w:type="dxa" w:w="60"/>
              <w:left w:type="dxa" w:w="100"/>
              <w:bottom w:type="dxa" w:w="60"/>
              <w:right w:type="dxa" w:w="100"/>
            </w:tcMar>
            <w:vAlign w:val="center"/>
          </w:tcPr>
          <w:p>
            <w:r>
              <w:rPr>
                <w:b w:val="false"/>
                <w:bCs w:val="false"/>
                <w:i w:val="false"/>
                <w:iCs w:val="false"/>
                <w:sz w:val="18"/>
                <w:szCs w:val="18"/>
              </w:rPr>
              <w:t xml:space="preserve">This is also where mv_agent_insight_rollup is (re)built.</w:t>
            </w:r>
          </w:p>
        </w:tc>
      </w:tr>
      <w:tr>
        <w:tc>
          <w:tcPr>
            <w:tcW w:type="dxa" w:w="1500"/>
            <w:shd w:fill="EFF4FA" w:val="clear"/>
            <w:tcMar>
              <w:top w:type="dxa" w:w="60"/>
              <w:left w:type="dxa" w:w="100"/>
              <w:bottom w:type="dxa" w:w="60"/>
              <w:right w:type="dxa" w:w="100"/>
            </w:tcMar>
            <w:vAlign w:val="center"/>
          </w:tcPr>
          <w:p>
            <w:r>
              <w:rPr>
                <w:b w:val="false"/>
                <w:bCs w:val="false"/>
                <w:i w:val="false"/>
                <w:iCs w:val="false"/>
                <w:sz w:val="18"/>
                <w:szCs w:val="18"/>
              </w:rPr>
              <w:t xml:space="preserve">6. Dashboards</w:t>
            </w:r>
          </w:p>
        </w:tc>
        <w:tc>
          <w:tcPr>
            <w:tcW w:type="dxa" w:w="4400"/>
            <w:shd w:fill="EFF4FA" w:val="clear"/>
            <w:tcMar>
              <w:top w:type="dxa" w:w="60"/>
              <w:left w:type="dxa" w:w="100"/>
              <w:bottom w:type="dxa" w:w="60"/>
              <w:right w:type="dxa" w:w="100"/>
            </w:tcMar>
            <w:vAlign w:val="center"/>
          </w:tcPr>
          <w:p>
            <w:r>
              <w:rPr>
                <w:b w:val="false"/>
                <w:bCs w:val="false"/>
                <w:i w:val="false"/>
                <w:iCs w:val="false"/>
                <w:sz w:val="18"/>
                <w:szCs w:val="18"/>
              </w:rPr>
              <w:t xml:space="preserve">QuickSight datasets pointed at the curated schema/materialized views, with RLS-backed row filtering for the user dashboard vs. the admin dashboard.</w:t>
            </w:r>
          </w:p>
        </w:tc>
        <w:tc>
          <w:tcPr>
            <w:tcW w:type="dxa" w:w="4900"/>
            <w:shd w:fill="EFF4FA" w:val="clear"/>
            <w:tcMar>
              <w:top w:type="dxa" w:w="60"/>
              <w:left w:type="dxa" w:w="100"/>
              <w:bottom w:type="dxa" w:w="60"/>
              <w:right w:type="dxa" w:w="100"/>
            </w:tcMar>
            <w:vAlign w:val="center"/>
          </w:tcPr>
          <w:p>
            <w:r>
              <w:rPr>
                <w:b w:val="false"/>
                <w:bCs w:val="false"/>
                <w:i w:val="false"/>
                <w:iCs w:val="false"/>
                <w:sz w:val="18"/>
                <w:szCs w:val="18"/>
              </w:rPr>
              <w:t xml:space="preserve">Admin dashboard adds an "Agent Insights" tab sourced from mv_agent_insight_rollup.</w:t>
            </w:r>
          </w:p>
        </w:tc>
      </w:tr>
    </w:tbl>
    <w:p>
      <w:pPr>
        <w:pStyle w:val="Heading1"/>
        <w:spacing w:after="160" w:before="360"/>
      </w:pPr>
      <w:r>
        <w:t xml:space="preserve">6. Open Questions / Risks Carried Forward</w:t>
      </w:r>
    </w:p>
    <w:tbl>
      <w:tblPr>
        <w:tblW w:type="dxa" w:w="10800"/>
        <w:tblBorders>
          <w:top w:val="single" w:color="BFC7D1" w:sz="4"/>
          <w:left w:val="single" w:color="BFC7D1" w:sz="4"/>
          <w:bottom w:val="single" w:color="BFC7D1" w:sz="4"/>
          <w:right w:val="single" w:color="BFC7D1" w:sz="4"/>
          <w:insideH w:val="single" w:color="BFC7D1" w:sz="4"/>
          <w:insideV w:val="single" w:color="BFC7D1" w:sz="4"/>
        </w:tblBorders>
      </w:tblPr>
      <w:tblGrid>
        <w:gridCol w:w="2600"/>
        <w:gridCol w:w="8200"/>
      </w:tblGrid>
      <w:tr>
        <w:trPr>
          <w:tblHeader/>
        </w:trPr>
        <w:tc>
          <w:tcPr>
            <w:tcW w:type="dxa" w:w="2600"/>
            <w:shd w:fill="0B5394" w:val="clear"/>
            <w:tcMar>
              <w:top w:type="dxa" w:w="60"/>
              <w:left w:type="dxa" w:w="100"/>
              <w:bottom w:type="dxa" w:w="60"/>
              <w:right w:type="dxa" w:w="100"/>
            </w:tcMar>
            <w:vAlign w:val="center"/>
          </w:tcPr>
          <w:p>
            <w:r>
              <w:rPr>
                <w:b/>
                <w:bCs/>
                <w:i w:val="false"/>
                <w:iCs w:val="false"/>
                <w:color w:val="FFFFFF"/>
                <w:sz w:val="18"/>
                <w:szCs w:val="18"/>
              </w:rPr>
              <w:t xml:space="preserve">Item</w:t>
            </w:r>
          </w:p>
        </w:tc>
        <w:tc>
          <w:tcPr>
            <w:tcW w:type="dxa" w:w="8200"/>
            <w:shd w:fill="0B5394" w:val="clear"/>
            <w:tcMar>
              <w:top w:type="dxa" w:w="60"/>
              <w:left w:type="dxa" w:w="100"/>
              <w:bottom w:type="dxa" w:w="60"/>
              <w:right w:type="dxa" w:w="100"/>
            </w:tcMar>
            <w:vAlign w:val="center"/>
          </w:tcPr>
          <w:p>
            <w:r>
              <w:rPr>
                <w:b/>
                <w:bCs/>
                <w:i w:val="false"/>
                <w:iCs w:val="false"/>
                <w:color w:val="FFFFFF"/>
                <w:sz w:val="18"/>
                <w:szCs w:val="18"/>
              </w:rPr>
              <w:t xml:space="preserve">Note</w:t>
            </w:r>
          </w:p>
        </w:tc>
      </w:tr>
      <w:tr>
        <w:tc>
          <w:tcPr>
            <w:tcW w:type="dxa" w:w="2600"/>
            <w:tcMar>
              <w:top w:type="dxa" w:w="60"/>
              <w:left w:type="dxa" w:w="100"/>
              <w:bottom w:type="dxa" w:w="60"/>
              <w:right w:type="dxa" w:w="100"/>
            </w:tcMar>
            <w:vAlign w:val="center"/>
          </w:tcPr>
          <w:p>
            <w:r>
              <w:rPr>
                <w:b w:val="false"/>
                <w:bCs w:val="false"/>
                <w:i w:val="false"/>
                <w:iCs w:val="false"/>
                <w:sz w:val="18"/>
                <w:szCs w:val="18"/>
              </w:rPr>
              <w:t xml:space="preserve">Aurora Serverless v2 approval</w:t>
            </w:r>
          </w:p>
        </w:tc>
        <w:tc>
          <w:tcPr>
            <w:tcW w:type="dxa" w:w="8200"/>
            <w:tcMar>
              <w:top w:type="dxa" w:w="60"/>
              <w:left w:type="dxa" w:w="100"/>
              <w:bottom w:type="dxa" w:w="60"/>
              <w:right w:type="dxa" w:w="100"/>
            </w:tcMar>
            <w:vAlign w:val="center"/>
          </w:tcPr>
          <w:p>
            <w:r>
              <w:rPr>
                <w:b w:val="false"/>
                <w:bCs w:val="false"/>
                <w:i w:val="false"/>
                <w:iCs w:val="false"/>
                <w:sz w:val="18"/>
                <w:szCs w:val="18"/>
              </w:rPr>
              <w:t xml:space="preserve">If Aurora isn't pre-approved in the workload account, standard RDS for PostgreSQL is a drop-in substitute with identical schema/isolation behavior, just without scale-to-near-zero cost.</w:t>
            </w:r>
          </w:p>
        </w:tc>
      </w:tr>
      <w:tr>
        <w:tc>
          <w:tcPr>
            <w:tcW w:type="dxa" w:w="2600"/>
            <w:shd w:fill="EFF4FA" w:val="clear"/>
            <w:tcMar>
              <w:top w:type="dxa" w:w="60"/>
              <w:left w:type="dxa" w:w="100"/>
              <w:bottom w:type="dxa" w:w="60"/>
              <w:right w:type="dxa" w:w="100"/>
            </w:tcMar>
            <w:vAlign w:val="center"/>
          </w:tcPr>
          <w:p>
            <w:r>
              <w:rPr>
                <w:b w:val="false"/>
                <w:bCs w:val="false"/>
                <w:i w:val="false"/>
                <w:iCs w:val="false"/>
                <w:sz w:val="18"/>
                <w:szCs w:val="18"/>
              </w:rPr>
              <w:t xml:space="preserve">Agent manifest adoption</w:t>
            </w:r>
          </w:p>
        </w:tc>
        <w:tc>
          <w:tcPr>
            <w:tcW w:type="dxa" w:w="8200"/>
            <w:shd w:fill="EFF4FA" w:val="clear"/>
            <w:tcMar>
              <w:top w:type="dxa" w:w="60"/>
              <w:left w:type="dxa" w:w="100"/>
              <w:bottom w:type="dxa" w:w="60"/>
              <w:right w:type="dxa" w:w="100"/>
            </w:tcMar>
            <w:vAlign w:val="center"/>
          </w:tcPr>
          <w:p>
            <w:r>
              <w:rPr>
                <w:b w:val="false"/>
                <w:bCs w:val="false"/>
                <w:i w:val="false"/>
                <w:iCs w:val="false"/>
                <w:sz w:val="18"/>
                <w:szCs w:val="18"/>
              </w:rPr>
              <w:t xml:space="preserve">The Agent Catalog is only as complete as the manifests repos actually add; treat catalog coverage as a data-quality metric, same as debug-log parser coverage in the original design.</w:t>
            </w:r>
          </w:p>
        </w:tc>
      </w:tr>
      <w:tr>
        <w:tc>
          <w:tcPr>
            <w:tcW w:type="dxa" w:w="2600"/>
            <w:tcMar>
              <w:top w:type="dxa" w:w="60"/>
              <w:left w:type="dxa" w:w="100"/>
              <w:bottom w:type="dxa" w:w="60"/>
              <w:right w:type="dxa" w:w="100"/>
            </w:tcMar>
            <w:vAlign w:val="center"/>
          </w:tcPr>
          <w:p>
            <w:r>
              <w:rPr>
                <w:b w:val="false"/>
                <w:bCs w:val="false"/>
                <w:i w:val="false"/>
                <w:iCs w:val="false"/>
                <w:sz w:val="18"/>
                <w:szCs w:val="18"/>
              </w:rPr>
              <w:t xml:space="preserve">Notification channel for "new releases"</w:t>
            </w:r>
          </w:p>
        </w:tc>
        <w:tc>
          <w:tcPr>
            <w:tcW w:type="dxa" w:w="8200"/>
            <w:tcMar>
              <w:top w:type="dxa" w:w="60"/>
              <w:left w:type="dxa" w:w="100"/>
              <w:bottom w:type="dxa" w:w="60"/>
              <w:right w:type="dxa" w:w="100"/>
            </w:tcMar>
            <w:vAlign w:val="center"/>
          </w:tcPr>
          <w:p>
            <w:r>
              <w:rPr>
                <w:b w:val="false"/>
                <w:bCs w:val="false"/>
                <w:i w:val="false"/>
                <w:iCs w:val="false"/>
                <w:sz w:val="18"/>
                <w:szCs w:val="18"/>
              </w:rPr>
              <w:t xml:space="preserve">Design assumes email/Teams webhook off the fact_agent_registration_event scan; channel and opt-in list ownership still TBD.</w:t>
            </w:r>
          </w:p>
        </w:tc>
      </w:tr>
      <w:tr>
        <w:tc>
          <w:tcPr>
            <w:tcW w:type="dxa" w:w="2600"/>
            <w:shd w:fill="EFF4FA" w:val="clear"/>
            <w:tcMar>
              <w:top w:type="dxa" w:w="60"/>
              <w:left w:type="dxa" w:w="100"/>
              <w:bottom w:type="dxa" w:w="60"/>
              <w:right w:type="dxa" w:w="100"/>
            </w:tcMar>
            <w:vAlign w:val="center"/>
          </w:tcPr>
          <w:p>
            <w:r>
              <w:rPr>
                <w:b w:val="false"/>
                <w:bCs w:val="false"/>
                <w:i w:val="false"/>
                <w:iCs w:val="false"/>
                <w:sz w:val="18"/>
                <w:szCs w:val="18"/>
              </w:rPr>
              <w:t xml:space="preserve">Governance sign-off</w:t>
            </w:r>
          </w:p>
        </w:tc>
        <w:tc>
          <w:tcPr>
            <w:tcW w:type="dxa" w:w="8200"/>
            <w:shd w:fill="EFF4FA" w:val="clear"/>
            <w:tcMar>
              <w:top w:type="dxa" w:w="60"/>
              <w:left w:type="dxa" w:w="100"/>
              <w:bottom w:type="dxa" w:w="60"/>
              <w:right w:type="dxa" w:w="100"/>
            </w:tcMar>
            <w:vAlign w:val="center"/>
          </w:tcPr>
          <w:p>
            <w:r>
              <w:rPr>
                <w:b w:val="false"/>
                <w:bCs w:val="false"/>
                <w:i w:val="false"/>
                <w:iCs w:val="false"/>
                <w:sz w:val="18"/>
                <w:szCs w:val="18"/>
              </w:rPr>
              <w:t xml:space="preserve">Retention window, RLS role ownership, and admin re-identification approval flow are unchanged open items from the original design and still need an owner.</w:t>
            </w:r>
          </w:p>
        </w:tc>
      </w:tr>
    </w:tbl>
    <w:p>
      <w:pPr>
        <w:pStyle w:val="Heading1"/>
        <w:spacing w:after="160" w:before="360"/>
      </w:pPr>
      <w:r>
        <w:t xml:space="preserve">Appendix A — Unchanged Column Lists</w:t>
      </w:r>
    </w:p>
    <w:p>
      <w:pPr>
        <w:spacing w:after="140"/>
      </w:pPr>
      <w:r>
        <w:t xml:space="preserve">For completeness, the following tables carry over from the original design with only the addition of a nullable registration_version_id FK (Section 3.3): fact_llm_request (idempotency_key PK, acf2_id, session_id, agent_id, repo_classification, model_id, ts, input_tokens, cached_tokens, output_tokens, ttft, dur, estimated_cost), fact_agent_flow_event (idempotency_key PK, acf2_id, session_id, agent_id, request_corr_id, ts, event_category, tool_name, status, duration, retry_error_category, edit_file_count, validation_result, completion_marker), and fact_token_wastage (idempotency_key PK, acf2_id, session_id, agent_id, turn_corr_id, ts, tier_id, actual_model_id, recommended_model_id, actual_tokens, expected_tokens, actual_cost, expected_cost, wasted_tokens, wasted_cost, provisioning_label). dim_model and dim_task_tier are unchanged from the original design.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8"/>
      </w:pBdr>
      <w:spacing w:after="160" w:before="360"/>
    </w:pPr>
    <w:rPr>
      <w:b/>
      <w:bCs/>
      <w:color w:val="07304F"/>
      <w:sz w:val="30"/>
      <w:szCs w:val="30"/>
    </w:rPr>
  </w:style>
  <w:style w:type="paragraph" w:styleId="Heading2">
    <w:name w:val="Heading 2"/>
    <w:basedOn w:val="Normal"/>
    <w:next w:val="Normal"/>
    <w:qFormat/>
    <w:rPr>
      <w:b/>
      <w:bCs/>
      <w:color w:val="0B5394"/>
      <w:sz w:val="25"/>
      <w:szCs w:val="25"/>
    </w:rPr>
  </w:style>
  <w:style w:type="paragraph" w:styleId="Heading3">
    <w:name w:val="Heading 3"/>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2026-08-18T07:07:45.025Z</dcterms:created>
  <dcterms:modified xsi:type="dcterms:W3CDTF">2026-08-18T07:07:45.031Z</dcterms:modified>
</cp:coreProperties>
</file>

<file path=docProps/custom.xml><?xml version="1.0" encoding="utf-8"?>
<Properties xmlns="http://schemas.openxmlformats.org/officeDocument/2006/custom-properties" xmlns:vt="http://schemas.openxmlformats.org/officeDocument/2006/docPropsVTypes"/>
</file>