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2"/>
        </w:rPr>
        <w:t>PROGRAMA TÉCNICO EN DESARROLLO DE SOFTWARE</w:t>
        <w:br/>
        <w:t>ASIGNATURA: APLICACIONES WEB II</w:t>
      </w:r>
    </w:p>
    <w:p/>
    <w:p>
      <w:pPr>
        <w:jc w:val="center"/>
      </w:pPr>
      <w:r>
        <w:rPr>
          <w:b/>
          <w:color w:val="1E3A8A"/>
          <w:sz w:val="40"/>
        </w:rPr>
        <w:t>INFORME TÉCNICO DE INGENIERÍA:</w:t>
        <w:br/>
        <w:t>MIGRACIÓN DE SINTAXIS A ANGULAR 18</w:t>
        <w:br/>
        <w:t>(MÓDULO DE COLECCIONES)</w:t>
      </w:r>
    </w:p>
    <w:p>
      <w:pPr>
        <w:jc w:val="center"/>
      </w:pPr>
      <w:r>
        <w:rPr>
          <w:i/>
          <w:color w:val="475569"/>
          <w:sz w:val="24"/>
        </w:rPr>
        <w:t>Estrategia de Modernización Incremental: Componentes Standalone, Angular Signals, Control Flow Nativo e Inyección Funcional sin Conflictos en la Arquitectura Base</w:t>
      </w:r>
    </w:p>
    <w:p/>
    <w:p/>
    <w:tbl>
      <w:tblPr>
        <w:tblW w:type="auto" w:w="0"/>
        <w:jc w:val="center"/>
        <w:tblLook w:firstColumn="1" w:firstRow="1" w:lastColumn="0" w:lastRow="0" w:noHBand="0" w:noVBand="1" w:val="04A0"/>
      </w:tblPr>
      <w:tblGrid>
        <w:gridCol w:w="3168"/>
        <w:gridCol w:w="6192"/>
      </w:tblGrid>
      <w:tr>
        <w:tc>
          <w:tcPr>
            <w:tcW w:type="dxa" w:w="4680"/>
            <w:shd w:fill="F8FAFC"/>
            <w:tcMar>
              <w:top w:w="60" w:type="dxa"/>
              <w:bottom w:w="60" w:type="dxa"/>
              <w:left w:w="100" w:type="dxa"/>
              <w:right w:w="100" w:type="dxa"/>
            </w:tcMar>
          </w:tcPr>
          <w:p>
            <w:r>
              <w:rPr>
                <w:b/>
                <w:color w:val="334155"/>
                <w:sz w:val="19"/>
              </w:rPr>
              <w:t>Proyecto / Repositorio:</w:t>
            </w:r>
          </w:p>
        </w:tc>
        <w:tc>
          <w:tcPr>
            <w:tcW w:type="dxa" w:w="4680"/>
            <w:tcMar>
              <w:top w:w="60" w:type="dxa"/>
              <w:bottom w:w="60" w:type="dxa"/>
              <w:left w:w="100" w:type="dxa"/>
              <w:right w:w="100" w:type="dxa"/>
            </w:tcMar>
          </w:tcPr>
          <w:p>
            <w:r>
              <w:rPr>
                <w:color w:val="0F172A"/>
                <w:sz w:val="19"/>
              </w:rPr>
              <w:t>magic-x-ff-rest-api (NestJS / Angular Stack)</w:t>
            </w:r>
          </w:p>
        </w:tc>
      </w:tr>
      <w:tr>
        <w:tc>
          <w:tcPr>
            <w:tcW w:type="dxa" w:w="4680"/>
            <w:shd w:fill="F8FAFC"/>
            <w:tcMar>
              <w:top w:w="60" w:type="dxa"/>
              <w:bottom w:w="60" w:type="dxa"/>
              <w:left w:w="100" w:type="dxa"/>
              <w:right w:w="100" w:type="dxa"/>
            </w:tcMar>
          </w:tcPr>
          <w:p>
            <w:r>
              <w:rPr>
                <w:b/>
                <w:color w:val="334155"/>
                <w:sz w:val="19"/>
              </w:rPr>
              <w:t>Módulo Seleccionado:</w:t>
            </w:r>
          </w:p>
        </w:tc>
        <w:tc>
          <w:tcPr>
            <w:tcW w:type="dxa" w:w="4680"/>
            <w:tcMar>
              <w:top w:w="60" w:type="dxa"/>
              <w:bottom w:w="60" w:type="dxa"/>
              <w:left w:w="100" w:type="dxa"/>
              <w:right w:w="100" w:type="dxa"/>
            </w:tcMar>
          </w:tcPr>
          <w:p>
            <w:r>
              <w:rPr>
                <w:color w:val="0F172A"/>
                <w:sz w:val="19"/>
              </w:rPr>
              <w:t>Collections (Colecciones Personales de Cartas)</w:t>
            </w:r>
          </w:p>
        </w:tc>
      </w:tr>
      <w:tr>
        <w:tc>
          <w:tcPr>
            <w:tcW w:type="dxa" w:w="4680"/>
            <w:shd w:fill="F8FAFC"/>
            <w:tcMar>
              <w:top w:w="60" w:type="dxa"/>
              <w:bottom w:w="60" w:type="dxa"/>
              <w:left w:w="100" w:type="dxa"/>
              <w:right w:w="100" w:type="dxa"/>
            </w:tcMar>
          </w:tcPr>
          <w:p>
            <w:r>
              <w:rPr>
                <w:b/>
                <w:color w:val="334155"/>
                <w:sz w:val="19"/>
              </w:rPr>
              <w:t>Versión Objetivo:</w:t>
            </w:r>
          </w:p>
        </w:tc>
        <w:tc>
          <w:tcPr>
            <w:tcW w:type="dxa" w:w="4680"/>
            <w:tcMar>
              <w:top w:w="60" w:type="dxa"/>
              <w:bottom w:w="60" w:type="dxa"/>
              <w:left w:w="100" w:type="dxa"/>
              <w:right w:w="100" w:type="dxa"/>
            </w:tcMar>
          </w:tcPr>
          <w:p>
            <w:r>
              <w:rPr>
                <w:color w:val="0F172A"/>
                <w:sz w:val="19"/>
              </w:rPr>
              <w:t>Angular 18 (Standalone + Signals + Control Flow)</w:t>
            </w:r>
          </w:p>
        </w:tc>
      </w:tr>
      <w:tr>
        <w:tc>
          <w:tcPr>
            <w:tcW w:type="dxa" w:w="4680"/>
            <w:shd w:fill="F8FAFC"/>
            <w:tcMar>
              <w:top w:w="60" w:type="dxa"/>
              <w:bottom w:w="60" w:type="dxa"/>
              <w:left w:w="100" w:type="dxa"/>
              <w:right w:w="100" w:type="dxa"/>
            </w:tcMar>
          </w:tcPr>
          <w:p>
            <w:r>
              <w:rPr>
                <w:b/>
                <w:color w:val="334155"/>
                <w:sz w:val="19"/>
              </w:rPr>
              <w:t>Especialidad:</w:t>
            </w:r>
          </w:p>
        </w:tc>
        <w:tc>
          <w:tcPr>
            <w:tcW w:type="dxa" w:w="4680"/>
            <w:tcMar>
              <w:top w:w="60" w:type="dxa"/>
              <w:bottom w:w="60" w:type="dxa"/>
              <w:left w:w="100" w:type="dxa"/>
              <w:right w:w="100" w:type="dxa"/>
            </w:tcMar>
          </w:tcPr>
          <w:p>
            <w:r>
              <w:rPr>
                <w:color w:val="0F172A"/>
                <w:sz w:val="19"/>
              </w:rPr>
              <w:t>Ingeniería de Sistemas y Desarrollo Web</w:t>
            </w:r>
          </w:p>
        </w:tc>
      </w:tr>
    </w:tbl>
    <w:p>
      <w:r>
        <w:br w:type="page"/>
      </w:r>
    </w:p>
    <w:p>
      <w:pPr>
        <w:pStyle w:val="Heading1"/>
      </w:pPr>
      <w:r>
        <w:t>1. Resumen Ejecutivo (Executive Summary)</w:t>
      </w:r>
    </w:p>
    <w:p>
      <w:r>
        <w:t>El presente informe documenta el procedimiento técnico formal de modernización sintáctica y arquitectónica aplicado al módulo de Colecciones (`CollectionsModule`) dentro del sistema de gestión de cartas coleccionables Magic: The Gathering. El proyecto original fue estructurado siguiendo el paradigma modular clásico de Angular (equivalente al modelo tradicional basado en `NgModule` de Angular v2 a v16, reflejado en el backend de NestJS).</w:t>
      </w:r>
    </w:p>
    <w:p>
      <w:r>
        <w:t>Por requerimiento de entrega técnica, se diseñó e implementó la migración del módulo de Colecciones hacia la sintaxis estándar de Angular 18, adoptando los cuatro pilares fundamentales de la versión moderna: (1) Arquitectura Standalone, (2) Inyección de dependencias funcional con `inject()`, (3) Nuevo Control Flow sintáctico integrado en el compilador (`@if`, `@for`, `@empty`), y (4) Reactividad declarativa de grano fino mediante Angular Signals. Asimismo, se demostró analítica y empíricamente la coexistencia armónica de este módulo modernizado con los módulos restantes del sistema (`Cards`, `Users`, `Auth`), garantizando cero conflictos de interoperabilidad y preservando la estabilidad operativa del entorno.</w:t>
      </w:r>
    </w:p>
    <w:p>
      <w:pPr>
        <w:pStyle w:val="Heading1"/>
      </w:pPr>
      <w:r>
        <w:t>2. Justificación Técnica de la Selección del Módulo 'Collections'</w:t>
      </w:r>
    </w:p>
    <w:p>
      <w:r>
        <w:t>En la ingeniería de software aplicada a sistemas en producción, las migraciones sintácticas y de frameworks no deben realizarse de forma masiva (Big Bang Migration), sino de forma progresiva aplicando el patrón Strangler Fig (Higuera Estranguladora). La selección del módulo de Colecciones se fundamenta en tres criterios ingenieriles determinantes:</w:t>
      </w:r>
    </w:p>
    <w:p>
      <w:pPr>
        <w:pStyle w:val="ListBullet"/>
      </w:pPr>
      <w:r>
        <w:t>• Bajo Volumen Inicial y Cero Riesgo de Pérdida de Datos Críticos: A diferencia del catálogo maestro de cartas (`Cards`), que alberga 915 registros (594 de Final Fantasy y 321 de The Hobbit) con múltiples relaciones de índices y claves foráneas, el módulo de Colecciones maneja un volumen acotado de inventario personal por usuario (`CollectionEntry`). Esto minimiza drásticamente el impacto ante cualquier contingencia de migración.</w:t>
      </w:r>
    </w:p>
    <w:p>
      <w:pPr>
        <w:pStyle w:val="ListBullet"/>
      </w:pPr>
      <w:r>
        <w:t>• Aislamiento y Alta Cohesión: La entidad `CollectionEntry` representa una tabla asociativa con baja complejidad estructural (`id`, `userId`, `cardId`, `quantity`, `isFoil`). Posee límites de dominio (Bounded Context) perfectamente delimitados, lo que permite refactorizar su lógica sin generar efectos secundarios en cascada sobre la seguridad o el catálogo.</w:t>
      </w:r>
    </w:p>
    <w:p>
      <w:pPr>
        <w:pStyle w:val="ListBullet"/>
      </w:pPr>
      <w:r>
        <w:t>• Idoneidad para Demostrar los Beneficios de Angular 18: La interfaz de colección requiere actualizar contadores en tiempo real (copias normales, foil, KPIs), reaccionar a incrementos/decrementos y manejar estados vacíos. Es el escenario prototípico donde los Signals de Angular 18 y el nuevo `@empty` demuestran una reducción tangible de código boilerplate y una mejora de rendimiento superior a la de un simple catálogo estático.</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left w:val="single" w:sz="24" w:space="0" w:color="4F46E5"/>
              <w:top w:val="none"/>
              <w:right w:val="none"/>
              <w:bottom w:val="none"/>
            </w:tcBorders>
          </w:tcPr>
          <w:p>
            <w:pPr>
              <w:spacing w:before="80" w:after="80"/>
            </w:pPr>
            <w:r>
              <w:rPr>
                <w:rFonts w:ascii="Arial" w:hAnsi="Arial"/>
                <w:b/>
                <w:color w:val="4F46E5"/>
                <w:sz w:val="19"/>
              </w:rPr>
              <w:t xml:space="preserve">DECISIÓN DE ARQUITECTURA: </w:t>
            </w:r>
            <w:r>
              <w:rPr>
                <w:rFonts w:ascii="Arial" w:hAnsi="Arial"/>
                <w:color w:val="334155"/>
                <w:sz w:val="19"/>
              </w:rPr>
              <w:t>La migración modular aislada permite evaluar el comportamiento de la nueva sintaxis en un entorno real sin comprometer la disponibilidad de los servicios maestros (Cards y Auth).</w:t>
            </w:r>
          </w:p>
        </w:tc>
      </w:tr>
    </w:tbl>
    <w:p/>
    <w:p>
      <w:pPr>
        <w:pStyle w:val="Heading1"/>
      </w:pPr>
      <w:r>
        <w:t>3. Estado del Arte: Evolución de la Arquitectura de Angular</w:t>
      </w:r>
    </w:p>
    <w:p>
      <w:r>
        <w:t>Para comprender el alcance del cambio, es imprescindible contrastar el modelo modular clásico con la sintaxis introducida en Angular 17 y consolidada en Angular 18:</w:t>
      </w:r>
    </w:p>
    <w:tbl>
      <w:tblPr>
        <w:tblW w:type="auto" w:w="0"/>
        <w:jc w:val="center"/>
        <w:tblLook w:firstColumn="1" w:firstRow="1" w:lastColumn="0" w:lastRow="0" w:noHBand="0" w:noVBand="1" w:val="04A0"/>
      </w:tblPr>
      <w:tblGrid>
        <w:gridCol w:w="2592"/>
        <w:gridCol w:w="3312"/>
        <w:gridCol w:w="3456"/>
      </w:tblGrid>
      <w:tr>
        <w:tc>
          <w:tcPr>
            <w:tcW w:type="dxa" w:w="3120"/>
            <w:shd w:fill="1E293B"/>
            <w:tcMar>
              <w:top w:w="80" w:type="dxa"/>
              <w:bottom w:w="80" w:type="dxa"/>
              <w:left w:w="100" w:type="dxa"/>
              <w:right w:w="100" w:type="dxa"/>
            </w:tcMar>
          </w:tcPr>
          <w:p>
            <w:r>
              <w:rPr>
                <w:b/>
                <w:color w:val="FFFFFF"/>
                <w:sz w:val="19"/>
              </w:rPr>
              <w:t>Aspecto Técnico</w:t>
            </w:r>
          </w:p>
        </w:tc>
        <w:tc>
          <w:tcPr>
            <w:tcW w:type="dxa" w:w="3120"/>
            <w:shd w:fill="1E293B"/>
            <w:tcMar>
              <w:top w:w="80" w:type="dxa"/>
              <w:bottom w:w="80" w:type="dxa"/>
              <w:left w:w="100" w:type="dxa"/>
              <w:right w:w="100" w:type="dxa"/>
            </w:tcMar>
          </w:tcPr>
          <w:p>
            <w:r>
              <w:rPr>
                <w:b/>
                <w:color w:val="FFFFFF"/>
                <w:sz w:val="19"/>
              </w:rPr>
              <w:t>Angular Clásico (v2 - v16)</w:t>
            </w:r>
          </w:p>
        </w:tc>
        <w:tc>
          <w:tcPr>
            <w:tcW w:type="dxa" w:w="3120"/>
            <w:shd w:fill="1E293B"/>
            <w:tcMar>
              <w:top w:w="80" w:type="dxa"/>
              <w:bottom w:w="80" w:type="dxa"/>
              <w:left w:w="100" w:type="dxa"/>
              <w:right w:w="100" w:type="dxa"/>
            </w:tcMar>
          </w:tcPr>
          <w:p>
            <w:r>
              <w:rPr>
                <w:b/>
                <w:color w:val="FFFFFF"/>
                <w:sz w:val="19"/>
              </w:rPr>
              <w:t>Angular 18 Moderno</w:t>
            </w:r>
          </w:p>
        </w:tc>
      </w:tr>
      <w:tr>
        <w:tc>
          <w:tcPr>
            <w:tcW w:type="dxa" w:w="3120"/>
            <w:shd w:fill="F8FAFC"/>
            <w:tcMar>
              <w:top w:w="60" w:type="dxa"/>
              <w:bottom w:w="60" w:type="dxa"/>
              <w:left w:w="100" w:type="dxa"/>
              <w:right w:w="100" w:type="dxa"/>
            </w:tcMar>
          </w:tcPr>
          <w:p>
            <w:r>
              <w:rPr>
                <w:b/>
                <w:color w:val="1E293B"/>
                <w:sz w:val="17"/>
              </w:rPr>
              <w:t>Organización de Módulos</w:t>
            </w:r>
          </w:p>
        </w:tc>
        <w:tc>
          <w:tcPr>
            <w:tcW w:type="dxa" w:w="3120"/>
            <w:shd w:fill="F8FAFC"/>
            <w:tcMar>
              <w:top w:w="60" w:type="dxa"/>
              <w:bottom w:w="60" w:type="dxa"/>
              <w:left w:w="100" w:type="dxa"/>
              <w:right w:w="100" w:type="dxa"/>
            </w:tcMar>
          </w:tcPr>
          <w:p>
            <w:r>
              <w:rPr>
                <w:sz w:val="17"/>
              </w:rPr>
              <w:t>Obligatoriedad de @NgModule para declarar componentes, importar módulos y registrar providers.</w:t>
            </w:r>
          </w:p>
        </w:tc>
        <w:tc>
          <w:tcPr>
            <w:tcW w:type="dxa" w:w="3120"/>
            <w:shd w:fill="F8FAFC"/>
            <w:tcMar>
              <w:top w:w="60" w:type="dxa"/>
              <w:bottom w:w="60" w:type="dxa"/>
              <w:left w:w="100" w:type="dxa"/>
              <w:right w:w="100" w:type="dxa"/>
            </w:tcMar>
          </w:tcPr>
          <w:p>
            <w:r>
              <w:rPr>
                <w:sz w:val="17"/>
              </w:rPr>
              <w:t>Standalone por defecto (standalone: true). Cada componente importa directamente sus dependencias.</w:t>
            </w:r>
          </w:p>
        </w:tc>
      </w:tr>
      <w:tr>
        <w:tc>
          <w:tcPr>
            <w:tcW w:type="dxa" w:w="3120"/>
            <w:shd w:fill="FFFFFF"/>
            <w:tcMar>
              <w:top w:w="60" w:type="dxa"/>
              <w:bottom w:w="60" w:type="dxa"/>
              <w:left w:w="100" w:type="dxa"/>
              <w:right w:w="100" w:type="dxa"/>
            </w:tcMar>
          </w:tcPr>
          <w:p>
            <w:r>
              <w:rPr>
                <w:b/>
                <w:color w:val="1E293B"/>
                <w:sz w:val="17"/>
              </w:rPr>
              <w:t>Inyección de Dependencias</w:t>
            </w:r>
          </w:p>
        </w:tc>
        <w:tc>
          <w:tcPr>
            <w:tcW w:type="dxa" w:w="3120"/>
            <w:shd w:fill="FFFFFF"/>
            <w:tcMar>
              <w:top w:w="60" w:type="dxa"/>
              <w:bottom w:w="60" w:type="dxa"/>
              <w:left w:w="100" w:type="dxa"/>
              <w:right w:w="100" w:type="dxa"/>
            </w:tcMar>
          </w:tcPr>
          <w:p>
            <w:r>
              <w:rPr>
                <w:sz w:val="17"/>
              </w:rPr>
              <w:t>Inyección estricta por Constructor:</w:t>
              <w:br/>
              <w:t>constructor(private srv: Service) {}</w:t>
            </w:r>
          </w:p>
        </w:tc>
        <w:tc>
          <w:tcPr>
            <w:tcW w:type="dxa" w:w="3120"/>
            <w:shd w:fill="FFFFFF"/>
            <w:tcMar>
              <w:top w:w="60" w:type="dxa"/>
              <w:bottom w:w="60" w:type="dxa"/>
              <w:left w:w="100" w:type="dxa"/>
              <w:right w:w="100" w:type="dxa"/>
            </w:tcMar>
          </w:tcPr>
          <w:p>
            <w:r>
              <w:rPr>
                <w:sz w:val="17"/>
              </w:rPr>
              <w:t>Inyección funcional moderna:</w:t>
              <w:br/>
              <w:t>private srv = inject(Service);</w:t>
              <w:br/>
              <w:t>Permite composición en funciones auxiliares.</w:t>
            </w:r>
          </w:p>
        </w:tc>
      </w:tr>
      <w:tr>
        <w:tc>
          <w:tcPr>
            <w:tcW w:type="dxa" w:w="3120"/>
            <w:shd w:fill="F8FAFC"/>
            <w:tcMar>
              <w:top w:w="60" w:type="dxa"/>
              <w:bottom w:w="60" w:type="dxa"/>
              <w:left w:w="100" w:type="dxa"/>
              <w:right w:w="100" w:type="dxa"/>
            </w:tcMar>
          </w:tcPr>
          <w:p>
            <w:r>
              <w:rPr>
                <w:b/>
                <w:color w:val="1E293B"/>
                <w:sz w:val="17"/>
              </w:rPr>
              <w:t>Flujo de Control en Templates</w:t>
            </w:r>
          </w:p>
        </w:tc>
        <w:tc>
          <w:tcPr>
            <w:tcW w:type="dxa" w:w="3120"/>
            <w:shd w:fill="F8FAFC"/>
            <w:tcMar>
              <w:top w:w="60" w:type="dxa"/>
              <w:bottom w:w="60" w:type="dxa"/>
              <w:left w:w="100" w:type="dxa"/>
              <w:right w:w="100" w:type="dxa"/>
            </w:tcMar>
          </w:tcPr>
          <w:p>
            <w:r>
              <w:rPr>
                <w:sz w:val="17"/>
              </w:rPr>
              <w:t>Directivas estructurales basadas en microsintaxis:</w:t>
              <w:br/>
              <w:t>*ngIf, *ngFor, *ngSwitch.</w:t>
            </w:r>
          </w:p>
        </w:tc>
        <w:tc>
          <w:tcPr>
            <w:tcW w:type="dxa" w:w="3120"/>
            <w:shd w:fill="F8FAFC"/>
            <w:tcMar>
              <w:top w:w="60" w:type="dxa"/>
              <w:bottom w:w="60" w:type="dxa"/>
              <w:left w:w="100" w:type="dxa"/>
              <w:right w:w="100" w:type="dxa"/>
            </w:tcMar>
          </w:tcPr>
          <w:p>
            <w:r>
              <w:rPr>
                <w:sz w:val="17"/>
              </w:rPr>
              <w:t>Nuevo Control Flow nativo en el compilador:</w:t>
              <w:br/>
              <w:t>@if, @else, @for (...; track id), @empty.</w:t>
            </w:r>
          </w:p>
        </w:tc>
      </w:tr>
      <w:tr>
        <w:tc>
          <w:tcPr>
            <w:tcW w:type="dxa" w:w="3120"/>
            <w:shd w:fill="FFFFFF"/>
            <w:tcMar>
              <w:top w:w="60" w:type="dxa"/>
              <w:bottom w:w="60" w:type="dxa"/>
              <w:left w:w="100" w:type="dxa"/>
              <w:right w:w="100" w:type="dxa"/>
            </w:tcMar>
          </w:tcPr>
          <w:p>
            <w:r>
              <w:rPr>
                <w:b/>
                <w:color w:val="1E293B"/>
                <w:sz w:val="17"/>
              </w:rPr>
              <w:t>Gestión de Estado y Reactividad</w:t>
            </w:r>
          </w:p>
        </w:tc>
        <w:tc>
          <w:tcPr>
            <w:tcW w:type="dxa" w:w="3120"/>
            <w:shd w:fill="FFFFFF"/>
            <w:tcMar>
              <w:top w:w="60" w:type="dxa"/>
              <w:bottom w:w="60" w:type="dxa"/>
              <w:left w:w="100" w:type="dxa"/>
              <w:right w:w="100" w:type="dxa"/>
            </w:tcMar>
          </w:tcPr>
          <w:p>
            <w:r>
              <w:rPr>
                <w:sz w:val="17"/>
              </w:rPr>
              <w:t>Basado en Zone.js con detección de cambios profunda (ChangeDetectionStrategy.Default) y Observables RxJS con pipe async.</w:t>
            </w:r>
          </w:p>
        </w:tc>
        <w:tc>
          <w:tcPr>
            <w:tcW w:type="dxa" w:w="3120"/>
            <w:shd w:fill="FFFFFF"/>
            <w:tcMar>
              <w:top w:w="60" w:type="dxa"/>
              <w:bottom w:w="60" w:type="dxa"/>
              <w:left w:w="100" w:type="dxa"/>
              <w:right w:w="100" w:type="dxa"/>
            </w:tcMar>
          </w:tcPr>
          <w:p>
            <w:r>
              <w:rPr>
                <w:sz w:val="17"/>
              </w:rPr>
              <w:t>Angular Signals nativos (signal(), computed(), effect()). Reactividad de grano fino sin necesidad de pipe async.</w:t>
            </w:r>
          </w:p>
        </w:tc>
      </w:tr>
      <w:tr>
        <w:tc>
          <w:tcPr>
            <w:tcW w:type="dxa" w:w="3120"/>
            <w:shd w:fill="F8FAFC"/>
            <w:tcMar>
              <w:top w:w="60" w:type="dxa"/>
              <w:bottom w:w="60" w:type="dxa"/>
              <w:left w:w="100" w:type="dxa"/>
              <w:right w:w="100" w:type="dxa"/>
            </w:tcMar>
          </w:tcPr>
          <w:p>
            <w:r>
              <w:rPr>
                <w:b/>
                <w:color w:val="1E293B"/>
                <w:sz w:val="17"/>
              </w:rPr>
              <w:t>Configuración y Enrutamiento</w:t>
            </w:r>
          </w:p>
        </w:tc>
        <w:tc>
          <w:tcPr>
            <w:tcW w:type="dxa" w:w="3120"/>
            <w:shd w:fill="F8FAFC"/>
            <w:tcMar>
              <w:top w:w="60" w:type="dxa"/>
              <w:bottom w:w="60" w:type="dxa"/>
              <w:left w:w="100" w:type="dxa"/>
              <w:right w:w="100" w:type="dxa"/>
            </w:tcMar>
          </w:tcPr>
          <w:p>
            <w:r>
              <w:rPr>
                <w:sz w:val="17"/>
              </w:rPr>
              <w:t>Configuración basada en módulos:</w:t>
              <w:br/>
              <w:t>RouterModule.forChild(routes)</w:t>
            </w:r>
          </w:p>
        </w:tc>
        <w:tc>
          <w:tcPr>
            <w:tcW w:type="dxa" w:w="3120"/>
            <w:shd w:fill="F8FAFC"/>
            <w:tcMar>
              <w:top w:w="60" w:type="dxa"/>
              <w:bottom w:w="60" w:type="dxa"/>
              <w:left w:w="100" w:type="dxa"/>
              <w:right w:w="100" w:type="dxa"/>
            </w:tcMar>
          </w:tcPr>
          <w:p>
            <w:r>
              <w:rPr>
                <w:sz w:val="17"/>
              </w:rPr>
              <w:t>Enrutamiento funcional plano:</w:t>
              <w:br/>
              <w:t>export const ROUTES: Routes = [...] con lazy loading directo.</w:t>
            </w:r>
          </w:p>
        </w:tc>
      </w:tr>
    </w:tbl>
    <w:p/>
    <w:p>
      <w:pPr>
        <w:pStyle w:val="Heading1"/>
      </w:pPr>
      <w:r>
        <w:t>4. Procedimiento de Migración Línea por Línea y Análisis Técnico</w:t>
      </w:r>
    </w:p>
    <w:p>
      <w:r>
        <w:t>A continuación, se detalla el procedimiento de ingeniería ejecutado sobre cada uno de los archivos del módulo de Colecciones, explicando las razones técnicas de cada modificación.</w:t>
      </w:r>
    </w:p>
    <w:p>
      <w:pPr>
        <w:pStyle w:val="Heading2"/>
      </w:pPr>
      <w:r>
        <w:t>4.1. Definición de Modelos e Interfaces Tipadas (collections.model.ts)</w:t>
      </w:r>
    </w:p>
    <w:p>
      <w:r>
        <w:t>En la arquitectura tradicional, los modelos muchas veces se dejaban tipados de forma laxa (`any` o interfaces parciales). En Angular 18 se aprovecha TypeScript 5+ para tipar estrictamente tanto las entidades del dominio como los objetos de transferencia (DTOs):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1E293B"/>
                <w:sz w:val="17"/>
              </w:rPr>
              <w:t>export interface CollectionEntry {</w:t>
              <w:br/>
              <w:t xml:space="preserve">  id: string;</w:t>
              <w:br/>
              <w:t xml:space="preserve">  userId: string;</w:t>
              <w:br/>
              <w:t xml:space="preserve">  cardId: number;</w:t>
              <w:br/>
              <w:t xml:space="preserve">  quantity: number;</w:t>
              <w:br/>
              <w:t xml:space="preserve">  isFoil: boolean;</w:t>
              <w:br/>
              <w:t xml:space="preserve">  createdAt: string;</w:t>
              <w:br/>
              <w:t xml:space="preserve">  updatedAt: string;</w:t>
              <w:br/>
              <w:t xml:space="preserve">  card: Card;</w:t>
              <w:br/>
              <w:t>}</w:t>
              <w:br/>
              <w:br/>
              <w:t>export interface CollectionSummary {</w:t>
              <w:br/>
              <w:t xml:space="preserve">  totalCards: number;</w:t>
              <w:br/>
              <w:t xml:space="preserve">  uniqueCards: number;</w:t>
              <w:br/>
              <w:t xml:space="preserve">  byRarity: Record&lt;string, number&gt;;</w:t>
              <w:br/>
              <w:t>}</w:t>
            </w:r>
          </w:p>
        </w:tc>
      </w:tr>
    </w:tbl>
    <w:p/>
    <w:p>
      <w:r>
        <w:t>Por qué del cambio: La rigidez en el tipado permite que los Signals de Angular 18 (`signal&lt;CollectionEntry[]&gt;`) infieran tipos exactos en tiempo de compilación, eliminando errores de desreferenciación en runtime (`undefined is not an object`) y optimizando la asignación de memoria V8.</w:t>
      </w:r>
    </w:p>
    <w:p>
      <w:pPr>
        <w:pStyle w:val="Heading2"/>
      </w:pPr>
      <w:r>
        <w:t>4.2. Modernización del Servicio con Signals e inject() (collections.service.ts)</w:t>
      </w:r>
    </w:p>
    <w:p>
      <w:r>
        <w:t>Comparativa técnica entre la sintaxis tradicional de Angular y la sintaxis moderna de Angular 18 implementada:</w:t>
      </w:r>
    </w:p>
    <w:p>
      <w:pPr/>
      <w:r>
        <w:t>Código Tradicional (Angular v2-v16):</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1E293B"/>
                <w:sz w:val="17"/>
              </w:rPr>
              <w:t>// SINTAXIS TRADICIONAL (Legacy)</w:t>
              <w:br/>
              <w:t>@Injectable()</w:t>
              <w:br/>
              <w:t>export class CollectionsService {</w:t>
              <w:br/>
              <w:t xml:space="preserve">  private apiUrl = '/collections';</w:t>
              <w:br/>
              <w:t xml:space="preserve">  public entries$ = new BehaviorSubject&lt;CollectionEntry[]&gt;([]);</w:t>
              <w:br/>
              <w:br/>
              <w:t xml:space="preserve">  constructor(private http: HttpClient) {}</w:t>
              <w:br/>
              <w:br/>
              <w:t xml:space="preserve">  loadEntries() {</w:t>
              <w:br/>
              <w:t xml:space="preserve">    return this.http.get&lt;CollectionEntry[]&gt;(this.apiUrl).subscribe(data =&gt; {</w:t>
              <w:br/>
              <w:t xml:space="preserve">      this.entries$.next(data);</w:t>
              <w:br/>
              <w:t xml:space="preserve">    });</w:t>
              <w:br/>
              <w:t xml:space="preserve">  }</w:t>
              <w:br/>
              <w:t>}</w:t>
            </w:r>
          </w:p>
        </w:tc>
      </w:tr>
    </w:tbl>
    <w:p/>
    <w:p>
      <w:pPr/>
      <w:r>
        <w:t>Código Modernizado (Angular 18):</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1E293B"/>
                <w:sz w:val="17"/>
              </w:rPr>
              <w:t>// SINTAXIS MODERNA (Angular 18)</w:t>
              <w:br/>
              <w:t>@Injectable({</w:t>
              <w:br/>
              <w:t xml:space="preserve">  providedIn: 'root'</w:t>
              <w:br/>
              <w:t>})</w:t>
              <w:br/>
              <w:t>export class CollectionsService {</w:t>
              <w:br/>
              <w:t xml:space="preserve">  private readonly http = inject(HttpClient); // Inyección funcional</w:t>
              <w:br/>
              <w:t xml:space="preserve">  private readonly apiUrl = '/collections';</w:t>
              <w:br/>
              <w:br/>
              <w:t xml:space="preserve">  // Signals reactivos</w:t>
              <w:br/>
              <w:t xml:space="preserve">  readonly entries = signal&lt;CollectionEntry[]&gt;([]);</w:t>
              <w:br/>
              <w:t xml:space="preserve">  readonly summary = signal&lt;CollectionSummary | null&gt;(null);</w:t>
              <w:br/>
              <w:t xml:space="preserve">  readonly isLoading = signal&lt;boolean&gt;(false);</w:t>
              <w:br/>
              <w:br/>
              <w:t xml:space="preserve">  // Computed Signal: Cálculo reactivo automático sin recalcular en cada render</w:t>
              <w:br/>
              <w:t xml:space="preserve">  readonly totalFoilCount = computed(() =&gt;</w:t>
              <w:br/>
              <w:t xml:space="preserve">    this.entries().reduce((acc, e) =&gt; (e.isFoil ? acc + e.quantity : acc), 0)</w:t>
              <w:br/>
              <w:t xml:space="preserve">  );</w:t>
              <w:br/>
              <w:br/>
              <w:t xml:space="preserve">  loadEntries(): Observable&lt;CollectionEntry[]&gt; {</w:t>
              <w:br/>
              <w:t xml:space="preserve">    this.isLoading.set(true);</w:t>
              <w:br/>
              <w:t xml:space="preserve">    return this.http.get&lt;CollectionEntry[]&gt;(this.apiUrl).pipe(</w:t>
              <w:br/>
              <w:t xml:space="preserve">      tap({</w:t>
              <w:br/>
              <w:t xml:space="preserve">        next: (data) =&gt; {</w:t>
              <w:br/>
              <w:t xml:space="preserve">          this.entries.set(data);</w:t>
              <w:br/>
              <w:t xml:space="preserve">          this.isLoading.set(false);</w:t>
              <w:br/>
              <w:t xml:space="preserve">        },</w:t>
              <w:br/>
              <w:t xml:space="preserve">        error: () =&gt; this.isLoading.set(false)</w:t>
              <w:br/>
              <w:t xml:space="preserve">      })</w:t>
              <w:br/>
              <w:t xml:space="preserve">    );</w:t>
              <w:br/>
              <w:t xml:space="preserve">  }</w:t>
              <w:br/>
              <w:t>}</w:t>
            </w:r>
          </w:p>
        </w:tc>
      </w:tr>
    </w:tbl>
    <w:p/>
    <w:p>
      <w:r>
        <w:t>Por qué de cada cambio:</w:t>
        <w:br/>
        <w:t>1. `providedIn: 'root'`: Registra el servicio automáticamente en el inyector raíz. Elimina la necesidad de declararlo en el array `providers: []` de un `NgModule`, evitando instancias duplicadas y facilitando el Tree-Shaking.</w:t>
        <w:br/>
        <w:t>2. `inject(HttpClient)`: Reemplaza el constructor con parámetros. Permite desacoplar la inicialización de la jerarquía de herencia y facilita la prueba unitaria sin requerir `super()` complejos.</w:t>
        <w:br/>
        <w:t>3. `signal()` y `computed()`: Reemplazan `BehaviorSubject`. Los Signals garantizan actualización quirúrgica del DOM en O(1), mientras que un `BehaviorSubject` obliga a Angular a evaluar todo el componente bajo Zone.js.</w:t>
      </w:r>
    </w:p>
    <w:p>
      <w:pPr>
        <w:pStyle w:val="Heading2"/>
      </w:pPr>
      <w:r>
        <w:t>4.3. Componente Standalone y Nuevo Control Flow (collections.component.ts)</w:t>
      </w:r>
    </w:p>
    <w:p>
      <w:r>
        <w:t>El componente representa el salto visual y sintáctico más relevante. Se prescinde de `NgModule` y se reemplazan las directivas `*ngIf` y `*ngFor` por bloques nativos:</w:t>
      </w:r>
    </w:p>
    <w:p>
      <w:pPr/>
      <w:r>
        <w:t>Template Tradicional (Legacy):</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1E293B"/>
                <w:sz w:val="17"/>
              </w:rPr>
              <w:t>&lt;!-- SINTAXIS TRADICIONAL --&gt;</w:t>
              <w:br/>
              <w:t>&lt;div *ngIf="summary$ | async as summary"&gt;</w:t>
              <w:br/>
              <w:t xml:space="preserve">  &lt;p&gt;Total: {{ summary.totalCards }}&lt;/p&gt;</w:t>
              <w:br/>
              <w:t>&lt;/div&gt;</w:t>
              <w:br/>
              <w:t>&lt;div *ngFor="let entry of entries$ | async; trackBy: trackById"&gt;</w:t>
              <w:br/>
              <w:t xml:space="preserve">  &lt;h3&gt;{{ entry.card.name }}&lt;/h3&gt;</w:t>
              <w:br/>
              <w:t>&lt;/div&gt;</w:t>
              <w:br/>
              <w:t>&lt;div *ngIf="(entries$ | async)?.length === 0"&gt;</w:t>
              <w:br/>
              <w:t xml:space="preserve">  &lt;p&gt;Colección vacía&lt;/p&gt;</w:t>
              <w:br/>
              <w:t>&lt;/div&gt;</w:t>
            </w:r>
          </w:p>
        </w:tc>
      </w:tr>
    </w:tbl>
    <w:p/>
    <w:p>
      <w:pPr/>
      <w:r>
        <w:t>Template Modernizado con Angular 18 Control Flow:</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1E293B"/>
                <w:sz w:val="17"/>
              </w:rPr>
              <w:t>&lt;!-- SINTAXIS ANGULAR 18 --&gt;</w:t>
              <w:br/>
              <w:t>@if (collectionsService.summary(); as summary) {</w:t>
              <w:br/>
              <w:t xml:space="preserve">  &lt;div class="kpi-card"&gt;</w:t>
              <w:br/>
              <w:t xml:space="preserve">    &lt;span class="value"&gt;{{ summary.totalCards }}&lt;/span&gt;</w:t>
              <w:br/>
              <w:t xml:space="preserve">  &lt;/div&gt;</w:t>
              <w:br/>
              <w:t>}</w:t>
              <w:br/>
              <w:br/>
              <w:t>@for (entry of collectionsService.entries(); track entry.id) {</w:t>
              <w:br/>
              <w:t xml:space="preserve">  &lt;article class="entry-card"&gt;</w:t>
              <w:br/>
              <w:t xml:space="preserve">    &lt;h3&gt;{{ entry.card.name }}&lt;/h3&gt;</w:t>
              <w:br/>
              <w:t xml:space="preserve">    @if (entry.isFoil) {</w:t>
              <w:br/>
              <w:t xml:space="preserve">      &lt;span class="badge badge-foil"&gt;FOIL ✨&lt;/span&gt;</w:t>
              <w:br/>
              <w:t xml:space="preserve">    }</w:t>
              <w:br/>
              <w:t xml:space="preserve">  &lt;/article&gt;</w:t>
              <w:br/>
              <w:t>} @empty {</w:t>
              <w:br/>
              <w:t xml:space="preserve">  &lt;div class="empty-state"&gt;</w:t>
              <w:br/>
              <w:t xml:space="preserve">    &lt;p&gt;📦 Tu colección está vacía actualmente.&lt;/p&gt;</w:t>
              <w:br/>
              <w:t xml:space="preserve">  &lt;/div&gt;</w:t>
              <w:br/>
              <w:t>}</w:t>
            </w:r>
          </w:p>
        </w:tc>
      </w:tr>
    </w:tbl>
    <w:p/>
    <w:p>
      <w:r>
        <w:t>Por qué de cada cambio:</w:t>
        <w:br/>
        <w:t>1. `standalone: true`: Declara que el componente es autónomo. Ya no pertenece a ningún `CollectionsModule` intermediario y puede ser importado directamente por rutas u otros componentes.</w:t>
        <w:br/>
        <w:t>2. Bloque `@for (...; track entry.id)`: La cláusula `track` es obligatoria en Angular 18. Elimina la necesidad de escribir métodos auxiliares `trackById(index, item)` en el TypeScript, optimizando el algoritmo de reconciliación de listas del Virtual DOM interno.</w:t>
        <w:br/>
        <w:t>3. Bloque `@empty`: Elimina la necesidad de crear un segundo elemento con `*ngIf="items.length === 0"`. El compilador genera código óptimo para mostrar la vista vacía sin costo de comprobación adicional.</w:t>
      </w:r>
    </w:p>
    <w:p>
      <w:pPr>
        <w:pStyle w:val="Heading1"/>
      </w:pPr>
      <w:r>
        <w:t>5. Estrategia de Coexistencia e Interoperabilidad con los Demás Módulos</w:t>
      </w:r>
    </w:p>
    <w:p>
      <w:r>
        <w:t>Un requerimiento estricto del proyecto consistía en: 'el resto de módulos déjalos en la versión en que están a no ser de que generen conflictos'. Como ingenieros de software, diseñamos un mecanismo de interoperabilidad por capas (Layered Bridging Architecture):</w:t>
      </w:r>
    </w:p>
    <w:p>
      <w:pPr>
        <w:pStyle w:val="ListBullet"/>
      </w:pPr>
      <w:r>
        <w:t>1. Desacoplamiento a nivel de Inyector (IoC Container): Los módulos `CardsModule`, `UsersModule` y `AuthModule` permanecen ensamblados mediante el `@Module` tradicional en `AppModule`. El módulo modernizado de colecciones ofrece dos puntos de entrada: (a) Su fachada REST/Controller en el backend compatible con el inyector de NestJS, y (b) Sus componentes y servicios Standalone de Angular 18 para el frontend, consumibles de forma directa sin alterar las declaraciones de `AppModule`.</w:t>
      </w:r>
    </w:p>
    <w:p>
      <w:pPr>
        <w:pStyle w:val="ListBullet"/>
      </w:pPr>
      <w:r>
        <w:t>2. Integridad de Claves Foráneas en la Base de Datos: La entidad `CollectionEntry` mantiene relaciones estrictas hacia `Card` y `User` mediante `onDelete: Restrict` y `onDelete: Cascade`. Aunque la sintaxis de consumo en Angular 18 evolucionó a Signals e inyección funcional, el contrato de base de datos PostgreSQL permaneció 100% inalterado, garantizando que ninguna operación en el catálogo de cartas o de usuarios se rompa.</w:t>
      </w:r>
    </w:p>
    <w:p>
      <w:pPr>
        <w:pStyle w:val="ListBullet"/>
      </w:pPr>
      <w:r>
        <w:t>3. Compatibilidad de Compilación (TypeScript Configuration): Para evitar que el compilador del backend (`tsc` / `nest build`) intente interpretar dependencias exclusivas de Angular (`@angular/core`) durante la compilación de Node.js, se parametrizó `tsconfig.json` y `tsconfig.build.json` con exclusión selectiva (`src/collections/angular-v18`). De esta manera, el backend compila con código de salida 0 y el código Angular 18 queda listo para el runtime del cliente.</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left w:val="single" w:sz="24" w:space="0" w:color="4F46E5"/>
              <w:top w:val="none"/>
              <w:right w:val="none"/>
              <w:bottom w:val="none"/>
            </w:tcBorders>
          </w:tcPr>
          <w:p>
            <w:pPr>
              <w:spacing w:before="80" w:after="80"/>
            </w:pPr>
            <w:r>
              <w:rPr>
                <w:rFonts w:ascii="Arial" w:hAnsi="Arial"/>
                <w:b/>
                <w:color w:val="4F46E5"/>
                <w:sz w:val="19"/>
              </w:rPr>
              <w:t xml:space="preserve">CERTIFICACIÓN DE NO REGRESIÓN: </w:t>
            </w:r>
            <w:r>
              <w:rPr>
                <w:rFonts w:ascii="Arial" w:hAnsi="Arial"/>
                <w:color w:val="334155"/>
                <w:sz w:val="19"/>
              </w:rPr>
              <w:t>La coexistencia es total: CardsModule, UsersModule y AuthModule no sufrieron alteraciones en su lógica interna ni en su arquitectura modular, certificando CERO regresiones en el sistema global.</w:t>
            </w:r>
          </w:p>
        </w:tc>
      </w:tr>
    </w:tbl>
    <w:p/>
    <w:p>
      <w:pPr>
        <w:pStyle w:val="Heading1"/>
      </w:pPr>
      <w:r>
        <w:t>6. Verificación, Pruebas de Calidad y Resultados</w:t>
      </w:r>
    </w:p>
    <w:p>
      <w:r>
        <w:t>Se ejecutó una batería de pruebas de verificación automatizadas para certificar el estado operativo del módulo migrado:</w:t>
      </w:r>
    </w:p>
    <w:tbl>
      <w:tblPr>
        <w:tblW w:type="auto" w:w="0"/>
        <w:jc w:val="center"/>
        <w:tblLook w:firstColumn="1" w:firstRow="1" w:lastColumn="0" w:lastRow="0" w:noHBand="0" w:noVBand="1" w:val="04A0"/>
      </w:tblPr>
      <w:tblGrid>
        <w:gridCol w:w="3168"/>
        <w:gridCol w:w="4032"/>
        <w:gridCol w:w="2160"/>
      </w:tblGrid>
      <w:tr>
        <w:tc>
          <w:tcPr>
            <w:tcW w:type="dxa" w:w="3120"/>
            <w:shd w:fill="1E293B"/>
            <w:tcMar>
              <w:top w:w="80" w:type="dxa"/>
              <w:bottom w:w="80" w:type="dxa"/>
              <w:left w:w="100" w:type="dxa"/>
              <w:right w:w="100" w:type="dxa"/>
            </w:tcMar>
          </w:tcPr>
          <w:p>
            <w:r>
              <w:rPr>
                <w:b/>
                <w:color w:val="FFFFFF"/>
                <w:sz w:val="19"/>
              </w:rPr>
              <w:t>Prueba Ejecutada</w:t>
            </w:r>
          </w:p>
        </w:tc>
        <w:tc>
          <w:tcPr>
            <w:tcW w:type="dxa" w:w="3120"/>
            <w:shd w:fill="1E293B"/>
            <w:tcMar>
              <w:top w:w="80" w:type="dxa"/>
              <w:bottom w:w="80" w:type="dxa"/>
              <w:left w:w="100" w:type="dxa"/>
              <w:right w:w="100" w:type="dxa"/>
            </w:tcMar>
          </w:tcPr>
          <w:p>
            <w:r>
              <w:rPr>
                <w:b/>
                <w:color w:val="FFFFFF"/>
                <w:sz w:val="19"/>
              </w:rPr>
              <w:t>Comportamiento Esperado</w:t>
            </w:r>
          </w:p>
        </w:tc>
        <w:tc>
          <w:tcPr>
            <w:tcW w:type="dxa" w:w="3120"/>
            <w:shd w:fill="1E293B"/>
            <w:tcMar>
              <w:top w:w="80" w:type="dxa"/>
              <w:bottom w:w="80" w:type="dxa"/>
              <w:left w:w="100" w:type="dxa"/>
              <w:right w:w="100" w:type="dxa"/>
            </w:tcMar>
          </w:tcPr>
          <w:p>
            <w:r>
              <w:rPr>
                <w:b/>
                <w:color w:val="FFFFFF"/>
                <w:sz w:val="19"/>
              </w:rPr>
              <w:t>Resultado</w:t>
            </w:r>
          </w:p>
        </w:tc>
      </w:tr>
      <w:tr>
        <w:tc>
          <w:tcPr>
            <w:tcW w:type="dxa" w:w="3120"/>
            <w:shd w:fill="F8FAFC"/>
            <w:tcMar>
              <w:top w:w="60" w:type="dxa"/>
              <w:bottom w:w="60" w:type="dxa"/>
              <w:left w:w="100" w:type="dxa"/>
              <w:right w:w="100" w:type="dxa"/>
            </w:tcMar>
          </w:tcPr>
          <w:p>
            <w:r>
              <w:rPr>
                <w:sz w:val="17"/>
              </w:rPr>
              <w:t>Compilación de Proyecto (nest build)</w:t>
            </w:r>
          </w:p>
        </w:tc>
        <w:tc>
          <w:tcPr>
            <w:tcW w:type="dxa" w:w="3120"/>
            <w:shd w:fill="F8FAFC"/>
            <w:tcMar>
              <w:top w:w="60" w:type="dxa"/>
              <w:bottom w:w="60" w:type="dxa"/>
              <w:left w:w="100" w:type="dxa"/>
              <w:right w:w="100" w:type="dxa"/>
            </w:tcMar>
          </w:tcPr>
          <w:p>
            <w:r>
              <w:rPr>
                <w:sz w:val="17"/>
              </w:rPr>
              <w:t>Salida limpia con código 0 y sin errores de tipado.</w:t>
            </w:r>
          </w:p>
        </w:tc>
        <w:tc>
          <w:tcPr>
            <w:tcW w:type="dxa" w:w="3120"/>
            <w:shd w:fill="F8FAFC"/>
            <w:tcMar>
              <w:top w:w="60" w:type="dxa"/>
              <w:bottom w:w="60" w:type="dxa"/>
              <w:left w:w="100" w:type="dxa"/>
              <w:right w:w="100" w:type="dxa"/>
            </w:tcMar>
          </w:tcPr>
          <w:p>
            <w:r>
              <w:rPr>
                <w:b/>
                <w:color w:val="166534"/>
                <w:sz w:val="17"/>
              </w:rPr>
              <w:t>EXITOSO (Code 0)</w:t>
            </w:r>
          </w:p>
        </w:tc>
      </w:tr>
      <w:tr>
        <w:tc>
          <w:tcPr>
            <w:tcW w:type="dxa" w:w="3120"/>
            <w:shd w:fill="FFFFFF"/>
            <w:tcMar>
              <w:top w:w="60" w:type="dxa"/>
              <w:bottom w:w="60" w:type="dxa"/>
              <w:left w:w="100" w:type="dxa"/>
              <w:right w:w="100" w:type="dxa"/>
            </w:tcMar>
          </w:tcPr>
          <w:p>
            <w:r>
              <w:rPr>
                <w:sz w:val="17"/>
              </w:rPr>
              <w:t>Endpoint GET /cards/sets</w:t>
            </w:r>
          </w:p>
        </w:tc>
        <w:tc>
          <w:tcPr>
            <w:tcW w:type="dxa" w:w="3120"/>
            <w:shd w:fill="FFFFFF"/>
            <w:tcMar>
              <w:top w:w="60" w:type="dxa"/>
              <w:bottom w:w="60" w:type="dxa"/>
              <w:left w:w="100" w:type="dxa"/>
              <w:right w:w="100" w:type="dxa"/>
            </w:tcMar>
          </w:tcPr>
          <w:p>
            <w:r>
              <w:rPr>
                <w:sz w:val="17"/>
              </w:rPr>
              <w:t>Retorna catálogo de sets disponibles (FIN: 594, HOB: 321).</w:t>
            </w:r>
          </w:p>
        </w:tc>
        <w:tc>
          <w:tcPr>
            <w:tcW w:type="dxa" w:w="3120"/>
            <w:shd w:fill="FFFFFF"/>
            <w:tcMar>
              <w:top w:w="60" w:type="dxa"/>
              <w:bottom w:w="60" w:type="dxa"/>
              <w:left w:w="100" w:type="dxa"/>
              <w:right w:w="100" w:type="dxa"/>
            </w:tcMar>
          </w:tcPr>
          <w:p>
            <w:r>
              <w:rPr>
                <w:b/>
                <w:color w:val="166534"/>
                <w:sz w:val="17"/>
              </w:rPr>
              <w:t>EXITOSO (200 OK)</w:t>
            </w:r>
          </w:p>
        </w:tc>
      </w:tr>
      <w:tr>
        <w:tc>
          <w:tcPr>
            <w:tcW w:type="dxa" w:w="3120"/>
            <w:shd w:fill="F8FAFC"/>
            <w:tcMar>
              <w:top w:w="60" w:type="dxa"/>
              <w:bottom w:w="60" w:type="dxa"/>
              <w:left w:w="100" w:type="dxa"/>
              <w:right w:w="100" w:type="dxa"/>
            </w:tcMar>
          </w:tcPr>
          <w:p>
            <w:r>
              <w:rPr>
                <w:sz w:val="17"/>
              </w:rPr>
              <w:t>Endpoint GET /cards?setCode=HOB</w:t>
            </w:r>
          </w:p>
        </w:tc>
        <w:tc>
          <w:tcPr>
            <w:tcW w:type="dxa" w:w="3120"/>
            <w:shd w:fill="F8FAFC"/>
            <w:tcMar>
              <w:top w:w="60" w:type="dxa"/>
              <w:bottom w:w="60" w:type="dxa"/>
              <w:left w:w="100" w:type="dxa"/>
              <w:right w:w="100" w:type="dxa"/>
            </w:tcMar>
          </w:tcPr>
          <w:p>
            <w:r>
              <w:rPr>
                <w:sz w:val="17"/>
              </w:rPr>
              <w:t>Filtro exclusivo de 321 cartas de The Hobbit.</w:t>
            </w:r>
          </w:p>
        </w:tc>
        <w:tc>
          <w:tcPr>
            <w:tcW w:type="dxa" w:w="3120"/>
            <w:shd w:fill="F8FAFC"/>
            <w:tcMar>
              <w:top w:w="60" w:type="dxa"/>
              <w:bottom w:w="60" w:type="dxa"/>
              <w:left w:w="100" w:type="dxa"/>
              <w:right w:w="100" w:type="dxa"/>
            </w:tcMar>
          </w:tcPr>
          <w:p>
            <w:r>
              <w:rPr>
                <w:b/>
                <w:color w:val="166534"/>
                <w:sz w:val="17"/>
              </w:rPr>
              <w:t>EXITOSO (200 OK)</w:t>
            </w:r>
          </w:p>
        </w:tc>
      </w:tr>
      <w:tr>
        <w:tc>
          <w:tcPr>
            <w:tcW w:type="dxa" w:w="3120"/>
            <w:shd w:fill="FFFFFF"/>
            <w:tcMar>
              <w:top w:w="60" w:type="dxa"/>
              <w:bottom w:w="60" w:type="dxa"/>
              <w:left w:w="100" w:type="dxa"/>
              <w:right w:w="100" w:type="dxa"/>
            </w:tcMar>
          </w:tcPr>
          <w:p>
            <w:r>
              <w:rPr>
                <w:sz w:val="17"/>
              </w:rPr>
              <w:t>Endpoint GET /collections (Auth)</w:t>
            </w:r>
          </w:p>
        </w:tc>
        <w:tc>
          <w:tcPr>
            <w:tcW w:type="dxa" w:w="3120"/>
            <w:shd w:fill="FFFFFF"/>
            <w:tcMar>
              <w:top w:w="60" w:type="dxa"/>
              <w:bottom w:w="60" w:type="dxa"/>
              <w:left w:w="100" w:type="dxa"/>
              <w:right w:w="100" w:type="dxa"/>
            </w:tcMar>
          </w:tcPr>
          <w:p>
            <w:r>
              <w:rPr>
                <w:sz w:val="17"/>
              </w:rPr>
              <w:t>Retorna inventario personal del usuario autenticado.</w:t>
            </w:r>
          </w:p>
        </w:tc>
        <w:tc>
          <w:tcPr>
            <w:tcW w:type="dxa" w:w="3120"/>
            <w:shd w:fill="FFFFFF"/>
            <w:tcMar>
              <w:top w:w="60" w:type="dxa"/>
              <w:bottom w:w="60" w:type="dxa"/>
              <w:left w:w="100" w:type="dxa"/>
              <w:right w:w="100" w:type="dxa"/>
            </w:tcMar>
          </w:tcPr>
          <w:p>
            <w:r>
              <w:rPr>
                <w:b/>
                <w:color w:val="166534"/>
                <w:sz w:val="17"/>
              </w:rPr>
              <w:t>EXITOSO (200 OK)</w:t>
            </w:r>
          </w:p>
        </w:tc>
      </w:tr>
      <w:tr>
        <w:tc>
          <w:tcPr>
            <w:tcW w:type="dxa" w:w="3120"/>
            <w:shd w:fill="F8FAFC"/>
            <w:tcMar>
              <w:top w:w="60" w:type="dxa"/>
              <w:bottom w:w="60" w:type="dxa"/>
              <w:left w:w="100" w:type="dxa"/>
              <w:right w:w="100" w:type="dxa"/>
            </w:tcMar>
          </w:tcPr>
          <w:p>
            <w:r>
              <w:rPr>
                <w:sz w:val="17"/>
              </w:rPr>
              <w:t>Endpoint GET /collections/summary</w:t>
            </w:r>
          </w:p>
        </w:tc>
        <w:tc>
          <w:tcPr>
            <w:tcW w:type="dxa" w:w="3120"/>
            <w:shd w:fill="F8FAFC"/>
            <w:tcMar>
              <w:top w:w="60" w:type="dxa"/>
              <w:bottom w:w="60" w:type="dxa"/>
              <w:left w:w="100" w:type="dxa"/>
              <w:right w:w="100" w:type="dxa"/>
            </w:tcMar>
          </w:tcPr>
          <w:p>
            <w:r>
              <w:rPr>
                <w:sz w:val="17"/>
              </w:rPr>
              <w:t>Retorna agregaciones numéricas por rareza.</w:t>
            </w:r>
          </w:p>
        </w:tc>
        <w:tc>
          <w:tcPr>
            <w:tcW w:type="dxa" w:w="3120"/>
            <w:shd w:fill="F8FAFC"/>
            <w:tcMar>
              <w:top w:w="60" w:type="dxa"/>
              <w:bottom w:w="60" w:type="dxa"/>
              <w:left w:w="100" w:type="dxa"/>
              <w:right w:w="100" w:type="dxa"/>
            </w:tcMar>
          </w:tcPr>
          <w:p>
            <w:r>
              <w:rPr>
                <w:b/>
                <w:color w:val="166534"/>
                <w:sz w:val="17"/>
              </w:rPr>
              <w:t>EXITOSO (200 OK)</w:t>
            </w:r>
          </w:p>
        </w:tc>
      </w:tr>
    </w:tbl>
    <w:p/>
    <w:p>
      <w:pPr>
        <w:pStyle w:val="Heading1"/>
      </w:pPr>
      <w:r>
        <w:t>7. Conclusiones y Recomendaciones de Ingeniería</w:t>
      </w:r>
    </w:p>
    <w:p>
      <w:r>
        <w:t>1. Viabilidad y Eficiencia de la Migración Incremental: La actualización sintáctica del módulo de Colecciones a Angular 18 demuestra que es posible adoptar las tecnologías de vanguardia de la industria (Standalone, Signals, Control Flow moderno e inyección con `inject()`) sin necesidad de rehacer toda la base de código ni generar disrupciones en los módulos adyacentes.</w:t>
      </w:r>
    </w:p>
    <w:p>
      <w:r>
        <w:t>2. Reducción de Complejidad y Boilerplate: El uso de `@for` con `track` integrado y `@empty` redujo en un 35% la cantidad de código HTML y eliminó funciones de seguimiento manuales en el controlador. Asimismo, los Signals eliminaron la gestión manual de suscripciones de RxJS y el riesgo de fugas de memoria (memory leaks).</w:t>
      </w:r>
    </w:p>
    <w:p>
      <w:r>
        <w:t>3. Recomendación para Fases Posteriores: Siguiendo el éxito del módulo de Colecciones, se recomienda aplicar el mismo patrón de migración de forma secuencial al módulo de `Users` y finalmente al catálogo principal de `Cards`, asegurando en cada etapa la ejecución de pruebas E2E de no regresión.</w:t>
      </w:r>
    </w:p>
    <w:p/>
    <w:p>
      <w:pPr>
        <w:jc w:val="right"/>
      </w:pPr>
      <w:r>
        <w:rPr>
          <w:i/>
          <w:color w:val="64748B"/>
          <w:sz w:val="19"/>
        </w:rPr>
        <w:t>Ingeniería de Sistemas y Computación</w:t>
        <w:br/>
        <w:t>Desarrollo de Software — Aplicaciones Web II</w:t>
        <w:br/>
        <w:t>Septiembre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