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2619375" cy="174307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steal as much from people as possible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false info to tricky people into giving anyway money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ways to get past secure measures to keep scamming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Finding ways trick people into buying fake items/sending items for 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Identifying ways to bypass security system in place to prevent scamming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6"/>
                <w:szCs w:val="6"/>
              </w:rPr>
            </w:pPr>
            <w:r w:rsidDel="00000000" w:rsidR="00000000" w:rsidRPr="00000000">
              <w:rPr>
                <w:color w:val="101010"/>
                <w:highlight w:val="white"/>
                <w:rtl w:val="0"/>
              </w:rPr>
              <w:t xml:space="preserve">I consider myself really lucky and I always have done. My approach is that if I know I'm relaxed and happy, then I will do my best 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Jonny Lee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a website's security system is too difficult to 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 many requires meny to buy/sell things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Active moderators preventing scamming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Mansfield Park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https://fuckingyeahjonnyleemiller.tumblr.com/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https://www.pinterest.nz/pin/35325178313353412/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MAGAZINES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Online scammer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https://people.com/tag/jonny-lee-miller/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https://en.wikipedia.org/wiki/Jonny_Lee_Miller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$84,000</w:t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9WIQJxXrmj7k4uiTvsZphcPZA==">AMUW2mUnoT+QzdeetePx7IJpKDFrCGUQK5qd3GdBkn+1eo2BzpGQW1Pbbeh3PI+oAoNrrddwzfX+CTzISX0Tsvfeu2BUN4iGt2TZKGVeTri3aI1igyeyg+vudtytezP0FVaLc9XtGGB4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