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7541B22D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Postgre</w:t>
      </w:r>
      <w:proofErr w:type="spellEnd"/>
      <w:r w:rsidR="00137AAB">
        <w:rPr>
          <w:rFonts w:eastAsia="Times New Roman" w:cstheme="minorHAnsi"/>
          <w:iCs/>
          <w:sz w:val="20"/>
          <w:szCs w:val="20"/>
        </w:rPr>
        <w:t xml:space="preserve"> </w:t>
      </w:r>
      <w:r w:rsidR="00477032">
        <w:rPr>
          <w:rFonts w:eastAsia="Times New Roman" w:cstheme="minorHAnsi"/>
          <w:iCs/>
          <w:sz w:val="20"/>
          <w:szCs w:val="20"/>
        </w:rPr>
        <w:t>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741F7112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CA278D">
        <w:rPr>
          <w:rFonts w:eastAsia="Times New Roman" w:cstheme="minorHAnsi"/>
          <w:iCs/>
          <w:sz w:val="20"/>
          <w:szCs w:val="20"/>
        </w:rPr>
        <w:t>, Adobe Analytic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155F9571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="00803782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803782">
        <w:rPr>
          <w:rFonts w:eastAsia="Times New Roman" w:cstheme="minorHAnsi"/>
          <w:iCs/>
          <w:sz w:val="20"/>
          <w:szCs w:val="20"/>
        </w:rPr>
        <w:t>Matlab</w:t>
      </w:r>
      <w:proofErr w:type="spellEnd"/>
      <w:r w:rsidR="00137AAB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137AAB">
        <w:rPr>
          <w:rFonts w:eastAsia="Times New Roman" w:cstheme="minorHAnsi"/>
          <w:iCs/>
          <w:sz w:val="20"/>
          <w:szCs w:val="20"/>
        </w:rPr>
        <w:t>Qlikview</w:t>
      </w:r>
      <w:proofErr w:type="spellEnd"/>
      <w:r w:rsidR="00137AAB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137AAB">
        <w:rPr>
          <w:rFonts w:eastAsia="Times New Roman" w:cstheme="minorHAnsi"/>
          <w:iCs/>
          <w:sz w:val="20"/>
          <w:szCs w:val="20"/>
        </w:rPr>
        <w:t>Microstrategy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75D7C35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304B7B" w:rsidRPr="00304B7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4806A98A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BD2DB36" w14:textId="77BF2ED2" w:rsidR="00803782" w:rsidRDefault="0080378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Collaborated with the software team to devise ways of reconciling data frameworks from external tools with </w:t>
      </w:r>
      <w:r w:rsidRPr="00803782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MATLAB</w:t>
      </w: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803782">
        <w:rPr>
          <w:rFonts w:asciiTheme="minorHAnsi" w:hAnsiTheme="minorHAnsi" w:cstheme="minorHAnsi"/>
          <w:b/>
          <w:bCs/>
          <w:color w:val="211F1F"/>
          <w:sz w:val="20"/>
          <w:szCs w:val="20"/>
        </w:rPr>
        <w:t>Simulink</w:t>
      </w: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 concepts and </w:t>
      </w:r>
      <w:r w:rsidR="00763B10" w:rsidRPr="00803782">
        <w:rPr>
          <w:rFonts w:asciiTheme="minorHAnsi" w:hAnsiTheme="minorHAnsi" w:cstheme="minorHAnsi"/>
          <w:color w:val="211F1F"/>
          <w:sz w:val="20"/>
          <w:szCs w:val="20"/>
        </w:rPr>
        <w:t>workflows.</w:t>
      </w:r>
    </w:p>
    <w:p w14:paraId="335E187D" w14:textId="3BDE307A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5F69395" w14:textId="6F889E1B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7266FFC" w14:textId="48A31241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57FE130" w14:textId="06726546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DA3F2D6" w14:textId="77777777" w:rsidR="00763B10" w:rsidRDefault="00763B10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BA9C3C5" w14:textId="77777777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37AAB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04B7B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03AE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3B10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55B1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782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278D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0291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2021-02-21T14:26:00Z</dcterms:created>
  <dcterms:modified xsi:type="dcterms:W3CDTF">2021-02-21T14:29:00Z</dcterms:modified>
</cp:coreProperties>
</file>