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B97DC4">
        <w:rPr>
          <w:rFonts w:cstheme="minorHAnsi"/>
          <w:sz w:val="20"/>
          <w:szCs w:val="20"/>
        </w:rPr>
        <w:t>(</w:t>
      </w:r>
      <w:proofErr w:type="gramEnd"/>
      <w:r w:rsidRPr="00B97DC4">
        <w:rPr>
          <w:rFonts w:cstheme="minorHAnsi"/>
          <w:sz w:val="20"/>
          <w:szCs w:val="20"/>
        </w:rPr>
        <w:t>Jul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 xml:space="preserve">6 </w:t>
      </w:r>
      <w:r w:rsidR="00E77551" w:rsidRPr="00B97DC4">
        <w:rPr>
          <w:rFonts w:cstheme="minorHAnsi"/>
          <w:sz w:val="20"/>
          <w:szCs w:val="20"/>
        </w:rPr>
        <w:t xml:space="preserve">- </w:t>
      </w:r>
      <w:r w:rsidRPr="00B97DC4">
        <w:rPr>
          <w:rFonts w:cstheme="minorHAnsi"/>
          <w:sz w:val="20"/>
          <w:szCs w:val="20"/>
        </w:rPr>
        <w:t>Apr</w:t>
      </w:r>
      <w:r w:rsidR="00240A9C" w:rsidRPr="00B97DC4">
        <w:rPr>
          <w:rFonts w:cstheme="minorHAnsi"/>
          <w:sz w:val="20"/>
          <w:szCs w:val="20"/>
        </w:rPr>
        <w:t xml:space="preserve"> 201</w:t>
      </w:r>
      <w:r w:rsidRPr="00B97DC4">
        <w:rPr>
          <w:rFonts w:cstheme="minorHAnsi"/>
          <w:sz w:val="20"/>
          <w:szCs w:val="20"/>
        </w:rPr>
        <w:t>8</w:t>
      </w:r>
      <w:r w:rsidR="00240A9C" w:rsidRPr="00B97DC4">
        <w:rPr>
          <w:rFonts w:cstheme="minorHAnsi"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9E37736" w:rsidR="0066131C" w:rsidRPr="003148E7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60702E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1EF31336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57BA5355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60702E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60702E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</w:t>
      </w:r>
      <w:proofErr w:type="gramStart"/>
      <w:r w:rsidR="00C14138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1AE0CB2C" w:rsidR="007C615F" w:rsidRPr="003148E7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60702E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60702E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F143C2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82688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3148E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70BED9E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60702E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60702E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60702E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2017)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61F792B7" w:rsidR="00E65716" w:rsidRPr="003148E7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60702E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60702E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60702E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60702E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02E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2021-01-30T04:39:00Z</dcterms:created>
  <dcterms:modified xsi:type="dcterms:W3CDTF">2021-01-30T04:39:00Z</dcterms:modified>
</cp:coreProperties>
</file>