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2AFBD84" w:rsidR="0066131C" w:rsidRPr="0044728C" w:rsidRDefault="00D86254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2878FE41" w:rsidR="0044728C" w:rsidRPr="006E21E9" w:rsidRDefault="0044728C" w:rsidP="0066131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="00B14591">
        <w:rPr>
          <w:rFonts w:asciiTheme="minorHAnsi" w:hAnsiTheme="minorHAnsi" w:cstheme="minorHAnsi"/>
          <w:color w:val="auto"/>
          <w:sz w:val="20"/>
          <w:szCs w:val="20"/>
        </w:rPr>
        <w:t>reporting process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Excel VBA (Macros)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MySQL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maintaining accuracy and saving 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~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75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>%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of time.</w:t>
      </w:r>
    </w:p>
    <w:p w14:paraId="62BEB04B" w14:textId="4D99E722" w:rsidR="00B02A03" w:rsidRDefault="006670A4" w:rsidP="006670A4">
      <w:pPr>
        <w:pStyle w:val="Default"/>
        <w:ind w:left="8640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7CECE520" w:rsidR="00A21230" w:rsidRDefault="00D86254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proofErr w:type="gramEnd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9B86744" w14:textId="4A471C29" w:rsidR="006670A4" w:rsidRDefault="006670A4" w:rsidP="001104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</w:t>
      </w:r>
      <w:r w:rsidR="0011042B">
        <w:rPr>
          <w:rFonts w:asciiTheme="minorHAnsi" w:hAnsiTheme="minorHAnsi" w:cstheme="minorHAnsi"/>
          <w:color w:val="auto"/>
          <w:sz w:val="20"/>
          <w:szCs w:val="20"/>
        </w:rPr>
        <w:t xml:space="preserve">data pipelines,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1104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1042B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1042B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7406E11C" w:rsidR="007C615F" w:rsidRPr="006E21E9" w:rsidRDefault="00D86254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223D6A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    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20A63290" w14:textId="74197B46" w:rsidR="00360E90" w:rsidRP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Identified the ‘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Most Valuable Customer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’ by leveraging the customer data and deploying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Random Forest algorithm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with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True positive rate of 81%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, this led to better customer targeting and improv</w:t>
      </w:r>
      <w:r w:rsidR="0074450C">
        <w:rPr>
          <w:rFonts w:asciiTheme="minorHAnsi" w:hAnsiTheme="minorHAnsi" w:cstheme="minorHAnsi"/>
          <w:color w:val="211F1F"/>
          <w:sz w:val="20"/>
          <w:szCs w:val="20"/>
        </w:rPr>
        <w:t>ing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yearly topline revenue by 13 %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3D86D37" w14:textId="77777777" w:rsidR="00880A98" w:rsidRDefault="00880A98" w:rsidP="009C6C4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1E9BCBD0" w14:textId="1F2FD325" w:rsidR="00360E90" w:rsidRPr="00360E90" w:rsidRDefault="00D86254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D60A4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59D8AFF5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74450C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640DB54E" w14:textId="77777777" w:rsidR="00880A98" w:rsidRDefault="00880A98" w:rsidP="007F653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47494B75" w:rsidR="00E65716" w:rsidRPr="00250692" w:rsidRDefault="00D86254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Data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573497A5" w14:textId="77777777" w:rsidR="008E3DDF" w:rsidRDefault="008E3DDF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</w:p>
    <w:p w14:paraId="6E57517C" w14:textId="489A0167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5270D6D3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6604D6">
        <w:rPr>
          <w:rFonts w:eastAsia="Times New Roman" w:cstheme="minorHAnsi"/>
          <w:sz w:val="20"/>
          <w:szCs w:val="20"/>
        </w:rPr>
        <w:t>, Talend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5753D183" w14:textId="77777777" w:rsidR="0011042B" w:rsidRPr="0011042B" w:rsidRDefault="00794815" w:rsidP="0011042B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p w14:paraId="53EAA5BB" w14:textId="3F91CC35" w:rsidR="0011042B" w:rsidRPr="0011042B" w:rsidRDefault="0011042B" w:rsidP="0011042B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11042B">
        <w:rPr>
          <w:rFonts w:eastAsia="Times New Roman" w:cstheme="minorHAnsi"/>
          <w:b/>
          <w:bCs/>
          <w:i/>
          <w:iCs/>
          <w:sz w:val="20"/>
          <w:szCs w:val="20"/>
        </w:rPr>
        <w:t>Database Concepts:</w:t>
      </w:r>
      <w:r w:rsidRPr="0011042B">
        <w:rPr>
          <w:rFonts w:eastAsia="Times New Roman" w:cstheme="minorHAnsi"/>
          <w:sz w:val="20"/>
          <w:szCs w:val="20"/>
        </w:rPr>
        <w:t xml:space="preserve"> Data Services, Data Dictionary, Tool Standards, Data Lineage, User Training</w:t>
      </w:r>
    </w:p>
    <w:sectPr w:rsidR="0011042B" w:rsidRPr="0011042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D789B"/>
    <w:multiLevelType w:val="multilevel"/>
    <w:tmpl w:val="3616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8"/>
  </w:num>
  <w:num w:numId="5">
    <w:abstractNumId w:val="2"/>
  </w:num>
  <w:num w:numId="6">
    <w:abstractNumId w:val="5"/>
  </w:num>
  <w:num w:numId="7">
    <w:abstractNumId w:val="16"/>
  </w:num>
  <w:num w:numId="8">
    <w:abstractNumId w:val="9"/>
  </w:num>
  <w:num w:numId="9">
    <w:abstractNumId w:val="4"/>
  </w:num>
  <w:num w:numId="10">
    <w:abstractNumId w:val="12"/>
  </w:num>
  <w:num w:numId="11">
    <w:abstractNumId w:val="6"/>
  </w:num>
  <w:num w:numId="12">
    <w:abstractNumId w:val="13"/>
  </w:num>
  <w:num w:numId="13">
    <w:abstractNumId w:val="14"/>
  </w:num>
  <w:num w:numId="14">
    <w:abstractNumId w:val="10"/>
  </w:num>
  <w:num w:numId="15">
    <w:abstractNumId w:val="5"/>
  </w:num>
  <w:num w:numId="16">
    <w:abstractNumId w:val="8"/>
  </w:num>
  <w:num w:numId="17">
    <w:abstractNumId w:val="15"/>
  </w:num>
  <w:num w:numId="18">
    <w:abstractNumId w:val="17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042B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254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2021-01-22T06:19:00Z</dcterms:created>
  <dcterms:modified xsi:type="dcterms:W3CDTF">2021-01-22T06:23:00Z</dcterms:modified>
</cp:coreProperties>
</file>