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>SQL, Python, R, SAS, Pyspark,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>: Spark, Hadoop, MapReduce, Hive, Pig, Kafka, Flume, Hbase</w:t>
      </w:r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r w:rsidR="00477032">
        <w:rPr>
          <w:rFonts w:eastAsia="Times New Roman" w:cstheme="minorHAnsi"/>
          <w:iCs/>
          <w:sz w:val="20"/>
          <w:szCs w:val="20"/>
        </w:rPr>
        <w:t>CircleCI,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>Tableau, Power BI, Azure ML, RStudio, Jupyter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r w:rsidRPr="00360F10">
        <w:rPr>
          <w:rFonts w:eastAsia="Times New Roman" w:cstheme="minorHAnsi"/>
          <w:iCs/>
          <w:sz w:val="20"/>
          <w:szCs w:val="20"/>
        </w:rPr>
        <w:t>Numpy, Pandas, Matplotlib, Seaborn, Scikit-Learn, Keras, Nltk, Gensim, Scipy,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>at Labelmaster,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A766B14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Pure Collaborative, Approximate Nearest Neighbour,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2021-01-31T05:17:00Z</dcterms:created>
  <dcterms:modified xsi:type="dcterms:W3CDTF">2021-01-31T05:17:00Z</dcterms:modified>
</cp:coreProperties>
</file>