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852AD7E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="000123DB">
        <w:rPr>
          <w:rFonts w:cstheme="minorHAnsi"/>
          <w:sz w:val="20"/>
          <w:szCs w:val="20"/>
        </w:rPr>
        <w:t xml:space="preserve"> with attributes like analytical thinking</w:t>
      </w:r>
      <w:r w:rsidR="00D526CF">
        <w:rPr>
          <w:rFonts w:cstheme="minorHAnsi"/>
          <w:sz w:val="20"/>
          <w:szCs w:val="20"/>
        </w:rPr>
        <w:t xml:space="preserve"> and ability to articulate complex situations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F474565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D53BD7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599860BF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</w:t>
      </w:r>
      <w:r w:rsidR="00497DA6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1D19CA">
        <w:rPr>
          <w:rFonts w:cstheme="minorHAnsi"/>
          <w:b/>
          <w:bCs/>
          <w:sz w:val="20"/>
          <w:szCs w:val="20"/>
        </w:rPr>
        <w:t>Aug</w:t>
      </w:r>
      <w:r w:rsidR="006670A4" w:rsidRPr="00477032">
        <w:rPr>
          <w:rFonts w:cstheme="minorHAnsi"/>
          <w:b/>
          <w:bCs/>
          <w:sz w:val="20"/>
          <w:szCs w:val="20"/>
        </w:rPr>
        <w:t xml:space="preserve">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6BDA21A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D526CF">
        <w:rPr>
          <w:rFonts w:asciiTheme="minorHAnsi" w:hAnsiTheme="minorHAnsi" w:cstheme="minorHAnsi"/>
          <w:color w:val="211F1F"/>
          <w:sz w:val="20"/>
          <w:szCs w:val="20"/>
        </w:rPr>
        <w:t>, within the required deadline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23DB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19CA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97DA6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3EFC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26CF"/>
    <w:rsid w:val="00D53BD7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5</cp:revision>
  <cp:lastPrinted>2020-07-24T18:40:00Z</cp:lastPrinted>
  <dcterms:created xsi:type="dcterms:W3CDTF">2021-02-06T05:40:00Z</dcterms:created>
  <dcterms:modified xsi:type="dcterms:W3CDTF">2021-02-14T16:58:00Z</dcterms:modified>
</cp:coreProperties>
</file>