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674D6546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ARIMA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D913B42" w14:textId="33501A1D" w:rsidR="00DC2193" w:rsidRDefault="00DC2193" w:rsidP="00DC2193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23998D5A" w:rsidR="00DC2193" w:rsidRPr="00DC2193" w:rsidRDefault="00DC2193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hypothesis testing to validate whether “Fantasy sports is a game of skill or gamble” using the Chi-Square Test, Linear </w:t>
      </w:r>
      <w:r w:rsidRPr="00DC2193">
        <w:rPr>
          <w:rFonts w:asciiTheme="minorHAnsi" w:hAnsiTheme="minorHAnsi" w:cstheme="minorHAnsi"/>
          <w:sz w:val="20"/>
          <w:szCs w:val="20"/>
        </w:rPr>
        <w:t>Regression and paired T-test, the findings successfully published in the Harvard Business Review.</w:t>
      </w:r>
    </w:p>
    <w:p w14:paraId="2D43205B" w14:textId="1E8262F8" w:rsidR="00B9169A" w:rsidRPr="00360E90" w:rsidRDefault="00D60A4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DC2193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proofErr w:type="gramStart"/>
      <w:r w:rsidR="00C14138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12436286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>
        <w:rPr>
          <w:rFonts w:cstheme="minorHAnsi"/>
          <w:sz w:val="20"/>
          <w:szCs w:val="20"/>
        </w:rPr>
        <w:t>.</w:t>
      </w:r>
    </w:p>
    <w:p w14:paraId="4ADBC132" w14:textId="57CFC77B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</w:t>
      </w:r>
      <w:proofErr w:type="gramStart"/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3FF6919F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713D4731" w14:textId="56E1191D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148D402F" w14:textId="09E40BF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54A59EDD" w:rsidR="00743D83" w:rsidRPr="0082109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</w:t>
      </w:r>
      <w:proofErr w:type="spellStart"/>
      <w:r w:rsidRPr="00DC2193">
        <w:rPr>
          <w:rFonts w:cstheme="minorHAnsi"/>
          <w:sz w:val="20"/>
          <w:szCs w:val="20"/>
        </w:rPr>
        <w:t>webscrapping</w:t>
      </w:r>
      <w:proofErr w:type="spellEnd"/>
      <w:r w:rsidRPr="00DC2193">
        <w:rPr>
          <w:rFonts w:cstheme="minorHAnsi"/>
          <w:sz w:val="20"/>
          <w:szCs w:val="20"/>
        </w:rPr>
        <w:t xml:space="preserve"> using </w:t>
      </w:r>
      <w:proofErr w:type="spellStart"/>
      <w:r w:rsidRPr="00DC2193">
        <w:rPr>
          <w:rFonts w:cstheme="minorHAnsi"/>
          <w:sz w:val="20"/>
          <w:szCs w:val="20"/>
        </w:rPr>
        <w:t>BeautifulSoup</w:t>
      </w:r>
      <w:proofErr w:type="spellEnd"/>
      <w:r w:rsidRPr="00DC2193">
        <w:rPr>
          <w:rFonts w:cstheme="minorHAnsi"/>
          <w:sz w:val="20"/>
          <w:szCs w:val="20"/>
        </w:rPr>
        <w:t xml:space="preserve"> and requests libraries in </w:t>
      </w:r>
      <w:proofErr w:type="spellStart"/>
      <w:r w:rsidRPr="00DC2193">
        <w:rPr>
          <w:rFonts w:cstheme="minorHAnsi"/>
          <w:sz w:val="20"/>
          <w:szCs w:val="20"/>
        </w:rPr>
        <w:t>Jupyter</w:t>
      </w:r>
      <w:proofErr w:type="spellEnd"/>
      <w:r w:rsidRPr="00DC2193">
        <w:rPr>
          <w:rFonts w:cstheme="minorHAnsi"/>
          <w:sz w:val="20"/>
          <w:szCs w:val="20"/>
        </w:rPr>
        <w:t xml:space="preserve"> Notebook to extract dataset from website Project Gutenberg.</w:t>
      </w:r>
    </w:p>
    <w:p w14:paraId="65A77D1E" w14:textId="2FA47EEA" w:rsidR="00DC2193" w:rsidRPr="00DC2193" w:rsidRDefault="00DC219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Further, implemented </w:t>
      </w:r>
      <w:proofErr w:type="spellStart"/>
      <w:r w:rsidRPr="00DC2193">
        <w:rPr>
          <w:rFonts w:cstheme="minorHAnsi"/>
          <w:sz w:val="20"/>
          <w:szCs w:val="20"/>
        </w:rPr>
        <w:t>nltk</w:t>
      </w:r>
      <w:proofErr w:type="spellEnd"/>
      <w:r w:rsidRPr="00DC2193">
        <w:rPr>
          <w:rFonts w:cstheme="minorHAnsi"/>
          <w:sz w:val="20"/>
          <w:szCs w:val="20"/>
        </w:rPr>
        <w:t xml:space="preserve">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C5935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8</cp:revision>
  <cp:lastPrinted>2020-07-24T18:40:00Z</cp:lastPrinted>
  <dcterms:created xsi:type="dcterms:W3CDTF">2021-02-19T21:35:00Z</dcterms:created>
  <dcterms:modified xsi:type="dcterms:W3CDTF">2021-02-23T07:16:00Z</dcterms:modified>
</cp:coreProperties>
</file>