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72583FAA" w14:textId="28614DA3" w:rsidR="008F6782" w:rsidRPr="00F25237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37EC3C15" w14:textId="68029BD6" w:rsidR="00F25237" w:rsidRPr="00B634FC" w:rsidRDefault="00F25237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Scripting: </w:t>
      </w:r>
      <w:r w:rsidRPr="00F25237">
        <w:rPr>
          <w:rFonts w:eastAsia="Times New Roman" w:cstheme="minorHAnsi"/>
          <w:sz w:val="20"/>
          <w:szCs w:val="20"/>
        </w:rPr>
        <w:t>Linux, Unix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</w:t>
      </w:r>
      <w:proofErr w:type="spellEnd"/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class-wise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E7F2D5" w14:textId="77777777" w:rsidR="00A23EDE" w:rsidRDefault="00DC2193" w:rsidP="00A23EDE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60DBF236" w:rsidR="00DC2193" w:rsidRPr="00A23EDE" w:rsidRDefault="00DC2193" w:rsidP="00A23EDE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A23EDE">
        <w:rPr>
          <w:rFonts w:cstheme="minorHAnsi"/>
          <w:sz w:val="20"/>
          <w:szCs w:val="20"/>
        </w:rPr>
        <w:t>Performed hypothesis testing to validate whether “Fantasy sports is a game of skill or gamble” using the Chi-Square Test, Linear Regression and paired T-test, the findings successfully published in the Harvard Business Review.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lastRenderedPageBreak/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proofErr w:type="spellStart"/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041D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23EDE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23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2021-02-24T22:14:00Z</dcterms:created>
  <dcterms:modified xsi:type="dcterms:W3CDTF">2021-02-25T00:26:00Z</dcterms:modified>
</cp:coreProperties>
</file>