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B0A29" w14:textId="77777777" w:rsidR="00EB12C3" w:rsidRDefault="00EB12C3" w:rsidP="00B84AA3">
      <w:pPr>
        <w:pStyle w:val="UWAHeading"/>
      </w:pPr>
      <w:r>
        <w:t xml:space="preserve">The </w:t>
      </w:r>
      <w:smartTag w:uri="urn:schemas-microsoft-com:office:smarttags" w:element="PlaceType">
        <w:smartTag w:uri="urn:schemas-microsoft-com:office:smarttags" w:element="place">
          <w:r>
            <w:t>University</w:t>
          </w:r>
        </w:smartTag>
        <w:r>
          <w:t xml:space="preserve"> of </w:t>
        </w:r>
        <w:smartTag w:uri="urn:schemas-microsoft-com:office:smarttags" w:element="PlaceName">
          <w:r>
            <w:t>Western Australia</w:t>
          </w:r>
        </w:smartTag>
      </w:smartTag>
    </w:p>
    <w:p w14:paraId="4C31A66D" w14:textId="77777777" w:rsidR="00990D25" w:rsidRDefault="009B1CAF" w:rsidP="004A4DBA">
      <w:pPr>
        <w:pStyle w:val="Instructions"/>
      </w:pPr>
      <w:r>
        <w:t>Save this template to the preferred folder on your network drive.</w:t>
      </w:r>
      <w:r w:rsidR="00990D25">
        <w:t xml:space="preserve">  </w:t>
      </w:r>
    </w:p>
    <w:p w14:paraId="27CA9424" w14:textId="77777777" w:rsidR="009B1CAF" w:rsidRPr="00990D25" w:rsidRDefault="00990D25" w:rsidP="004A4DBA">
      <w:pPr>
        <w:pStyle w:val="Instructions"/>
      </w:pPr>
      <w:r>
        <w:rPr>
          <w:b/>
        </w:rPr>
        <w:t xml:space="preserve">Note: </w:t>
      </w:r>
      <w:r>
        <w:t>You must save the template</w:t>
      </w:r>
      <w:r w:rsidR="00255327">
        <w:t xml:space="preserve"> each time you want to write </w:t>
      </w:r>
      <w:r>
        <w:t>a policy to ensure that you are using the most recent version of the template.</w:t>
      </w:r>
    </w:p>
    <w:p w14:paraId="21A1FC2D" w14:textId="77777777" w:rsidR="009B1CAF" w:rsidRDefault="009B1CAF" w:rsidP="004A4DBA">
      <w:pPr>
        <w:pStyle w:val="Instructions"/>
      </w:pPr>
      <w:r>
        <w:t>You can use the show/hide button on your toolbar (this looks like a paragraph mark) to h</w:t>
      </w:r>
      <w:r w:rsidR="00EF5A04">
        <w:t>ide or show instructions in the</w:t>
      </w:r>
      <w:r>
        <w:t xml:space="preserve"> template.  If clicking on this button does not work, please go to Tools - Options - View - and un-tick “hidden text” before trying again. </w:t>
      </w:r>
    </w:p>
    <w:p w14:paraId="5E540EAE" w14:textId="77777777" w:rsidR="009B1CAF" w:rsidRDefault="009B1CAF" w:rsidP="004A4DBA">
      <w:pPr>
        <w:pStyle w:val="Instructions"/>
      </w:pPr>
      <w:r>
        <w:rPr>
          <w:b/>
        </w:rPr>
        <w:t xml:space="preserve">Note: </w:t>
      </w:r>
      <w:r>
        <w:t xml:space="preserve">Please do not type or paste over instructions. </w:t>
      </w:r>
    </w:p>
    <w:p w14:paraId="59C41C3A" w14:textId="77777777" w:rsidR="009B1CAF" w:rsidRDefault="009B1CAF" w:rsidP="004A4DBA">
      <w:pPr>
        <w:pStyle w:val="Instructions"/>
      </w:pPr>
      <w:r>
        <w:t>(A comprehensive set of instructions is also provided on the Template and Instructions page of the University Policies website.)</w:t>
      </w:r>
    </w:p>
    <w:p w14:paraId="537BAFF1" w14:textId="77777777" w:rsidR="00816882" w:rsidRDefault="009B1CAF" w:rsidP="004A4DBA">
      <w:pPr>
        <w:pStyle w:val="Instructions"/>
      </w:pPr>
      <w:r>
        <w:t xml:space="preserve">To include text in the template, </w:t>
      </w:r>
      <w:r w:rsidR="00DD5999">
        <w:t xml:space="preserve">except in the Definitions section, </w:t>
      </w:r>
      <w:r>
        <w:t xml:space="preserve">place your cursor at the end of the relevant section heading provided or at the end of the relevant instructions and press “Enter” before beginning to type or pasting in text.  </w:t>
      </w:r>
      <w:r w:rsidR="00DD5999">
        <w:t>To include text in the definitions section place your cursor immediate</w:t>
      </w:r>
      <w:r w:rsidR="00255327">
        <w:t>ly</w:t>
      </w:r>
      <w:r w:rsidR="00DD5999">
        <w:t xml:space="preserve"> under the heading before beginning to type.</w:t>
      </w:r>
    </w:p>
    <w:p w14:paraId="4B198658" w14:textId="77777777" w:rsidR="009B1CAF" w:rsidRPr="00816882" w:rsidRDefault="00816882" w:rsidP="004A4DBA">
      <w:pPr>
        <w:pStyle w:val="Instructions"/>
      </w:pPr>
      <w:r>
        <w:rPr>
          <w:b/>
        </w:rPr>
        <w:t xml:space="preserve">Note: </w:t>
      </w:r>
      <w:r>
        <w:t xml:space="preserve">If you are pasting in text you must save it as </w:t>
      </w:r>
      <w:r w:rsidR="00255327">
        <w:t xml:space="preserve">plain </w:t>
      </w:r>
      <w:r>
        <w:t>text first so that you do not import any additional</w:t>
      </w:r>
      <w:r w:rsidR="00255327">
        <w:t xml:space="preserve"> </w:t>
      </w:r>
      <w:r>
        <w:t>styles into the policy document.</w:t>
      </w:r>
    </w:p>
    <w:p w14:paraId="2D43B6FC" w14:textId="77777777" w:rsidR="009B1CAF" w:rsidRDefault="009B1CAF" w:rsidP="004A4DBA">
      <w:pPr>
        <w:pStyle w:val="Instructions"/>
      </w:pPr>
      <w:r>
        <w:t xml:space="preserve">Formatting styles are embedded in this template and can be found in a drop-down menu on your toolbar.  </w:t>
      </w:r>
      <w:r>
        <w:rPr>
          <w:b/>
        </w:rPr>
        <w:t xml:space="preserve">Note: </w:t>
      </w:r>
      <w:r>
        <w:t>Please do not add to or alter the styles.  It is recommended that styles be applied once text is finalised.  Apply a style by highlighting the text and clicking on the appropriate style from the drop-down list.</w:t>
      </w:r>
    </w:p>
    <w:p w14:paraId="19CFB34C" w14:textId="77777777" w:rsidR="009B1CAF" w:rsidRDefault="009B1CAF" w:rsidP="004A4DBA">
      <w:pPr>
        <w:pStyle w:val="Instructions"/>
      </w:pPr>
      <w:r>
        <w:t>If you require a numbered heading style within the policy text, please use Heading 4 from the drop-down styles list.  This will automatically apply a number to the heading and each time you use the Heading 4 style the next sequential number will be applied</w:t>
      </w:r>
      <w:r w:rsidR="00AF0CFD">
        <w:t xml:space="preserve"> automatically</w:t>
      </w:r>
      <w:r>
        <w:t xml:space="preserve">.  </w:t>
      </w:r>
    </w:p>
    <w:p w14:paraId="501E249A" w14:textId="77777777" w:rsidR="009B1CAF" w:rsidRDefault="009B1CAF" w:rsidP="004A4DBA">
      <w:pPr>
        <w:pStyle w:val="Instructions"/>
      </w:pPr>
      <w:r>
        <w:t>Styles 1.1</w:t>
      </w:r>
      <w:r w:rsidR="00255327">
        <w:t xml:space="preserve"> (Style 1)</w:t>
      </w:r>
      <w:r>
        <w:t>, 1.1.1</w:t>
      </w:r>
      <w:r w:rsidR="00255327">
        <w:t xml:space="preserve"> (Style 2)</w:t>
      </w:r>
      <w:r>
        <w:t>, and 1.1.1.1</w:t>
      </w:r>
      <w:r w:rsidR="00255327">
        <w:t xml:space="preserve"> (Style 3)</w:t>
      </w:r>
      <w:r>
        <w:t xml:space="preserve"> are available for the body of the text.  To reduce complexity, it is recommended that numbering below the level of 1.1.1.1 be avoided.  Bullet points can be used for lists if required.  The list bullet style is available from the styles drop-down list. </w:t>
      </w:r>
    </w:p>
    <w:p w14:paraId="2F6F186A" w14:textId="77777777" w:rsidR="009B1CAF" w:rsidRDefault="009B1CAF" w:rsidP="004A4DBA">
      <w:pPr>
        <w:pStyle w:val="Instructions"/>
      </w:pPr>
      <w:r>
        <w:rPr>
          <w:b/>
        </w:rPr>
        <w:t>Note:</w:t>
      </w:r>
      <w:r>
        <w:t xml:space="preserve"> If you press “Enter” after a heading provided in the template or after a set of instructions the Normal, Policy style will automatically be applied.</w:t>
      </w:r>
    </w:p>
    <w:p w14:paraId="540866A2" w14:textId="77777777" w:rsidR="009B1CAF" w:rsidRDefault="009B1CAF" w:rsidP="004A4DBA">
      <w:pPr>
        <w:pStyle w:val="Instructions"/>
      </w:pPr>
      <w:r>
        <w:rPr>
          <w:b/>
        </w:rPr>
        <w:t xml:space="preserve">Note: </w:t>
      </w:r>
      <w:r>
        <w:t xml:space="preserve">Please do not use tabs in your document.  </w:t>
      </w:r>
    </w:p>
    <w:p w14:paraId="615643AB" w14:textId="77777777" w:rsidR="002C46A5" w:rsidRDefault="002C46A5" w:rsidP="00B84AA3">
      <w:pPr>
        <w:pStyle w:val="Heading1"/>
      </w:pPr>
      <w:r>
        <w:t>University Policy on</w:t>
      </w:r>
      <w:r w:rsidR="00481B6B">
        <w:t xml:space="preserve">: </w:t>
      </w:r>
      <w:r w:rsidR="006D1625">
        <w:t xml:space="preserve">Fees: </w:t>
      </w:r>
      <w:r w:rsidR="00675426">
        <w:t xml:space="preserve">Payment and refund of </w:t>
      </w:r>
      <w:r w:rsidR="00ED4627">
        <w:t>tuition fees for domestic postgraduate students</w:t>
      </w:r>
    </w:p>
    <w:p w14:paraId="456EE9C3" w14:textId="77777777" w:rsidR="00926F20" w:rsidRPr="00FF3C92" w:rsidRDefault="00EB5CC7" w:rsidP="004A4DBA">
      <w:pPr>
        <w:pStyle w:val="Instructions"/>
      </w:pPr>
      <w:r>
        <w:t>Overtype “Policy Name” with the name of the policy.  This must convey specifically, accurately and succinctly what the policy addresses eg Award of Honours, Study Leave.</w:t>
      </w:r>
      <w:r w:rsidR="00926F20" w:rsidRPr="00FF3C92">
        <w:t xml:space="preserve"> </w:t>
      </w:r>
    </w:p>
    <w:p w14:paraId="4B0AB43B" w14:textId="77777777" w:rsidR="00A7210A" w:rsidRDefault="00B06590" w:rsidP="00B84AA3">
      <w:pPr>
        <w:pStyle w:val="Heading2"/>
      </w:pPr>
      <w:r>
        <w:t>Purpose of</w:t>
      </w:r>
      <w:r w:rsidR="00C76CA8">
        <w:t xml:space="preserve"> the</w:t>
      </w:r>
      <w:r w:rsidR="00EB12C3">
        <w:t xml:space="preserve"> policy and summary of issues it addresses:</w:t>
      </w:r>
    </w:p>
    <w:p w14:paraId="74B125D4" w14:textId="77777777" w:rsidR="008A6282" w:rsidRPr="008A6282" w:rsidRDefault="008A6282" w:rsidP="008A6282">
      <w:r>
        <w:t xml:space="preserve">This policy </w:t>
      </w:r>
      <w:r w:rsidR="00A63C0B">
        <w:t>sets out the principles applying</w:t>
      </w:r>
      <w:r>
        <w:t xml:space="preserve"> to the payment</w:t>
      </w:r>
      <w:r w:rsidR="009D5025">
        <w:t xml:space="preserve"> and refund</w:t>
      </w:r>
      <w:r>
        <w:t xml:space="preserve"> of</w:t>
      </w:r>
      <w:r w:rsidR="00510CCD">
        <w:t xml:space="preserve"> tuition</w:t>
      </w:r>
      <w:r>
        <w:t xml:space="preserve"> fees </w:t>
      </w:r>
      <w:r w:rsidR="00F31991">
        <w:t>in the case of</w:t>
      </w:r>
      <w:r w:rsidR="00774945">
        <w:t xml:space="preserve"> domestic </w:t>
      </w:r>
      <w:r w:rsidR="00510CCD">
        <w:t xml:space="preserve">postgraduate </w:t>
      </w:r>
      <w:r w:rsidR="007925EB">
        <w:t>students</w:t>
      </w:r>
      <w:r w:rsidR="00ED4627">
        <w:t xml:space="preserve"> who are liable for such fees</w:t>
      </w:r>
      <w:r w:rsidR="00BC795D">
        <w:t>.</w:t>
      </w:r>
    </w:p>
    <w:p w14:paraId="4B053385" w14:textId="77777777" w:rsidR="00EB5CC7" w:rsidRDefault="00EB5CC7" w:rsidP="004A4DBA">
      <w:pPr>
        <w:pStyle w:val="Instructions"/>
      </w:pPr>
      <w:r>
        <w:t xml:space="preserve">This must be in Normal, Policy style. </w:t>
      </w:r>
    </w:p>
    <w:p w14:paraId="219658C0" w14:textId="77777777" w:rsidR="00EB5CC7" w:rsidRDefault="00EB5CC7" w:rsidP="004A4DBA">
      <w:pPr>
        <w:pStyle w:val="Instructions"/>
      </w:pPr>
      <w:r>
        <w:t xml:space="preserve">Provide a brief </w:t>
      </w:r>
      <w:r w:rsidR="0055140C">
        <w:t>summary</w:t>
      </w:r>
      <w:r>
        <w:t xml:space="preserve"> </w:t>
      </w:r>
      <w:r w:rsidR="0055140C">
        <w:t>of the</w:t>
      </w:r>
      <w:r>
        <w:t xml:space="preserve"> reasons for the policy and issues it addresses.  </w:t>
      </w:r>
      <w:r w:rsidR="0055140C">
        <w:t xml:space="preserve">This section is designed to stand alone.  </w:t>
      </w:r>
      <w:r w:rsidR="00E66DB3">
        <w:t xml:space="preserve">The aim is to provide the reader with enough information to make a decision about whether or not this is the policy they are looking for.  </w:t>
      </w:r>
      <w:r w:rsidR="0055140C">
        <w:t>It</w:t>
      </w:r>
      <w:r>
        <w:t xml:space="preserve"> must not be longer than 200 words.  </w:t>
      </w:r>
    </w:p>
    <w:p w14:paraId="1FD772A7" w14:textId="77777777" w:rsidR="00EB5CC7" w:rsidRDefault="00EB5CC7" w:rsidP="004A4DBA">
      <w:pPr>
        <w:pStyle w:val="Instructions"/>
      </w:pPr>
      <w:r>
        <w:t>Example 1</w:t>
      </w:r>
    </w:p>
    <w:p w14:paraId="27562D49" w14:textId="77777777" w:rsidR="00EB5CC7" w:rsidRDefault="00EB5CC7" w:rsidP="004A4DBA">
      <w:pPr>
        <w:pStyle w:val="Instructions"/>
      </w:pPr>
      <w:r>
        <w:t xml:space="preserve">This policy defines the nature and purpose of study leave provisions for academic staff and sets out eligibility criteria and other conditions that apply. </w:t>
      </w:r>
    </w:p>
    <w:p w14:paraId="30142156" w14:textId="77777777" w:rsidR="00EB5CC7" w:rsidRDefault="00EB5CC7" w:rsidP="004A4DBA">
      <w:pPr>
        <w:pStyle w:val="Instructions"/>
      </w:pPr>
      <w:r>
        <w:t>Example 2</w:t>
      </w:r>
    </w:p>
    <w:p w14:paraId="0F4FB597" w14:textId="77777777" w:rsidR="000557D5" w:rsidRPr="00FF3C92" w:rsidRDefault="00EB5CC7" w:rsidP="004A4DBA">
      <w:pPr>
        <w:pStyle w:val="Instructions"/>
      </w:pPr>
      <w:r>
        <w:t>This policy seeks to rationalise the award of honours across the University by addressing such issues as: entry standards, course content and structure, supervision, assessment, examination, grades, classifications, benchmarking and the maintenance and provision of documentation relating to these matters.  It is based on resolutions of the Academic Board flowing from the 1999 report of the Honours Working Party.</w:t>
      </w:r>
    </w:p>
    <w:p w14:paraId="7FF6110F" w14:textId="77777777" w:rsidR="00451A78" w:rsidRDefault="00451A78" w:rsidP="00451A78">
      <w:pPr>
        <w:pStyle w:val="Heading2"/>
      </w:pPr>
      <w:r>
        <w:t>Definitions:</w:t>
      </w:r>
    </w:p>
    <w:p w14:paraId="1DF956ED" w14:textId="77777777" w:rsidR="0089571A" w:rsidRPr="00460968" w:rsidRDefault="0089571A" w:rsidP="0089571A">
      <w:pPr>
        <w:pStyle w:val="Definitions"/>
      </w:pPr>
      <w:r>
        <w:t>In this policy and any associated procedures,</w:t>
      </w:r>
    </w:p>
    <w:p w14:paraId="018879EC" w14:textId="77777777" w:rsidR="00090045" w:rsidRPr="00072C73" w:rsidRDefault="00090045" w:rsidP="00090045">
      <w:pPr>
        <w:pStyle w:val="Definitions"/>
      </w:pPr>
      <w:r w:rsidRPr="00AC1A75">
        <w:rPr>
          <w:b/>
        </w:rPr>
        <w:t>the University</w:t>
      </w:r>
      <w:r>
        <w:t xml:space="preserve"> means The University of Western Australia</w:t>
      </w:r>
    </w:p>
    <w:p w14:paraId="6BBA1292" w14:textId="77777777" w:rsidR="00090045" w:rsidRDefault="00090045" w:rsidP="00090045">
      <w:pPr>
        <w:pStyle w:val="Definitions"/>
      </w:pPr>
      <w:r>
        <w:rPr>
          <w:b/>
        </w:rPr>
        <w:t xml:space="preserve">census date </w:t>
      </w:r>
      <w:r>
        <w:t>is the date when a student becomes financially liable for a unit in which they are enrolled</w:t>
      </w:r>
    </w:p>
    <w:p w14:paraId="5C6761F3" w14:textId="77777777" w:rsidR="00510CCD" w:rsidRPr="00510CCD" w:rsidRDefault="00510CCD" w:rsidP="00090045">
      <w:pPr>
        <w:pStyle w:val="Definitions"/>
        <w:rPr>
          <w:b/>
        </w:rPr>
      </w:pPr>
      <w:r>
        <w:rPr>
          <w:b/>
        </w:rPr>
        <w:t xml:space="preserve">designated course </w:t>
      </w:r>
      <w:r>
        <w:t>is a course, other than a bachelor’s degree course, in which Commonwealth-supported places are available</w:t>
      </w:r>
    </w:p>
    <w:p w14:paraId="052596D9" w14:textId="77777777" w:rsidR="00090045" w:rsidRDefault="00090045" w:rsidP="00090045">
      <w:pPr>
        <w:pStyle w:val="Definitions"/>
      </w:pPr>
      <w:r w:rsidRPr="00D47A9F">
        <w:rPr>
          <w:b/>
        </w:rPr>
        <w:t>EFTSL</w:t>
      </w:r>
      <w:r>
        <w:rPr>
          <w:b/>
        </w:rPr>
        <w:t xml:space="preserve"> (equivalent full-time student load)</w:t>
      </w:r>
      <w:r>
        <w:t xml:space="preserve"> is a measure of study load.  One EFTSL represents a standard full-time load of study and is equivalent to 48 points for a year</w:t>
      </w:r>
    </w:p>
    <w:p w14:paraId="0E18C812" w14:textId="77777777" w:rsidR="00090045" w:rsidRDefault="00090045" w:rsidP="00090045">
      <w:pPr>
        <w:pStyle w:val="Definitions"/>
      </w:pPr>
      <w:r w:rsidRPr="00090045">
        <w:rPr>
          <w:b/>
        </w:rPr>
        <w:t>FEE-HELP</w:t>
      </w:r>
      <w:r>
        <w:t xml:space="preserve"> means the financial assistance available (from the Federal Government) to students for units of study for which they are not Commonwealth-supported students</w:t>
      </w:r>
    </w:p>
    <w:p w14:paraId="67C007B8" w14:textId="77777777" w:rsidR="00090045" w:rsidRDefault="00090045" w:rsidP="00090045">
      <w:pPr>
        <w:pStyle w:val="Definitions"/>
      </w:pPr>
      <w:r>
        <w:rPr>
          <w:b/>
        </w:rPr>
        <w:t>i</w:t>
      </w:r>
      <w:r w:rsidRPr="00D058D8">
        <w:rPr>
          <w:b/>
        </w:rPr>
        <w:t>nitial fee</w:t>
      </w:r>
      <w:r w:rsidRPr="00AF67FB">
        <w:t xml:space="preserve"> means the fee applying to a student in the calendar year in which the stu</w:t>
      </w:r>
      <w:r>
        <w:t>dent first enrols in the course</w:t>
      </w:r>
    </w:p>
    <w:p w14:paraId="4CF50BFD" w14:textId="77777777" w:rsidR="00090045" w:rsidRDefault="00090045" w:rsidP="00090045">
      <w:pPr>
        <w:pStyle w:val="Definitions"/>
      </w:pPr>
      <w:r>
        <w:rPr>
          <w:b/>
        </w:rPr>
        <w:t>o</w:t>
      </w:r>
      <w:r w:rsidRPr="00D058D8">
        <w:rPr>
          <w:b/>
        </w:rPr>
        <w:t xml:space="preserve">ngoing fee </w:t>
      </w:r>
      <w:r w:rsidRPr="00AF67FB">
        <w:t>means the fee applying to a student</w:t>
      </w:r>
      <w:r w:rsidR="008B710F">
        <w:t xml:space="preserve"> </w:t>
      </w:r>
      <w:r w:rsidR="007925EB">
        <w:t xml:space="preserve">in </w:t>
      </w:r>
      <w:r w:rsidR="00ED4627">
        <w:t xml:space="preserve">any period of enrolment in </w:t>
      </w:r>
      <w:r w:rsidR="00773F3E">
        <w:t>the</w:t>
      </w:r>
      <w:r w:rsidR="00ED4627">
        <w:t xml:space="preserve"> course other than the year in which the student is liable for the initial fee</w:t>
      </w:r>
    </w:p>
    <w:p w14:paraId="6FD9C332" w14:textId="77777777" w:rsidR="00090045" w:rsidRDefault="00090045" w:rsidP="00090045">
      <w:pPr>
        <w:pStyle w:val="Definitions"/>
      </w:pPr>
      <w:r w:rsidRPr="00072C73">
        <w:rPr>
          <w:b/>
        </w:rPr>
        <w:t>Research Training Scheme</w:t>
      </w:r>
      <w:r>
        <w:rPr>
          <w:b/>
        </w:rPr>
        <w:t xml:space="preserve"> (RTS)</w:t>
      </w:r>
      <w:r w:rsidRPr="00072C73">
        <w:t xml:space="preserve"> means a Commonwealth performance-based funding scheme which provides Commonwealth-funded higher degree by research candidates with an entitlement to a student contribution and tuition fee exemption in relation to an accredited higher degree by research course</w:t>
      </w:r>
    </w:p>
    <w:p w14:paraId="102250A6" w14:textId="77777777" w:rsidR="00090045" w:rsidRPr="0011169C" w:rsidRDefault="00090045" w:rsidP="00090045">
      <w:pPr>
        <w:pStyle w:val="Definitions"/>
      </w:pPr>
      <w:r>
        <w:rPr>
          <w:b/>
        </w:rPr>
        <w:t xml:space="preserve">tuition fees </w:t>
      </w:r>
      <w:r>
        <w:t>are payable by a student to the University</w:t>
      </w:r>
      <w:r w:rsidR="008B710F">
        <w:t xml:space="preserve"> and</w:t>
      </w:r>
      <w:r>
        <w:t xml:space="preserve"> are directly related to the teaching and assessment for a course in which the student is enrolled</w:t>
      </w:r>
    </w:p>
    <w:p w14:paraId="0F7CB0F9" w14:textId="77777777" w:rsidR="00090045" w:rsidRPr="008A6282" w:rsidRDefault="00090045" w:rsidP="00451A78">
      <w:pPr>
        <w:pStyle w:val="Definitions"/>
      </w:pPr>
    </w:p>
    <w:p w14:paraId="3D9DEA91" w14:textId="77777777" w:rsidR="00451A78" w:rsidRPr="00451A78" w:rsidRDefault="00CF3A74" w:rsidP="004A4DBA">
      <w:pPr>
        <w:pStyle w:val="Instructions"/>
      </w:pPr>
      <w:r>
        <w:t>Place your cursor immediately under the definitions heading to get the definitions style.</w:t>
      </w:r>
    </w:p>
    <w:p w14:paraId="6E3C99A9" w14:textId="77777777" w:rsidR="005314F2" w:rsidRDefault="00EB12C3" w:rsidP="00B84AA3">
      <w:pPr>
        <w:pStyle w:val="Heading2"/>
      </w:pPr>
      <w:r>
        <w:t>Policy statement:</w:t>
      </w:r>
    </w:p>
    <w:p w14:paraId="25DFD232" w14:textId="77777777" w:rsidR="008F6667" w:rsidRPr="008F6667" w:rsidRDefault="008F6667" w:rsidP="008F6667"/>
    <w:p w14:paraId="168F8DED" w14:textId="77777777" w:rsidR="00090045" w:rsidRPr="00090045" w:rsidRDefault="00090045" w:rsidP="00090045">
      <w:pPr>
        <w:pStyle w:val="Heading4"/>
        <w:numPr>
          <w:ilvl w:val="0"/>
          <w:numId w:val="38"/>
        </w:numPr>
      </w:pPr>
      <w:r>
        <w:t>General Principles</w:t>
      </w:r>
    </w:p>
    <w:p w14:paraId="1C4474B2" w14:textId="77777777" w:rsidR="00156823" w:rsidRDefault="00090045" w:rsidP="00090045">
      <w:pPr>
        <w:pStyle w:val="Style1"/>
        <w:numPr>
          <w:ilvl w:val="1"/>
          <w:numId w:val="38"/>
        </w:numPr>
      </w:pPr>
      <w:r>
        <w:t xml:space="preserve">As provided for under Government </w:t>
      </w:r>
      <w:r w:rsidRPr="00496C1D">
        <w:t>policy</w:t>
      </w:r>
      <w:r>
        <w:t>, the University levies tuition fees on domestic students enrolled in postgraduate courses of the University unless</w:t>
      </w:r>
      <w:r w:rsidR="00156823">
        <w:t xml:space="preserve"> the </w:t>
      </w:r>
      <w:r w:rsidR="008B710F">
        <w:t>student</w:t>
      </w:r>
      <w:r>
        <w:t xml:space="preserve"> </w:t>
      </w:r>
      <w:r w:rsidR="00156823">
        <w:t>-</w:t>
      </w:r>
    </w:p>
    <w:p w14:paraId="093DA1F7" w14:textId="77777777" w:rsidR="00156823" w:rsidRDefault="00156823" w:rsidP="00156823">
      <w:pPr>
        <w:pStyle w:val="BodyTextStyle1"/>
      </w:pPr>
      <w:r>
        <w:t>(a)</w:t>
      </w:r>
      <w:r w:rsidR="00090045">
        <w:t xml:space="preserve"> </w:t>
      </w:r>
      <w:r w:rsidR="008B710F">
        <w:t>has a Commonwealth-supported place</w:t>
      </w:r>
      <w:r w:rsidR="008F6667">
        <w:t xml:space="preserve"> </w:t>
      </w:r>
      <w:r w:rsidR="008B710F">
        <w:t>in a designated course</w:t>
      </w:r>
      <w:r>
        <w:t>;</w:t>
      </w:r>
      <w:r w:rsidR="008F6667">
        <w:t xml:space="preserve"> or</w:t>
      </w:r>
    </w:p>
    <w:p w14:paraId="1C7B3748" w14:textId="77777777" w:rsidR="008F6667" w:rsidRDefault="00156823" w:rsidP="00156823">
      <w:pPr>
        <w:pStyle w:val="BodyTextStyle1"/>
      </w:pPr>
      <w:r>
        <w:t>(b)</w:t>
      </w:r>
      <w:r w:rsidR="008F6667">
        <w:t xml:space="preserve"> </w:t>
      </w:r>
      <w:r w:rsidR="008B710F">
        <w:t xml:space="preserve">has </w:t>
      </w:r>
      <w:r w:rsidR="00D85A10">
        <w:t>a Research Training Scheme</w:t>
      </w:r>
      <w:r w:rsidR="008B710F">
        <w:t xml:space="preserve"> place</w:t>
      </w:r>
      <w:r w:rsidR="00D85A10">
        <w:t>.</w:t>
      </w:r>
      <w:r w:rsidR="008B710F">
        <w:t xml:space="preserve"> </w:t>
      </w:r>
    </w:p>
    <w:p w14:paraId="3E0481A0" w14:textId="77777777" w:rsidR="008F6667" w:rsidRPr="008F6667" w:rsidRDefault="008F6667" w:rsidP="008F6667"/>
    <w:p w14:paraId="4DEDA101" w14:textId="77777777" w:rsidR="008F6667" w:rsidRDefault="008F6667" w:rsidP="008F6667">
      <w:pPr>
        <w:pStyle w:val="Heading4"/>
        <w:numPr>
          <w:ilvl w:val="0"/>
          <w:numId w:val="38"/>
        </w:numPr>
      </w:pPr>
      <w:r>
        <w:t>Tuition fees payable by students</w:t>
      </w:r>
    </w:p>
    <w:p w14:paraId="304680F3" w14:textId="77777777" w:rsidR="008F6667" w:rsidRPr="008F6667" w:rsidRDefault="008F6667" w:rsidP="008F6667"/>
    <w:p w14:paraId="1BCDBF19" w14:textId="77777777" w:rsidR="008F6667" w:rsidRDefault="008F6667" w:rsidP="008F6667">
      <w:pPr>
        <w:pStyle w:val="Style1"/>
        <w:numPr>
          <w:ilvl w:val="1"/>
          <w:numId w:val="38"/>
        </w:numPr>
      </w:pPr>
      <w:r>
        <w:t>Tuition fees are determined per course</w:t>
      </w:r>
      <w:r w:rsidR="00371AF8">
        <w:t>.</w:t>
      </w:r>
    </w:p>
    <w:p w14:paraId="3F28ED3C" w14:textId="77777777" w:rsidR="00371AF8" w:rsidRDefault="00371AF8" w:rsidP="00371AF8"/>
    <w:p w14:paraId="2021F7C2" w14:textId="77777777" w:rsidR="00371AF8" w:rsidRDefault="00371AF8" w:rsidP="00371AF8">
      <w:pPr>
        <w:pStyle w:val="Style1"/>
        <w:numPr>
          <w:ilvl w:val="1"/>
          <w:numId w:val="38"/>
        </w:numPr>
      </w:pPr>
      <w:r>
        <w:t>Tuition f</w:t>
      </w:r>
      <w:r w:rsidRPr="00AF67FB">
        <w:t xml:space="preserve">ees are </w:t>
      </w:r>
      <w:r w:rsidR="00AE7AFE">
        <w:t>charged proportionately on a per</w:t>
      </w:r>
      <w:r>
        <w:t xml:space="preserve"> EFTSL basis.</w:t>
      </w:r>
    </w:p>
    <w:p w14:paraId="522A829A" w14:textId="77777777" w:rsidR="00371AF8" w:rsidRPr="00371AF8" w:rsidRDefault="00371AF8" w:rsidP="00371AF8"/>
    <w:p w14:paraId="43E11F78" w14:textId="77777777" w:rsidR="00DE4E29" w:rsidRDefault="00AE7AFE" w:rsidP="00F65FCA">
      <w:pPr>
        <w:pStyle w:val="Style1"/>
        <w:numPr>
          <w:ilvl w:val="1"/>
          <w:numId w:val="38"/>
        </w:numPr>
      </w:pPr>
      <w:r>
        <w:t>Tuition f</w:t>
      </w:r>
      <w:r w:rsidR="00371AF8">
        <w:t>ees are levied for each semester or trimester, as applicable.</w:t>
      </w:r>
    </w:p>
    <w:p w14:paraId="2E810A0C" w14:textId="77777777" w:rsidR="00DE4E29" w:rsidRPr="00371AF8" w:rsidRDefault="00DE4E29" w:rsidP="00371AF8"/>
    <w:p w14:paraId="276B44D4" w14:textId="77777777" w:rsidR="008F6667" w:rsidRDefault="008F6667" w:rsidP="008F6667">
      <w:pPr>
        <w:pStyle w:val="Style1"/>
        <w:numPr>
          <w:ilvl w:val="1"/>
          <w:numId w:val="38"/>
        </w:numPr>
      </w:pPr>
      <w:r>
        <w:lastRenderedPageBreak/>
        <w:t>Upon first enrolment, students are charged the initial fee applicable to the calendar year in which they first enrol in the course.</w:t>
      </w:r>
      <w:r w:rsidRPr="00BD599A">
        <w:t xml:space="preserve"> </w:t>
      </w:r>
    </w:p>
    <w:p w14:paraId="593C4405" w14:textId="77777777" w:rsidR="008F6667" w:rsidRPr="00BD599A" w:rsidRDefault="008F6667" w:rsidP="008F6667"/>
    <w:p w14:paraId="780A46D5" w14:textId="77777777" w:rsidR="00525803" w:rsidRDefault="008F6667" w:rsidP="008F6667">
      <w:pPr>
        <w:pStyle w:val="Style1"/>
        <w:numPr>
          <w:ilvl w:val="1"/>
          <w:numId w:val="38"/>
        </w:numPr>
      </w:pPr>
      <w:r>
        <w:t>In subsequent years continuing students are charged an ongoing fee which is usually adjusted in line with Consumer Price Index (CPI) movements</w:t>
      </w:r>
      <w:r w:rsidR="00525803">
        <w:t xml:space="preserve"> unless the Deputy Vice-Chancellor (Education) approves otherwise.</w:t>
      </w:r>
    </w:p>
    <w:p w14:paraId="3D4C6379" w14:textId="77777777" w:rsidR="00525803" w:rsidRDefault="00525803" w:rsidP="00525803">
      <w:pPr>
        <w:pStyle w:val="Style1"/>
        <w:numPr>
          <w:ilvl w:val="0"/>
          <w:numId w:val="0"/>
        </w:numPr>
        <w:ind w:left="576"/>
      </w:pPr>
    </w:p>
    <w:p w14:paraId="3690E9CE" w14:textId="77777777" w:rsidR="008F6667" w:rsidRDefault="00525803" w:rsidP="008F6667">
      <w:pPr>
        <w:pStyle w:val="Style1"/>
        <w:numPr>
          <w:ilvl w:val="1"/>
          <w:numId w:val="38"/>
        </w:numPr>
      </w:pPr>
      <w:r>
        <w:t xml:space="preserve">The ongoing fee for students who were liable to pay their initial fee in </w:t>
      </w:r>
      <w:r w:rsidR="00607A2D">
        <w:t xml:space="preserve">2006 to </w:t>
      </w:r>
      <w:r>
        <w:t xml:space="preserve">2014 </w:t>
      </w:r>
      <w:r w:rsidR="00607A2D">
        <w:t>inclusive</w:t>
      </w:r>
      <w:r w:rsidR="008F6667">
        <w:t xml:space="preserve"> </w:t>
      </w:r>
      <w:r>
        <w:t xml:space="preserve">under Clause 2.4, 2.7 or 2.8 </w:t>
      </w:r>
      <w:r w:rsidR="008F6667">
        <w:t xml:space="preserve">must not be increased by more than CPI increases.  </w:t>
      </w:r>
    </w:p>
    <w:p w14:paraId="70665D4C" w14:textId="77777777" w:rsidR="008F6667" w:rsidRPr="007E3D7A" w:rsidRDefault="008F6667" w:rsidP="008F6667"/>
    <w:p w14:paraId="2216282B" w14:textId="77777777" w:rsidR="008F6667" w:rsidRPr="00AF67FB" w:rsidRDefault="008F6667" w:rsidP="008F6667">
      <w:pPr>
        <w:pStyle w:val="Style1"/>
        <w:numPr>
          <w:ilvl w:val="1"/>
          <w:numId w:val="38"/>
        </w:numPr>
      </w:pPr>
      <w:r w:rsidRPr="00AF67FB">
        <w:t xml:space="preserve">Students who enrol in a course in any year, withdraw before completing a unit in that year, and re-enrol in the course in a subsequent year </w:t>
      </w:r>
      <w:r>
        <w:t>are</w:t>
      </w:r>
      <w:r w:rsidRPr="00AF67FB">
        <w:t xml:space="preserve"> liable for </w:t>
      </w:r>
      <w:r w:rsidRPr="00485D9E">
        <w:t>the initial fee</w:t>
      </w:r>
      <w:r w:rsidRPr="00AF67FB">
        <w:t xml:space="preserve"> applying to new course entrants in th</w:t>
      </w:r>
      <w:r>
        <w:t>e</w:t>
      </w:r>
      <w:r w:rsidRPr="00AF67FB">
        <w:t xml:space="preserve"> year</w:t>
      </w:r>
      <w:r>
        <w:t xml:space="preserve"> in which they re-enrol</w:t>
      </w:r>
      <w:r w:rsidRPr="00AF67FB">
        <w:t>.</w:t>
      </w:r>
    </w:p>
    <w:p w14:paraId="470FC154" w14:textId="77777777" w:rsidR="008F6667" w:rsidRDefault="008F6667" w:rsidP="008F6667"/>
    <w:p w14:paraId="427886D6" w14:textId="77777777" w:rsidR="008F6667" w:rsidRPr="00AF67FB" w:rsidRDefault="008F6667" w:rsidP="008F6667">
      <w:pPr>
        <w:pStyle w:val="Style1"/>
        <w:numPr>
          <w:ilvl w:val="1"/>
          <w:numId w:val="38"/>
        </w:numPr>
      </w:pPr>
      <w:r w:rsidRPr="00AF67FB">
        <w:t>Students who</w:t>
      </w:r>
      <w:r>
        <w:t xml:space="preserve"> have been classified as having</w:t>
      </w:r>
      <w:r w:rsidRPr="00AF67FB">
        <w:t xml:space="preserve"> discontinue</w:t>
      </w:r>
      <w:r>
        <w:t>d</w:t>
      </w:r>
      <w:r w:rsidRPr="00AF67FB">
        <w:t xml:space="preserve"> their </w:t>
      </w:r>
      <w:r>
        <w:t xml:space="preserve">course under the </w:t>
      </w:r>
      <w:hyperlink r:id="rId7" w:history="1">
        <w:r w:rsidRPr="00522785">
          <w:rPr>
            <w:rStyle w:val="Hyperlink"/>
            <w:u w:val="none"/>
          </w:rPr>
          <w:t>University Policy on Approved Leave</w:t>
        </w:r>
      </w:hyperlink>
      <w:r>
        <w:t xml:space="preserve"> </w:t>
      </w:r>
      <w:r w:rsidRPr="00AF67FB">
        <w:t xml:space="preserve">must re-apply for admission and </w:t>
      </w:r>
      <w:r>
        <w:t>are</w:t>
      </w:r>
      <w:r w:rsidRPr="00AF67FB">
        <w:t xml:space="preserve"> liable for the initial fee applying to new course entrants in </w:t>
      </w:r>
      <w:r>
        <w:t>the year of their readmission to the course</w:t>
      </w:r>
      <w:r w:rsidRPr="00AF67FB">
        <w:t>.</w:t>
      </w:r>
    </w:p>
    <w:p w14:paraId="24D998FC" w14:textId="77777777" w:rsidR="008F6667" w:rsidRDefault="008F6667" w:rsidP="008F6667">
      <w:pPr>
        <w:pStyle w:val="Style1"/>
        <w:numPr>
          <w:ilvl w:val="0"/>
          <w:numId w:val="0"/>
        </w:numPr>
        <w:ind w:left="576"/>
      </w:pPr>
    </w:p>
    <w:p w14:paraId="4ACEBBD6" w14:textId="77777777" w:rsidR="008F6667" w:rsidRDefault="008F6667" w:rsidP="008F6667">
      <w:pPr>
        <w:pStyle w:val="Style1"/>
        <w:numPr>
          <w:ilvl w:val="1"/>
          <w:numId w:val="38"/>
        </w:numPr>
      </w:pPr>
      <w:r>
        <w:t xml:space="preserve">The tuition fee payable by a student and potential adjustments are agreed to by the student on acceptance of their offer. </w:t>
      </w:r>
    </w:p>
    <w:p w14:paraId="7808D4BC" w14:textId="77777777" w:rsidR="008F6667" w:rsidRPr="00BD599A" w:rsidRDefault="008F6667" w:rsidP="008F6667"/>
    <w:p w14:paraId="05D621E4" w14:textId="77777777" w:rsidR="008F6667" w:rsidRDefault="008F6667" w:rsidP="008F6667">
      <w:pPr>
        <w:pStyle w:val="Style1"/>
        <w:numPr>
          <w:ilvl w:val="1"/>
          <w:numId w:val="38"/>
        </w:numPr>
      </w:pPr>
      <w:r w:rsidRPr="00AF67FB">
        <w:t>Unless other arrangements are formally negotiated by the parties concerned -</w:t>
      </w:r>
    </w:p>
    <w:p w14:paraId="02DEE965" w14:textId="77777777" w:rsidR="008F6667" w:rsidRPr="00360109" w:rsidRDefault="008F6667" w:rsidP="008F6667"/>
    <w:p w14:paraId="3CAC78B2" w14:textId="77777777" w:rsidR="008F6667" w:rsidRDefault="008F6667" w:rsidP="008F6667">
      <w:pPr>
        <w:pStyle w:val="Style2"/>
        <w:numPr>
          <w:ilvl w:val="2"/>
          <w:numId w:val="38"/>
        </w:numPr>
      </w:pPr>
      <w:r>
        <w:t>i</w:t>
      </w:r>
      <w:r w:rsidRPr="00AF67FB">
        <w:t xml:space="preserve">f a student from another </w:t>
      </w:r>
      <w:r>
        <w:t>institution</w:t>
      </w:r>
      <w:r w:rsidRPr="00AF67FB">
        <w:t xml:space="preserve"> is permitted to enrol </w:t>
      </w:r>
      <w:r w:rsidR="00D85A10">
        <w:t xml:space="preserve"> in a unit of this University under the </w:t>
      </w:r>
      <w:r w:rsidR="00030B4E">
        <w:t xml:space="preserve">relevant University policy on </w:t>
      </w:r>
      <w:hyperlink r:id="rId8" w:history="1">
        <w:r w:rsidR="00030B4E" w:rsidRPr="00030B4E">
          <w:rPr>
            <w:rStyle w:val="Hyperlink"/>
          </w:rPr>
          <w:t>Cross-i</w:t>
        </w:r>
        <w:r w:rsidR="00D85A10" w:rsidRPr="00030B4E">
          <w:rPr>
            <w:rStyle w:val="Hyperlink"/>
          </w:rPr>
          <w:t>nstitutional enrolment</w:t>
        </w:r>
      </w:hyperlink>
      <w:r w:rsidR="00D85A10">
        <w:t xml:space="preserve">, </w:t>
      </w:r>
      <w:r w:rsidRPr="00AF67FB">
        <w:t xml:space="preserve">the student </w:t>
      </w:r>
      <w:r>
        <w:t>is</w:t>
      </w:r>
      <w:r w:rsidRPr="00AF67FB">
        <w:t xml:space="preserve"> liable for </w:t>
      </w:r>
      <w:r>
        <w:t xml:space="preserve">tuition </w:t>
      </w:r>
      <w:r w:rsidRPr="00AF67FB">
        <w:t xml:space="preserve">fees for </w:t>
      </w:r>
      <w:r>
        <w:t xml:space="preserve">the unit </w:t>
      </w:r>
      <w:r w:rsidRPr="00AF67FB">
        <w:t>on the basis of the arrangements apply</w:t>
      </w:r>
      <w:r>
        <w:t xml:space="preserve">ing to the course to which the unit primarily </w:t>
      </w:r>
      <w:r w:rsidRPr="00AF67FB">
        <w:t>belong</w:t>
      </w:r>
      <w:r w:rsidR="00030B4E">
        <w:t>s.</w:t>
      </w:r>
    </w:p>
    <w:p w14:paraId="3F9F1690" w14:textId="77777777" w:rsidR="008F6667" w:rsidRPr="00AC1A75" w:rsidRDefault="008F6667" w:rsidP="008F6667"/>
    <w:p w14:paraId="5531713F" w14:textId="77777777" w:rsidR="008F6667" w:rsidRDefault="008F6667" w:rsidP="008F6667">
      <w:pPr>
        <w:pStyle w:val="Style2"/>
        <w:numPr>
          <w:ilvl w:val="2"/>
          <w:numId w:val="38"/>
        </w:numPr>
      </w:pPr>
      <w:r>
        <w:t>i</w:t>
      </w:r>
      <w:r w:rsidRPr="00AF67FB">
        <w:t xml:space="preserve">f a student </w:t>
      </w:r>
      <w:r>
        <w:t xml:space="preserve">of this University </w:t>
      </w:r>
      <w:r w:rsidRPr="00AF67FB">
        <w:t xml:space="preserve">is permitted to enrol </w:t>
      </w:r>
      <w:r w:rsidR="00030B4E">
        <w:t xml:space="preserve">under the relevant University policy on </w:t>
      </w:r>
      <w:hyperlink r:id="rId9" w:history="1">
        <w:r w:rsidR="00030B4E">
          <w:rPr>
            <w:rStyle w:val="Hyperlink"/>
          </w:rPr>
          <w:t>C</w:t>
        </w:r>
        <w:r w:rsidRPr="00DB461A">
          <w:rPr>
            <w:rStyle w:val="Hyperlink"/>
          </w:rPr>
          <w:t xml:space="preserve">ross-institutional </w:t>
        </w:r>
        <w:r w:rsidR="00030B4E">
          <w:rPr>
            <w:rStyle w:val="Hyperlink"/>
          </w:rPr>
          <w:t>enrolment</w:t>
        </w:r>
      </w:hyperlink>
      <w:r w:rsidRPr="00AF67FB">
        <w:t xml:space="preserve"> at another institution</w:t>
      </w:r>
      <w:r>
        <w:t xml:space="preserve"> (the host institution)</w:t>
      </w:r>
      <w:r w:rsidRPr="00AF67FB">
        <w:t xml:space="preserve"> in a unit </w:t>
      </w:r>
      <w:r>
        <w:t>for credit</w:t>
      </w:r>
      <w:r w:rsidRPr="00AF67FB">
        <w:t xml:space="preserve"> towards the</w:t>
      </w:r>
      <w:r>
        <w:t xml:space="preserve"> student’s</w:t>
      </w:r>
      <w:r w:rsidRPr="00AF67FB">
        <w:t xml:space="preserve"> course at </w:t>
      </w:r>
      <w:r>
        <w:t>this University</w:t>
      </w:r>
      <w:r w:rsidRPr="00AF67FB">
        <w:t xml:space="preserve">, fees for </w:t>
      </w:r>
      <w:r>
        <w:t>the unit in which the student is enrolled cross-institutionally are</w:t>
      </w:r>
      <w:r w:rsidRPr="00AF67FB">
        <w:t xml:space="preserve"> determined by and paid to the host institution.</w:t>
      </w:r>
    </w:p>
    <w:p w14:paraId="64D25D0B" w14:textId="77777777" w:rsidR="008F6667" w:rsidRPr="00AF67FB" w:rsidRDefault="008F6667" w:rsidP="008F6667"/>
    <w:p w14:paraId="7548630F" w14:textId="77777777" w:rsidR="008F6667" w:rsidRDefault="008F6667" w:rsidP="008F6667">
      <w:pPr>
        <w:pStyle w:val="Style1"/>
        <w:numPr>
          <w:ilvl w:val="1"/>
          <w:numId w:val="38"/>
        </w:numPr>
      </w:pPr>
      <w:r w:rsidRPr="00AF67FB">
        <w:t xml:space="preserve">Students </w:t>
      </w:r>
      <w:r>
        <w:t xml:space="preserve">who </w:t>
      </w:r>
      <w:r w:rsidRPr="00AF67FB">
        <w:t>e</w:t>
      </w:r>
      <w:r w:rsidR="00510CCD">
        <w:t>xit from an RTS-</w:t>
      </w:r>
      <w:r>
        <w:t xml:space="preserve">funded course and apply for the award of a qualification </w:t>
      </w:r>
      <w:r w:rsidR="00030B4E">
        <w:t>for which they would have been required to pay tuition fees</w:t>
      </w:r>
      <w:r>
        <w:t>,</w:t>
      </w:r>
      <w:r w:rsidRPr="00AF67FB">
        <w:t xml:space="preserve"> must</w:t>
      </w:r>
      <w:r>
        <w:t xml:space="preserve">, if the RTS funding received for the student is less than the </w:t>
      </w:r>
      <w:r w:rsidR="00A63C0B">
        <w:t xml:space="preserve">applicable tuition </w:t>
      </w:r>
      <w:r>
        <w:t>fee</w:t>
      </w:r>
      <w:r w:rsidR="00A63C0B">
        <w:t>s</w:t>
      </w:r>
      <w:r>
        <w:t xml:space="preserve">, </w:t>
      </w:r>
      <w:r w:rsidRPr="00AF67FB">
        <w:t>normally pay the difference between th</w:t>
      </w:r>
      <w:r>
        <w:t>ose amounts.</w:t>
      </w:r>
    </w:p>
    <w:p w14:paraId="750D1E26" w14:textId="77777777" w:rsidR="008F6667" w:rsidRDefault="008F6667" w:rsidP="008F6667">
      <w:pPr>
        <w:pStyle w:val="Style1"/>
        <w:numPr>
          <w:ilvl w:val="0"/>
          <w:numId w:val="0"/>
        </w:numPr>
        <w:ind w:left="576"/>
      </w:pPr>
    </w:p>
    <w:p w14:paraId="134A80A2" w14:textId="77777777" w:rsidR="008F6667" w:rsidRDefault="00607A2D" w:rsidP="008F6667">
      <w:pPr>
        <w:pStyle w:val="Style1"/>
        <w:numPr>
          <w:ilvl w:val="1"/>
          <w:numId w:val="38"/>
        </w:numPr>
      </w:pPr>
      <w:r>
        <w:t>If Clause 2.11</w:t>
      </w:r>
      <w:r w:rsidR="008F6667">
        <w:t xml:space="preserve"> applies, the amount is </w:t>
      </w:r>
      <w:r w:rsidR="008F6667" w:rsidRPr="00AF67FB">
        <w:t xml:space="preserve">payable before the </w:t>
      </w:r>
      <w:r w:rsidR="008F6667">
        <w:t>qualification</w:t>
      </w:r>
      <w:r w:rsidR="008F6667" w:rsidRPr="00AF67FB">
        <w:t xml:space="preserve"> </w:t>
      </w:r>
      <w:r w:rsidR="008F6667">
        <w:t>can be awarded.</w:t>
      </w:r>
    </w:p>
    <w:p w14:paraId="2C357ED3" w14:textId="77777777" w:rsidR="00F65FCA" w:rsidRDefault="00F65FCA" w:rsidP="00F65FCA"/>
    <w:p w14:paraId="1B4F326E" w14:textId="77777777" w:rsidR="00F65FCA" w:rsidRDefault="00F65FCA" w:rsidP="00F65FCA">
      <w:pPr>
        <w:pStyle w:val="Heading4"/>
        <w:numPr>
          <w:ilvl w:val="0"/>
          <w:numId w:val="38"/>
        </w:numPr>
      </w:pPr>
      <w:r>
        <w:t>Penalties for non-payment of tuition fees</w:t>
      </w:r>
    </w:p>
    <w:p w14:paraId="484E6E44" w14:textId="77777777" w:rsidR="00F65FCA" w:rsidRPr="00F65FCA" w:rsidRDefault="00F65FCA" w:rsidP="00F65FCA"/>
    <w:p w14:paraId="03E90B69" w14:textId="77777777" w:rsidR="00F65FCA" w:rsidRPr="00F65FCA" w:rsidRDefault="00F65FCA" w:rsidP="00F65FCA">
      <w:pPr>
        <w:pStyle w:val="Style1"/>
        <w:numPr>
          <w:ilvl w:val="1"/>
          <w:numId w:val="38"/>
        </w:numPr>
      </w:pPr>
      <w:r w:rsidRPr="00F65FCA">
        <w:t xml:space="preserve">Students who do not pay </w:t>
      </w:r>
      <w:r>
        <w:t xml:space="preserve">tuition </w:t>
      </w:r>
      <w:r w:rsidRPr="00F65FCA">
        <w:t xml:space="preserve">fees by the due date (as outlined on the Statement of Account) </w:t>
      </w:r>
      <w:r>
        <w:t>are</w:t>
      </w:r>
      <w:r w:rsidRPr="00F65FCA">
        <w:t xml:space="preserve"> subject to a late payment fee.</w:t>
      </w:r>
    </w:p>
    <w:p w14:paraId="1E67736B" w14:textId="77777777" w:rsidR="00F65FCA" w:rsidRPr="00F65FCA" w:rsidRDefault="00F65FCA" w:rsidP="00F65FCA"/>
    <w:p w14:paraId="01C39329" w14:textId="77777777" w:rsidR="008B710F" w:rsidRDefault="00F65FCA" w:rsidP="008B710F">
      <w:pPr>
        <w:pStyle w:val="Style1"/>
        <w:numPr>
          <w:ilvl w:val="1"/>
          <w:numId w:val="38"/>
        </w:numPr>
      </w:pPr>
      <w:r w:rsidRPr="00F65FCA">
        <w:t>Students who have not deferred payment via FEE-HELP have their enrolment cancelled if fees remain unpaid pas</w:t>
      </w:r>
      <w:r>
        <w:t>t</w:t>
      </w:r>
      <w:r w:rsidRPr="00F65FCA">
        <w:t xml:space="preserve"> the relevant census date for the unit (as outlined on the Statement of Account).</w:t>
      </w:r>
    </w:p>
    <w:p w14:paraId="46F143B7" w14:textId="77777777" w:rsidR="008B710F" w:rsidRDefault="008B710F" w:rsidP="008B710F"/>
    <w:p w14:paraId="30BFA9B0" w14:textId="77777777" w:rsidR="008B710F" w:rsidRDefault="008B710F" w:rsidP="008B710F">
      <w:pPr>
        <w:pStyle w:val="Heading4"/>
        <w:numPr>
          <w:ilvl w:val="0"/>
          <w:numId w:val="38"/>
        </w:numPr>
      </w:pPr>
      <w:r>
        <w:t>Availability of FEE-HELP</w:t>
      </w:r>
    </w:p>
    <w:p w14:paraId="43DD8620" w14:textId="77777777" w:rsidR="008B710F" w:rsidRPr="008B710F" w:rsidRDefault="008B710F" w:rsidP="008B710F"/>
    <w:p w14:paraId="246F5484" w14:textId="77777777" w:rsidR="008B710F" w:rsidRPr="008B710F" w:rsidRDefault="008B710F" w:rsidP="008B710F">
      <w:pPr>
        <w:pStyle w:val="Style1"/>
        <w:numPr>
          <w:ilvl w:val="1"/>
          <w:numId w:val="38"/>
        </w:numPr>
      </w:pPr>
      <w:r>
        <w:t xml:space="preserve">Domestic students may be eligible to apply for </w:t>
      </w:r>
      <w:hyperlink r:id="rId10" w:history="1">
        <w:r w:rsidRPr="008B710F">
          <w:rPr>
            <w:rStyle w:val="Hyperlink"/>
          </w:rPr>
          <w:t>FEE-HELP</w:t>
        </w:r>
      </w:hyperlink>
      <w:r w:rsidR="00A63C0B">
        <w:t xml:space="preserve"> to defer all or </w:t>
      </w:r>
      <w:r>
        <w:t>part of the tuition fees for their course.</w:t>
      </w:r>
    </w:p>
    <w:p w14:paraId="5E0A0C17" w14:textId="77777777" w:rsidR="008F6667" w:rsidRDefault="008F6667" w:rsidP="008F6667"/>
    <w:p w14:paraId="427EBAC7" w14:textId="77777777" w:rsidR="008F6667" w:rsidRDefault="00F65FCA" w:rsidP="008F6667">
      <w:pPr>
        <w:pStyle w:val="Heading4"/>
        <w:numPr>
          <w:ilvl w:val="0"/>
          <w:numId w:val="38"/>
        </w:numPr>
      </w:pPr>
      <w:r>
        <w:t>Refund of tuition f</w:t>
      </w:r>
      <w:r w:rsidR="008F6667">
        <w:t>ees</w:t>
      </w:r>
    </w:p>
    <w:p w14:paraId="12D037C4" w14:textId="77777777" w:rsidR="008F6667" w:rsidRDefault="008F6667" w:rsidP="008F6667"/>
    <w:p w14:paraId="58F81B04" w14:textId="77777777" w:rsidR="008F6667" w:rsidRDefault="008F6667" w:rsidP="008F6667">
      <w:pPr>
        <w:pStyle w:val="Style1"/>
        <w:numPr>
          <w:ilvl w:val="1"/>
          <w:numId w:val="38"/>
        </w:numPr>
      </w:pPr>
      <w:r>
        <w:t xml:space="preserve">Students withdrawing </w:t>
      </w:r>
      <w:r w:rsidR="00A63C0B">
        <w:t xml:space="preserve">on or before the census date </w:t>
      </w:r>
      <w:r>
        <w:t xml:space="preserve">from a unit </w:t>
      </w:r>
      <w:r w:rsidR="00A63C0B">
        <w:t>to which tuition fees apply</w:t>
      </w:r>
      <w:r>
        <w:t xml:space="preserve"> are given a full refund of their fees.  </w:t>
      </w:r>
    </w:p>
    <w:p w14:paraId="413146DD" w14:textId="77777777" w:rsidR="008F6667" w:rsidRDefault="008F6667" w:rsidP="008F6667"/>
    <w:p w14:paraId="1A786108" w14:textId="77777777" w:rsidR="008F6667" w:rsidRDefault="008F6667" w:rsidP="008F6667">
      <w:pPr>
        <w:pStyle w:val="Style1"/>
        <w:numPr>
          <w:ilvl w:val="1"/>
          <w:numId w:val="38"/>
        </w:numPr>
      </w:pPr>
      <w:r>
        <w:t>No refunds or remission of FEE-HELP debt are approved after the cen</w:t>
      </w:r>
      <w:r w:rsidR="00D85A10">
        <w:t xml:space="preserve">sus date </w:t>
      </w:r>
      <w:r>
        <w:t xml:space="preserve">unless </w:t>
      </w:r>
      <w:r w:rsidR="00156823">
        <w:t>the</w:t>
      </w:r>
      <w:r>
        <w:t xml:space="preserve"> student has been granted approval for withdrawal without academic penalty under the </w:t>
      </w:r>
      <w:hyperlink r:id="rId11" w:history="1">
        <w:r w:rsidRPr="00DA6EA4">
          <w:rPr>
            <w:rStyle w:val="Hyperlink"/>
          </w:rPr>
          <w:t>University Policy on Special Consideration</w:t>
        </w:r>
      </w:hyperlink>
      <w:r>
        <w:rPr>
          <w:rStyle w:val="Hyperlink"/>
        </w:rPr>
        <w:t>,</w:t>
      </w:r>
      <w:r>
        <w:t xml:space="preserve"> or otherwise, in recognition of </w:t>
      </w:r>
      <w:r w:rsidR="00333B5D">
        <w:t>significant</w:t>
      </w:r>
      <w:r>
        <w:t xml:space="preserve"> mitigating circumstances. </w:t>
      </w:r>
    </w:p>
    <w:p w14:paraId="172F3418" w14:textId="77777777" w:rsidR="00FB3336" w:rsidRPr="00FB3336" w:rsidRDefault="00FB3336" w:rsidP="00FB3336"/>
    <w:p w14:paraId="08EE3B70" w14:textId="77777777" w:rsidR="00090045" w:rsidRPr="00090045" w:rsidRDefault="00090045" w:rsidP="00090045"/>
    <w:p w14:paraId="366AEC70" w14:textId="77777777" w:rsidR="00A8424B" w:rsidRDefault="00A8424B" w:rsidP="004A4DBA">
      <w:pPr>
        <w:pStyle w:val="Instructions"/>
      </w:pPr>
      <w:r>
        <w:t>Policy or Procedure?</w:t>
      </w:r>
    </w:p>
    <w:p w14:paraId="3EFD59BB" w14:textId="77777777" w:rsidR="00A8424B" w:rsidRDefault="00A8424B" w:rsidP="004A4DBA">
      <w:pPr>
        <w:pStyle w:val="Instructions"/>
      </w:pPr>
      <w:r>
        <w:rPr>
          <w:b/>
        </w:rPr>
        <w:t xml:space="preserve">Policies </w:t>
      </w:r>
      <w:r>
        <w:t>are statements of the principles</w:t>
      </w:r>
      <w:r>
        <w:rPr>
          <w:vertAlign w:val="superscript"/>
        </w:rPr>
        <w:t>1</w:t>
      </w:r>
      <w:r>
        <w:t xml:space="preserve"> which govern decision-making.</w:t>
      </w:r>
    </w:p>
    <w:p w14:paraId="18683AFF" w14:textId="77777777" w:rsidR="00A8424B" w:rsidRDefault="00A8424B" w:rsidP="004A4DBA">
      <w:pPr>
        <w:pStyle w:val="Instructions"/>
      </w:pPr>
      <w:r>
        <w:rPr>
          <w:b/>
        </w:rPr>
        <w:t xml:space="preserve">Procedures </w:t>
      </w:r>
      <w:r>
        <w:t>are the functional steps used to implement policies.</w:t>
      </w:r>
    </w:p>
    <w:p w14:paraId="71ABF6DD" w14:textId="77777777" w:rsidR="00A8424B" w:rsidRDefault="00A8424B" w:rsidP="004A4DBA">
      <w:pPr>
        <w:pStyle w:val="Instructions"/>
      </w:pPr>
      <w:r>
        <w:rPr>
          <w:vertAlign w:val="superscript"/>
        </w:rPr>
        <w:t xml:space="preserve">1 </w:t>
      </w:r>
      <w:r>
        <w:t>Principles in this context are to be understood as being both broad and detailed.</w:t>
      </w:r>
    </w:p>
    <w:p w14:paraId="6D2A7F42" w14:textId="77777777" w:rsidR="00A8424B" w:rsidRDefault="00A8424B" w:rsidP="004A4DBA">
      <w:pPr>
        <w:pStyle w:val="Instructions"/>
      </w:pPr>
      <w:r>
        <w:t>The policy statement makes clear the intent of the policy.  It must be written in clear, precise and direct language.  Short sentences are preferable.  Any specialist words or acronyms must be defined at the beginning of the statement.  (A guide to writing styles will be available soon.)</w:t>
      </w:r>
    </w:p>
    <w:p w14:paraId="1260F44D" w14:textId="77777777" w:rsidR="005E29AA" w:rsidRPr="00FF3C92" w:rsidRDefault="00A8424B" w:rsidP="004A4DBA">
      <w:pPr>
        <w:pStyle w:val="Instructions"/>
      </w:pPr>
      <w:r>
        <w:rPr>
          <w:b/>
        </w:rPr>
        <w:t>If the policy includes procedural elements</w:t>
      </w:r>
      <w:r>
        <w:t xml:space="preserve"> you will need to identify these as Procedures by including this word above the relevant text.  The procedures style from the styles drop-down list must be applied to the whole of the procedures text, including the word Procedures.  </w:t>
      </w:r>
      <w:r>
        <w:rPr>
          <w:b/>
        </w:rPr>
        <w:t xml:space="preserve">Note: </w:t>
      </w:r>
      <w:r>
        <w:t>Administrative procedures can be approved by the relevant Director.</w:t>
      </w:r>
    </w:p>
    <w:p w14:paraId="2C88E20D" w14:textId="77777777" w:rsidR="00F43F7F" w:rsidRDefault="00F43F7F" w:rsidP="00B84AA3">
      <w:pPr>
        <w:pStyle w:val="Heading2"/>
      </w:pPr>
      <w:r>
        <w:t>Related forms: (Link)</w:t>
      </w:r>
    </w:p>
    <w:p w14:paraId="1A54C96B" w14:textId="77777777" w:rsidR="004773A0" w:rsidRDefault="004773A0" w:rsidP="004A4DBA">
      <w:pPr>
        <w:pStyle w:val="Instructions"/>
      </w:pPr>
      <w:r>
        <w:t xml:space="preserve">Provide links to any forms associated with the policy (eg Approved Leave form) and/or to information on on-line submission. </w:t>
      </w:r>
    </w:p>
    <w:p w14:paraId="41BFC64B" w14:textId="77777777" w:rsidR="00B42EC2" w:rsidRPr="00B42EC2" w:rsidRDefault="004773A0" w:rsidP="004A4DBA">
      <w:pPr>
        <w:pStyle w:val="Instructions"/>
      </w:pPr>
      <w:r>
        <w:rPr>
          <w:b/>
        </w:rPr>
        <w:t>Note:</w:t>
      </w:r>
      <w:r>
        <w:t xml:space="preserve"> Forms are a means through which policy is processed, not made.  Forms must reflect policy and must not be used to create policy</w:t>
      </w:r>
      <w:r w:rsidR="00FB56C3">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4454"/>
      </w:tblGrid>
      <w:tr w:rsidR="00871E81" w14:paraId="7CA96D9D" w14:textId="77777777" w:rsidTr="003962D6">
        <w:tc>
          <w:tcPr>
            <w:tcW w:w="4068" w:type="dxa"/>
          </w:tcPr>
          <w:p w14:paraId="7526FC77" w14:textId="77777777" w:rsidR="00871E81" w:rsidRDefault="00871E81" w:rsidP="00871E81">
            <w:pPr>
              <w:pStyle w:val="Heading3"/>
            </w:pPr>
            <w:r>
              <w:t>Policy No:</w:t>
            </w:r>
          </w:p>
          <w:p w14:paraId="73B05D89" w14:textId="77777777" w:rsidR="00371AF8" w:rsidRPr="00371AF8" w:rsidRDefault="00371AF8" w:rsidP="003962D6">
            <w:r>
              <w:t>UP07/122</w:t>
            </w:r>
          </w:p>
          <w:p w14:paraId="500137CC" w14:textId="77777777" w:rsidR="00EF5A04" w:rsidRDefault="00EF5A04" w:rsidP="004A4DBA">
            <w:pPr>
              <w:pStyle w:val="Instructions"/>
            </w:pPr>
            <w:r w:rsidRPr="00FF3C92">
              <w:t xml:space="preserve">This is the TRIM record number.  </w:t>
            </w:r>
            <w:r w:rsidRPr="003962D6">
              <w:rPr>
                <w:b/>
              </w:rPr>
              <w:t>Note:</w:t>
            </w:r>
            <w:r>
              <w:t xml:space="preserve"> This is not the TRIM file number.  If this is a new policy, </w:t>
            </w:r>
            <w:r w:rsidR="00990D25">
              <w:t xml:space="preserve">apply for </w:t>
            </w:r>
            <w:r>
              <w:t xml:space="preserve">the policy number </w:t>
            </w:r>
            <w:r w:rsidR="0095663E">
              <w:t xml:space="preserve">(contact </w:t>
            </w:r>
            <w:hyperlink r:id="rId12" w:history="1">
              <w:r w:rsidR="0095663E" w:rsidRPr="00F054EC">
                <w:rPr>
                  <w:rStyle w:val="Hyperlink"/>
                </w:rPr>
                <w:t>rorett@admin.uwa.edu.au</w:t>
              </w:r>
            </w:hyperlink>
            <w:r w:rsidR="0095663E">
              <w:t>) after the policy</w:t>
            </w:r>
            <w:r w:rsidR="00990D25">
              <w:t xml:space="preserve"> has been approved by the relevant position or body and before</w:t>
            </w:r>
            <w:r>
              <w:t xml:space="preserve"> </w:t>
            </w:r>
            <w:r w:rsidR="00990D25">
              <w:t>it</w:t>
            </w:r>
            <w:r>
              <w:t xml:space="preserve"> is submitted for storing in TRIM. </w:t>
            </w:r>
          </w:p>
          <w:p w14:paraId="59C65DA8" w14:textId="77777777" w:rsidR="00871E81" w:rsidRDefault="00871E81" w:rsidP="00871E81"/>
        </w:tc>
        <w:tc>
          <w:tcPr>
            <w:tcW w:w="4454" w:type="dxa"/>
          </w:tcPr>
          <w:p w14:paraId="2A03D9FD" w14:textId="77777777" w:rsidR="00EF5A04" w:rsidRDefault="00EF5A04" w:rsidP="00EF5A04">
            <w:pPr>
              <w:pStyle w:val="Heading3"/>
            </w:pPr>
            <w:r>
              <w:t>Approving body or position:</w:t>
            </w:r>
          </w:p>
          <w:p w14:paraId="70CE7E39" w14:textId="77777777" w:rsidR="00371AF8" w:rsidRPr="00371AF8" w:rsidRDefault="00A63C0B" w:rsidP="003962D6">
            <w:r>
              <w:t>Deputy Vice-Chancellor (Education)</w:t>
            </w:r>
          </w:p>
          <w:p w14:paraId="3CCD3D34" w14:textId="77777777" w:rsidR="00EF5A04" w:rsidRPr="00FF3C92" w:rsidRDefault="00EF5A04" w:rsidP="004A4DBA">
            <w:pPr>
              <w:pStyle w:val="Instructions"/>
            </w:pPr>
            <w:r>
              <w:t>Include the name of the</w:t>
            </w:r>
            <w:r w:rsidRPr="00FF3C92">
              <w:t xml:space="preserve"> body or position with responsibility for approving the policy.  This must be one of the following:</w:t>
            </w:r>
          </w:p>
          <w:p w14:paraId="28B1CE55" w14:textId="77777777" w:rsidR="00EF5A04" w:rsidRPr="00FF3C92" w:rsidRDefault="00EF5A04" w:rsidP="004A4DBA">
            <w:pPr>
              <w:pStyle w:val="Instructions"/>
            </w:pPr>
            <w:r w:rsidRPr="00FF3C92">
              <w:t xml:space="preserve">Senate </w:t>
            </w:r>
          </w:p>
          <w:p w14:paraId="48454F92" w14:textId="77777777" w:rsidR="00EF5A04" w:rsidRPr="00FF3C92" w:rsidRDefault="00EF5A04" w:rsidP="004A4DBA">
            <w:pPr>
              <w:pStyle w:val="Instructions"/>
            </w:pPr>
            <w:r w:rsidRPr="00FF3C92">
              <w:t xml:space="preserve">Academic Board/Council </w:t>
            </w:r>
          </w:p>
          <w:p w14:paraId="260A72D3" w14:textId="77777777" w:rsidR="00EF5A04" w:rsidRPr="00FF3C92" w:rsidRDefault="00EF5A04" w:rsidP="004A4DBA">
            <w:pPr>
              <w:pStyle w:val="Instructions"/>
            </w:pPr>
            <w:r w:rsidRPr="00FF3C92">
              <w:t xml:space="preserve">Vice-Chancellor </w:t>
            </w:r>
          </w:p>
          <w:p w14:paraId="79E3D9DF" w14:textId="77777777" w:rsidR="00EF5A04" w:rsidRPr="00FF3C92" w:rsidRDefault="00EF5A04" w:rsidP="004A4DBA">
            <w:pPr>
              <w:pStyle w:val="Instructions"/>
            </w:pPr>
            <w:r w:rsidRPr="00FF3C92">
              <w:t>Senior Deputy Vice-Chancellor</w:t>
            </w:r>
          </w:p>
          <w:p w14:paraId="352A3C52" w14:textId="77777777" w:rsidR="00EF5A04" w:rsidRPr="00FF3C92" w:rsidRDefault="00EF5A04" w:rsidP="004A4DBA">
            <w:pPr>
              <w:pStyle w:val="Instructions"/>
            </w:pPr>
            <w:r w:rsidRPr="00FF3C92">
              <w:t>Deputy Vice-Chancellor (Education)</w:t>
            </w:r>
          </w:p>
          <w:p w14:paraId="3058D674" w14:textId="77777777" w:rsidR="00EF5A04" w:rsidRPr="00FF3C92" w:rsidRDefault="00EF5A04" w:rsidP="004A4DBA">
            <w:pPr>
              <w:pStyle w:val="Instructions"/>
            </w:pPr>
            <w:r w:rsidRPr="00FF3C92">
              <w:t>Deputy Vice-Chancellor (Research and Innovation)</w:t>
            </w:r>
          </w:p>
          <w:p w14:paraId="5B27F09D" w14:textId="77777777" w:rsidR="00EF5A04" w:rsidRPr="00EF5A04" w:rsidRDefault="00EF5A04" w:rsidP="004A4DBA">
            <w:pPr>
              <w:pStyle w:val="Instructions"/>
            </w:pPr>
            <w:r w:rsidRPr="00FF3C92">
              <w:t>Registrar and Executive Director (Academic Services)</w:t>
            </w:r>
            <w:r>
              <w:t xml:space="preserve"> Executive Director (Finance and Resources)</w:t>
            </w:r>
          </w:p>
          <w:p w14:paraId="26469406" w14:textId="77777777" w:rsidR="00871E81" w:rsidRDefault="00871E81" w:rsidP="00EF5A04"/>
        </w:tc>
      </w:tr>
      <w:tr w:rsidR="00EF5A04" w14:paraId="699B5DA2" w14:textId="77777777" w:rsidTr="003962D6">
        <w:tc>
          <w:tcPr>
            <w:tcW w:w="4068" w:type="dxa"/>
          </w:tcPr>
          <w:p w14:paraId="0ADF0C29" w14:textId="77777777" w:rsidR="00EF5A04" w:rsidRDefault="00EF5A04" w:rsidP="00EF5A04">
            <w:pPr>
              <w:pStyle w:val="Heading3"/>
            </w:pPr>
            <w:r>
              <w:t>Date original policy approved:</w:t>
            </w:r>
          </w:p>
          <w:p w14:paraId="29E23891" w14:textId="77777777" w:rsidR="00371AF8" w:rsidRPr="00371AF8" w:rsidRDefault="00371AF8" w:rsidP="003962D6">
            <w:r>
              <w:t>2004</w:t>
            </w:r>
          </w:p>
          <w:p w14:paraId="66A0EAF0" w14:textId="77777777" w:rsidR="00EF5A04" w:rsidRPr="006D4CC1" w:rsidRDefault="00EF5A04" w:rsidP="004A4DBA">
            <w:pPr>
              <w:pStyle w:val="Instructions"/>
            </w:pPr>
            <w:r>
              <w:t>Insert</w:t>
            </w:r>
            <w:r w:rsidRPr="006D4CC1">
              <w:t xml:space="preserve"> date of approval of original policy.  If this information cannot readily be ascertained insert “as per file”.</w:t>
            </w:r>
          </w:p>
          <w:p w14:paraId="4661F857" w14:textId="77777777" w:rsidR="00EF5A04" w:rsidRDefault="00EF5A04" w:rsidP="00871E81"/>
        </w:tc>
        <w:tc>
          <w:tcPr>
            <w:tcW w:w="4454" w:type="dxa"/>
          </w:tcPr>
          <w:p w14:paraId="378104D0" w14:textId="77777777" w:rsidR="00EF5A04" w:rsidRDefault="00EF5A04" w:rsidP="00B23DBB">
            <w:pPr>
              <w:pStyle w:val="Heading3"/>
            </w:pPr>
            <w:r>
              <w:t>Date this version of policy approved:</w:t>
            </w:r>
          </w:p>
          <w:p w14:paraId="6BA265EB" w14:textId="77777777" w:rsidR="00371AF8" w:rsidRPr="00371AF8" w:rsidRDefault="00607A2D" w:rsidP="003962D6">
            <w:r>
              <w:t>January 2014</w:t>
            </w:r>
          </w:p>
          <w:p w14:paraId="502CD7B7" w14:textId="77777777" w:rsidR="00AF0CFD" w:rsidRPr="00AF0CFD" w:rsidRDefault="00EF5A04" w:rsidP="004A4DBA">
            <w:pPr>
              <w:pStyle w:val="Instructions"/>
            </w:pPr>
            <w:r>
              <w:t>When the policy document has been approved by the relevant body or position i</w:t>
            </w:r>
            <w:r w:rsidRPr="00A7210A">
              <w:t xml:space="preserve">nsert date </w:t>
            </w:r>
            <w:r>
              <w:t>of approval</w:t>
            </w:r>
            <w:r w:rsidRPr="00A7210A">
              <w:t>.</w:t>
            </w:r>
          </w:p>
          <w:p w14:paraId="635C5E52" w14:textId="77777777" w:rsidR="00EF5A04" w:rsidRDefault="00EF5A04" w:rsidP="004A4DBA">
            <w:pPr>
              <w:pStyle w:val="Instructions"/>
            </w:pPr>
          </w:p>
        </w:tc>
      </w:tr>
      <w:tr w:rsidR="00AF0CFD" w:rsidRPr="003962D6" w14:paraId="015FDC1A" w14:textId="77777777" w:rsidTr="003962D6">
        <w:tc>
          <w:tcPr>
            <w:tcW w:w="4068" w:type="dxa"/>
          </w:tcPr>
          <w:p w14:paraId="0863F4A2" w14:textId="77777777" w:rsidR="00AF0CFD" w:rsidRDefault="00AF0CFD" w:rsidP="00AF0CFD">
            <w:pPr>
              <w:pStyle w:val="Heading3"/>
            </w:pPr>
            <w:r>
              <w:t>Date policy to be reviewed:</w:t>
            </w:r>
          </w:p>
          <w:p w14:paraId="7DACAA16" w14:textId="77777777" w:rsidR="00371AF8" w:rsidRPr="00371AF8" w:rsidRDefault="00607A2D" w:rsidP="003962D6">
            <w:r>
              <w:t>2017</w:t>
            </w:r>
          </w:p>
          <w:p w14:paraId="640619E2" w14:textId="77777777" w:rsidR="00AF0CFD" w:rsidRDefault="00AF0CFD" w:rsidP="004A4DBA">
            <w:pPr>
              <w:pStyle w:val="Instructions"/>
            </w:pPr>
            <w:r w:rsidRPr="001F73D0">
              <w:t xml:space="preserve">If the proposing body has not determined a date for review of the policy, a default date of ten years from the date of the latest </w:t>
            </w:r>
            <w:r>
              <w:t xml:space="preserve">revision </w:t>
            </w:r>
            <w:r w:rsidRPr="001F73D0">
              <w:t>approval will apply</w:t>
            </w:r>
            <w:r>
              <w:t>.  Enter the appropriate date.</w:t>
            </w:r>
          </w:p>
        </w:tc>
        <w:tc>
          <w:tcPr>
            <w:tcW w:w="4454" w:type="dxa"/>
          </w:tcPr>
          <w:p w14:paraId="591BD1BC" w14:textId="77777777" w:rsidR="00AF0CFD" w:rsidRPr="00A63C0B" w:rsidRDefault="00AF0CFD" w:rsidP="00AF0CFD">
            <w:pPr>
              <w:pStyle w:val="Heading3"/>
              <w:rPr>
                <w:rStyle w:val="Heading3Char"/>
                <w:b/>
                <w:bCs w:val="0"/>
                <w:sz w:val="24"/>
              </w:rPr>
            </w:pPr>
            <w:r w:rsidRPr="00A63C0B">
              <w:rPr>
                <w:rStyle w:val="Heading3Char"/>
                <w:b/>
                <w:bCs w:val="0"/>
                <w:sz w:val="24"/>
              </w:rPr>
              <w:t>Date this version of procedures approved:</w:t>
            </w:r>
          </w:p>
          <w:p w14:paraId="1B4A02F3" w14:textId="77777777" w:rsidR="00AF0CFD" w:rsidRDefault="00AF0CFD" w:rsidP="004A4DBA">
            <w:pPr>
              <w:pStyle w:val="Instructions"/>
            </w:pPr>
            <w:r>
              <w:t>If the document contains procedures, include the date that these were last updated.  Procedures are approved by the relevant Director.</w:t>
            </w:r>
          </w:p>
        </w:tc>
      </w:tr>
    </w:tbl>
    <w:p w14:paraId="558B9149" w14:textId="77777777" w:rsidR="00871E81" w:rsidRPr="00871E81" w:rsidRDefault="00871E81" w:rsidP="00871E81"/>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68"/>
        <w:gridCol w:w="4500"/>
      </w:tblGrid>
      <w:tr w:rsidR="00034AF1" w14:paraId="249DE97B" w14:textId="77777777" w:rsidTr="00B632F4">
        <w:tc>
          <w:tcPr>
            <w:tcW w:w="4068" w:type="dxa"/>
          </w:tcPr>
          <w:p w14:paraId="66516E11" w14:textId="77777777" w:rsidR="00212252" w:rsidRDefault="00212252" w:rsidP="00212252">
            <w:pPr>
              <w:pStyle w:val="Heading3"/>
            </w:pPr>
            <w:r>
              <w:t>TRIM File No:</w:t>
            </w:r>
          </w:p>
          <w:p w14:paraId="5CF87198" w14:textId="77777777" w:rsidR="00371AF8" w:rsidRPr="00371AF8" w:rsidRDefault="00607A2D" w:rsidP="00371AF8">
            <w:r>
              <w:t>F56995</w:t>
            </w:r>
          </w:p>
          <w:p w14:paraId="422AB1E1" w14:textId="77777777" w:rsidR="00212252" w:rsidRDefault="00212252" w:rsidP="004A4DBA">
            <w:pPr>
              <w:pStyle w:val="Instructions"/>
            </w:pPr>
            <w:r>
              <w:t>Insert the appropriate TRIM file number.  All policies must have a TRIM file</w:t>
            </w:r>
            <w:r w:rsidR="0095663E">
              <w:t xml:space="preserve"> for storing information relating to policy development and other related information</w:t>
            </w:r>
            <w:r>
              <w:t xml:space="preserve">.  </w:t>
            </w:r>
            <w:r w:rsidRPr="00212252">
              <w:rPr>
                <w:b/>
              </w:rPr>
              <w:t>Note</w:t>
            </w:r>
            <w:r>
              <w:t xml:space="preserve"> this is not the policy number.</w:t>
            </w:r>
            <w:r w:rsidR="0095663E">
              <w:t xml:space="preserve">  Apply for a TRIM file number at http:/intranet.uwa.edu.au/page/38742</w:t>
            </w:r>
          </w:p>
          <w:p w14:paraId="7AF6E086" w14:textId="77777777" w:rsidR="00034AF1" w:rsidRPr="006D4CC1" w:rsidRDefault="00034AF1" w:rsidP="00212252">
            <w:pPr>
              <w:rPr>
                <w:b/>
              </w:rPr>
            </w:pPr>
          </w:p>
        </w:tc>
        <w:tc>
          <w:tcPr>
            <w:tcW w:w="4500" w:type="dxa"/>
          </w:tcPr>
          <w:p w14:paraId="6C106213" w14:textId="77777777" w:rsidR="00034AF1" w:rsidRDefault="00034AF1" w:rsidP="00B84AA3">
            <w:pPr>
              <w:pStyle w:val="Heading3"/>
            </w:pPr>
            <w:r>
              <w:t>Contact position:</w:t>
            </w:r>
          </w:p>
          <w:p w14:paraId="4B8F543C" w14:textId="77777777" w:rsidR="00371AF8" w:rsidRPr="00371AF8" w:rsidRDefault="00371AF8" w:rsidP="00371AF8">
            <w:r>
              <w:t>Associate Director, Student Administration</w:t>
            </w:r>
          </w:p>
          <w:p w14:paraId="549F59D6" w14:textId="77777777" w:rsidR="00034AF1" w:rsidRPr="006D4CC1" w:rsidRDefault="00034AF1" w:rsidP="004A4DBA">
            <w:pPr>
              <w:pStyle w:val="Instructions"/>
            </w:pPr>
            <w:r w:rsidRPr="006D4CC1">
              <w:t xml:space="preserve">State </w:t>
            </w:r>
            <w:r w:rsidR="00871E81">
              <w:t xml:space="preserve">the name of the </w:t>
            </w:r>
            <w:r w:rsidRPr="006D4CC1">
              <w:t xml:space="preserve">position that is to be contacted for any queries regarding the policy, eg University Secretary. </w:t>
            </w:r>
            <w:r w:rsidR="00871E81">
              <w:rPr>
                <w:b/>
              </w:rPr>
              <w:t xml:space="preserve"> Note: </w:t>
            </w:r>
            <w:r w:rsidR="00871E81">
              <w:t>As this will link through to the University’s Contact Directory, the position name must be given exactly as it appears in that directory.</w:t>
            </w:r>
          </w:p>
          <w:p w14:paraId="004650FF" w14:textId="77777777" w:rsidR="00034AF1" w:rsidRDefault="00034AF1" w:rsidP="00B84AA3"/>
        </w:tc>
      </w:tr>
    </w:tbl>
    <w:p w14:paraId="5912D8EB" w14:textId="77777777" w:rsidR="00034AF1" w:rsidRDefault="00034AF1" w:rsidP="00B84AA3"/>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68"/>
      </w:tblGrid>
      <w:tr w:rsidR="00034AF1" w14:paraId="2DD041F0" w14:textId="77777777" w:rsidTr="00B632F4">
        <w:tc>
          <w:tcPr>
            <w:tcW w:w="8568" w:type="dxa"/>
          </w:tcPr>
          <w:p w14:paraId="4318914D" w14:textId="77777777" w:rsidR="0020703E" w:rsidRDefault="00034AF1" w:rsidP="0020703E">
            <w:pPr>
              <w:pStyle w:val="Heading3"/>
            </w:pPr>
            <w:r>
              <w:lastRenderedPageBreak/>
              <w:t>Related Policies or legislation:</w:t>
            </w:r>
          </w:p>
          <w:p w14:paraId="208B2053" w14:textId="77777777" w:rsidR="0020703E" w:rsidRDefault="00353B59" w:rsidP="0020703E">
            <w:hyperlink r:id="rId13" w:history="1">
              <w:r w:rsidR="0020703E" w:rsidRPr="0020703E">
                <w:rPr>
                  <w:rStyle w:val="Hyperlink"/>
                </w:rPr>
                <w:t>University Policy on Approved Leave</w:t>
              </w:r>
            </w:hyperlink>
          </w:p>
          <w:p w14:paraId="1463D278" w14:textId="77777777" w:rsidR="0020703E" w:rsidRDefault="00353B59" w:rsidP="0020703E">
            <w:hyperlink r:id="rId14" w:history="1">
              <w:r w:rsidR="0020703E" w:rsidRPr="0020703E">
                <w:rPr>
                  <w:rStyle w:val="Hyperlink"/>
                </w:rPr>
                <w:t>University Policy on Cross-institutional enrolment for students undertaking an award course at another institution in Australia</w:t>
              </w:r>
            </w:hyperlink>
          </w:p>
          <w:p w14:paraId="548DEF8D" w14:textId="77777777" w:rsidR="0020703E" w:rsidRDefault="00353B59" w:rsidP="0020703E">
            <w:hyperlink r:id="rId15" w:history="1">
              <w:r w:rsidR="0020703E" w:rsidRPr="0020703E">
                <w:rPr>
                  <w:rStyle w:val="Hyperlink"/>
                </w:rPr>
                <w:t>University Policy on Cross-Institutional enrolment for students undertaking an award course at The University of Western Australia</w:t>
              </w:r>
            </w:hyperlink>
          </w:p>
          <w:p w14:paraId="642BE9A2" w14:textId="77777777" w:rsidR="0020703E" w:rsidRDefault="00353B59" w:rsidP="0020703E">
            <w:hyperlink r:id="rId16" w:history="1">
              <w:r w:rsidR="0020703E" w:rsidRPr="0020703E">
                <w:rPr>
                  <w:rStyle w:val="Hyperlink"/>
                </w:rPr>
                <w:t>University Policy on Special Consideration</w:t>
              </w:r>
            </w:hyperlink>
          </w:p>
          <w:p w14:paraId="03AEDDE5" w14:textId="77777777" w:rsidR="0020703E" w:rsidRDefault="00353B59" w:rsidP="0020703E">
            <w:pPr>
              <w:rPr>
                <w:rStyle w:val="Hyperlink"/>
              </w:rPr>
            </w:pPr>
            <w:hyperlink r:id="rId17" w:history="1">
              <w:r w:rsidR="0020703E" w:rsidRPr="0020703E">
                <w:rPr>
                  <w:rStyle w:val="Hyperlink"/>
                </w:rPr>
                <w:t>University Policy on Withdrawal from a unit</w:t>
              </w:r>
            </w:hyperlink>
          </w:p>
          <w:p w14:paraId="66835F33" w14:textId="77777777" w:rsidR="00607A2D" w:rsidRDefault="00607A2D" w:rsidP="0020703E">
            <w:r>
              <w:rPr>
                <w:rStyle w:val="Hyperlink"/>
              </w:rPr>
              <w:t>University Policy on Fees: Setting, amending and monitoring tuition fees for domestic postgraduate students</w:t>
            </w:r>
          </w:p>
          <w:p w14:paraId="58E80C88" w14:textId="77777777" w:rsidR="0020703E" w:rsidRPr="0020703E" w:rsidRDefault="0020703E" w:rsidP="0020703E"/>
          <w:p w14:paraId="5935918D" w14:textId="77777777" w:rsidR="00034AF1" w:rsidRPr="001F73D0" w:rsidRDefault="00034AF1" w:rsidP="004A4DBA">
            <w:pPr>
              <w:pStyle w:val="Instructions"/>
            </w:pPr>
            <w:r w:rsidRPr="001F73D0">
              <w:t>Provide details</w:t>
            </w:r>
            <w:r w:rsidR="00C147C8">
              <w:t xml:space="preserve"> of, and, if appropriate, web links to, </w:t>
            </w:r>
            <w:r w:rsidRPr="001F73D0">
              <w:t>other policies</w:t>
            </w:r>
            <w:r w:rsidR="001F0916" w:rsidRPr="001F73D0">
              <w:t>,</w:t>
            </w:r>
            <w:r w:rsidRPr="001F73D0">
              <w:t xml:space="preserve"> legislation </w:t>
            </w:r>
            <w:r w:rsidR="001F0916" w:rsidRPr="001F73D0">
              <w:t>or committee resolutions that</w:t>
            </w:r>
            <w:r w:rsidRPr="001F73D0">
              <w:t xml:space="preserve"> relate to the subject of the policy, if known, eg Statute(s), University General Rule(s).  If unsure what these might be, try one or more of the following:</w:t>
            </w:r>
          </w:p>
          <w:p w14:paraId="771DA762" w14:textId="77777777" w:rsidR="00034AF1" w:rsidRPr="001F73D0" w:rsidRDefault="00034AF1" w:rsidP="004A4DBA">
            <w:pPr>
              <w:pStyle w:val="Instructions"/>
            </w:pPr>
            <w:r w:rsidRPr="001F73D0">
              <w:t xml:space="preserve">Conduct a search on TRIM. </w:t>
            </w:r>
          </w:p>
          <w:p w14:paraId="47AB60A6" w14:textId="77777777" w:rsidR="00034AF1" w:rsidRPr="001F73D0" w:rsidRDefault="00034AF1" w:rsidP="004A4DBA">
            <w:pPr>
              <w:pStyle w:val="Instructions"/>
            </w:pPr>
            <w:r w:rsidRPr="001F73D0">
              <w:t>Make an enquiry to Archives and Records.</w:t>
            </w:r>
          </w:p>
          <w:p w14:paraId="14A79880" w14:textId="77777777" w:rsidR="00CA0A75" w:rsidRDefault="00034AF1" w:rsidP="004A4DBA">
            <w:pPr>
              <w:pStyle w:val="Instructions"/>
            </w:pPr>
            <w:r w:rsidRPr="001F73D0">
              <w:t>Seek help from staff in the relevant section.</w:t>
            </w:r>
            <w:r w:rsidR="00C147C8">
              <w:t xml:space="preserve">  </w:t>
            </w:r>
          </w:p>
          <w:p w14:paraId="7C9211F4" w14:textId="77777777" w:rsidR="00C147C8" w:rsidRPr="00C147C8" w:rsidRDefault="00C147C8" w:rsidP="004A4DBA">
            <w:pPr>
              <w:pStyle w:val="Instructions"/>
            </w:pPr>
            <w:r>
              <w:t xml:space="preserve">If </w:t>
            </w:r>
            <w:r w:rsidR="00CA0A75">
              <w:t>related policies are</w:t>
            </w:r>
            <w:r>
              <w:t xml:space="preserve"> stored in University Policy format on the Univ</w:t>
            </w:r>
            <w:r w:rsidR="00CA0A75">
              <w:t>ersity Policies site</w:t>
            </w:r>
            <w:r>
              <w:t xml:space="preserve">, please provide the </w:t>
            </w:r>
            <w:r w:rsidR="00CA0A75">
              <w:t xml:space="preserve">relevant policy number(s).  </w:t>
            </w:r>
          </w:p>
          <w:p w14:paraId="0AC7CB55" w14:textId="77777777" w:rsidR="00034AF1" w:rsidRDefault="00034AF1" w:rsidP="00B84AA3"/>
        </w:tc>
      </w:tr>
    </w:tbl>
    <w:p w14:paraId="297E67A9" w14:textId="77777777" w:rsidR="00C34388" w:rsidRDefault="00C34388" w:rsidP="004A4DBA">
      <w:pPr>
        <w:pStyle w:val="Instructions"/>
      </w:pPr>
    </w:p>
    <w:p w14:paraId="715B7F34" w14:textId="77777777" w:rsidR="00EF5A04" w:rsidRDefault="00EF5A04" w:rsidP="004A4DBA">
      <w:pPr>
        <w:pStyle w:val="Instructions"/>
      </w:pPr>
      <w:r>
        <w:t>Switch off the instructions by clicking the hide/show button on your toolbar.</w:t>
      </w:r>
    </w:p>
    <w:p w14:paraId="5E2BF2A9" w14:textId="77777777" w:rsidR="00EF5A04" w:rsidRDefault="00EF5A04" w:rsidP="004A4DBA">
      <w:pPr>
        <w:pStyle w:val="Instructions"/>
      </w:pPr>
      <w:r>
        <w:t xml:space="preserve">Check the content of the document for clarity and accuracy. </w:t>
      </w:r>
    </w:p>
    <w:p w14:paraId="57093880" w14:textId="77777777" w:rsidR="00EF5A04" w:rsidRDefault="00EF5A04" w:rsidP="004A4DBA">
      <w:pPr>
        <w:pStyle w:val="Instructions"/>
      </w:pPr>
      <w:r>
        <w:t>Submit the document to the relevant position or body for approval.</w:t>
      </w:r>
    </w:p>
    <w:p w14:paraId="17C9710D" w14:textId="77777777" w:rsidR="00C34388" w:rsidRDefault="00EF5A04" w:rsidP="004A4DBA">
      <w:pPr>
        <w:pStyle w:val="Instructions"/>
      </w:pPr>
      <w:r>
        <w:t>When the d</w:t>
      </w:r>
      <w:r w:rsidR="00AF0CFD">
        <w:t xml:space="preserve">ocument is approved </w:t>
      </w:r>
      <w:r w:rsidR="002516B0">
        <w:t>-</w:t>
      </w:r>
    </w:p>
    <w:p w14:paraId="2602BE71" w14:textId="77777777" w:rsidR="00DD5999" w:rsidRDefault="002516B0" w:rsidP="004A4DBA">
      <w:pPr>
        <w:pStyle w:val="Instructions"/>
      </w:pPr>
      <w:r>
        <w:t xml:space="preserve">if the policy does not already have a University Policy number, </w:t>
      </w:r>
      <w:r w:rsidR="00C34388">
        <w:t xml:space="preserve">apply for </w:t>
      </w:r>
      <w:r>
        <w:t xml:space="preserve">one </w:t>
      </w:r>
      <w:r w:rsidR="00DD5999">
        <w:t xml:space="preserve">by completing the form at </w:t>
      </w:r>
      <w:hyperlink r:id="rId18" w:history="1">
        <w:r w:rsidR="00DD5999" w:rsidRPr="00BD7F55">
          <w:rPr>
            <w:rStyle w:val="Hyperlink"/>
          </w:rPr>
          <w:t>http://intranet.uwa.edu.au/archives/new_university_policy_number</w:t>
        </w:r>
      </w:hyperlink>
      <w:r w:rsidR="00DD5999">
        <w:t xml:space="preserve"> </w:t>
      </w:r>
      <w:r>
        <w:t>(Control and click to follow the link.)</w:t>
      </w:r>
    </w:p>
    <w:p w14:paraId="5250A9CD" w14:textId="77777777" w:rsidR="00C34388" w:rsidRDefault="00DD5999" w:rsidP="004A4DBA">
      <w:pPr>
        <w:pStyle w:val="Instructions"/>
      </w:pPr>
      <w:r>
        <w:t>include the University Policy number</w:t>
      </w:r>
      <w:r w:rsidR="00C34388">
        <w:t xml:space="preserve"> in the relevant table box i</w:t>
      </w:r>
      <w:r w:rsidR="002516B0">
        <w:t>n the template; and</w:t>
      </w:r>
    </w:p>
    <w:p w14:paraId="7B8EF283" w14:textId="77777777" w:rsidR="00B23DBB" w:rsidRDefault="00AF0CFD" w:rsidP="004A4DBA">
      <w:pPr>
        <w:pStyle w:val="Instructions"/>
      </w:pPr>
      <w:r>
        <w:t xml:space="preserve">complete the relevant approval date and any other </w:t>
      </w:r>
      <w:r w:rsidR="00C34388">
        <w:t xml:space="preserve">table </w:t>
      </w:r>
      <w:r>
        <w:t xml:space="preserve">boxes at </w:t>
      </w:r>
      <w:r w:rsidR="00B23DBB">
        <w:t xml:space="preserve">the end of the template </w:t>
      </w:r>
      <w:r>
        <w:t>that have not</w:t>
      </w:r>
      <w:r w:rsidR="00B23DBB">
        <w:t xml:space="preserve"> yet been completed.</w:t>
      </w:r>
    </w:p>
    <w:p w14:paraId="35FA9203" w14:textId="77777777" w:rsidR="00EF5A04" w:rsidRDefault="00B23DBB" w:rsidP="004A4DBA">
      <w:pPr>
        <w:pStyle w:val="Instructions"/>
      </w:pPr>
      <w:r>
        <w:t xml:space="preserve">Save the document </w:t>
      </w:r>
      <w:r w:rsidR="00AF0CFD">
        <w:t>in Filtered HTML</w:t>
      </w:r>
      <w:r w:rsidR="00EF5A04">
        <w:t xml:space="preserve"> format to a convenient location on your network drive (Go to File – Save As and select Web Page, Filtered from the drop-down list under the filename box.)</w:t>
      </w:r>
    </w:p>
    <w:p w14:paraId="68C051D5" w14:textId="77777777" w:rsidR="00EF5A04" w:rsidRDefault="00EF5A04" w:rsidP="004A4DBA">
      <w:pPr>
        <w:pStyle w:val="Instructions"/>
      </w:pPr>
      <w:r>
        <w:t>Apply the style-checker as follows:</w:t>
      </w:r>
    </w:p>
    <w:p w14:paraId="351042EE" w14:textId="77777777" w:rsidR="00EF5A04" w:rsidRDefault="00EF5A04" w:rsidP="004A4DBA">
      <w:pPr>
        <w:pStyle w:val="Instructions"/>
      </w:pPr>
      <w:r>
        <w:t xml:space="preserve">Go to the following URL </w:t>
      </w:r>
      <w:hyperlink r:id="rId19" w:history="1">
        <w:r>
          <w:rPr>
            <w:rStyle w:val="Hyperlink"/>
          </w:rPr>
          <w:t>http://www.admin.uwa.edu.au/policytidy</w:t>
        </w:r>
      </w:hyperlink>
      <w:r>
        <w:t xml:space="preserve"> (Control and click to follow the link.)</w:t>
      </w:r>
    </w:p>
    <w:p w14:paraId="4BE4632D" w14:textId="77777777" w:rsidR="00EF5A04" w:rsidRDefault="00EF5A04" w:rsidP="004A4DBA">
      <w:pPr>
        <w:pStyle w:val="Instructions"/>
      </w:pPr>
      <w:r>
        <w:t>Browse to find the policy document you have saved in Filtered HTML.</w:t>
      </w:r>
    </w:p>
    <w:p w14:paraId="13BD9077" w14:textId="77777777" w:rsidR="00EF5A04" w:rsidRDefault="00EF5A04" w:rsidP="004A4DBA">
      <w:pPr>
        <w:pStyle w:val="Instructions"/>
      </w:pPr>
      <w:r>
        <w:t>Hit “Submit” to bring up the preview of the converted document.</w:t>
      </w:r>
    </w:p>
    <w:p w14:paraId="6A5BD3E9" w14:textId="77777777" w:rsidR="00EF5A04" w:rsidRDefault="00AF0CFD" w:rsidP="004A4DBA">
      <w:pPr>
        <w:pStyle w:val="Instructions"/>
      </w:pPr>
      <w:r>
        <w:t>Check for e</w:t>
      </w:r>
      <w:r w:rsidR="00EF5A04">
        <w:t>rrata and mis-processed characters.</w:t>
      </w:r>
    </w:p>
    <w:p w14:paraId="5FDD71B3" w14:textId="77777777" w:rsidR="00EF5A04" w:rsidRDefault="00EF5A04" w:rsidP="004A4DBA">
      <w:pPr>
        <w:pStyle w:val="Instructions"/>
      </w:pPr>
      <w:r>
        <w:t>Once the document is correct, click on “Download Document” to download the document to the preferred folder on your network drive.</w:t>
      </w:r>
    </w:p>
    <w:p w14:paraId="4D5FDAFC" w14:textId="77777777" w:rsidR="00EF5A04" w:rsidRDefault="00EF5A04" w:rsidP="004A4DBA">
      <w:pPr>
        <w:pStyle w:val="Instructions"/>
      </w:pPr>
      <w:r>
        <w:t xml:space="preserve">Appropriate Director emails </w:t>
      </w:r>
      <w:r w:rsidR="00C34388">
        <w:t>(</w:t>
      </w:r>
      <w:hyperlink r:id="rId20" w:history="1">
        <w:r w:rsidR="00C34388" w:rsidRPr="00F054EC">
          <w:rPr>
            <w:rStyle w:val="Hyperlink"/>
          </w:rPr>
          <w:t>rorett@admin.uwa.edu.au</w:t>
        </w:r>
      </w:hyperlink>
      <w:r w:rsidR="00C34388">
        <w:t xml:space="preserve">) </w:t>
      </w:r>
      <w:r>
        <w:t>the policy to University Records for storing in TRIM and publishing on the University Policies website.</w:t>
      </w:r>
    </w:p>
    <w:p w14:paraId="7160D228" w14:textId="77777777" w:rsidR="00783C04" w:rsidRPr="00783C04" w:rsidRDefault="00783C04" w:rsidP="00783C04"/>
    <w:sectPr w:rsidR="00783C04" w:rsidRPr="00783C04">
      <w:footerReference w:type="default" r:id="rId2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8580A" w14:textId="77777777" w:rsidR="00CD46A6" w:rsidRDefault="00CD46A6">
      <w:r>
        <w:separator/>
      </w:r>
    </w:p>
  </w:endnote>
  <w:endnote w:type="continuationSeparator" w:id="0">
    <w:p w14:paraId="53EA0FB4" w14:textId="77777777" w:rsidR="00CD46A6" w:rsidRDefault="00CD4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2AA4" w14:textId="77777777" w:rsidR="00675426" w:rsidRPr="00A014E0" w:rsidRDefault="00675426">
    <w:pPr>
      <w:pStyle w:val="Footer"/>
      <w:rPr>
        <w:sz w:val="16"/>
        <w:szCs w:val="16"/>
      </w:rPr>
    </w:pPr>
    <w:r w:rsidRPr="00A014E0">
      <w:rPr>
        <w:sz w:val="16"/>
        <w:szCs w:val="16"/>
      </w:rPr>
      <w:tab/>
      <w:t xml:space="preserve">Page </w:t>
    </w:r>
    <w:r w:rsidRPr="00A014E0">
      <w:rPr>
        <w:sz w:val="16"/>
        <w:szCs w:val="16"/>
      </w:rPr>
      <w:fldChar w:fldCharType="begin"/>
    </w:r>
    <w:r w:rsidRPr="00A014E0">
      <w:rPr>
        <w:sz w:val="16"/>
        <w:szCs w:val="16"/>
      </w:rPr>
      <w:instrText xml:space="preserve"> PAGE </w:instrText>
    </w:r>
    <w:r w:rsidRPr="00A014E0">
      <w:rPr>
        <w:sz w:val="16"/>
        <w:szCs w:val="16"/>
      </w:rPr>
      <w:fldChar w:fldCharType="separate"/>
    </w:r>
    <w:r w:rsidR="00AC534E">
      <w:rPr>
        <w:noProof/>
        <w:sz w:val="16"/>
        <w:szCs w:val="16"/>
      </w:rPr>
      <w:t>2</w:t>
    </w:r>
    <w:r w:rsidRPr="00A014E0">
      <w:rPr>
        <w:sz w:val="16"/>
        <w:szCs w:val="16"/>
      </w:rPr>
      <w:fldChar w:fldCharType="end"/>
    </w:r>
    <w:r w:rsidRPr="00A014E0">
      <w:rPr>
        <w:sz w:val="16"/>
        <w:szCs w:val="16"/>
      </w:rPr>
      <w:t>/</w:t>
    </w:r>
    <w:r w:rsidRPr="00A014E0">
      <w:rPr>
        <w:rStyle w:val="PageNumber"/>
        <w:sz w:val="16"/>
        <w:szCs w:val="16"/>
      </w:rPr>
      <w:fldChar w:fldCharType="begin"/>
    </w:r>
    <w:r w:rsidRPr="00A014E0">
      <w:rPr>
        <w:rStyle w:val="PageNumber"/>
        <w:sz w:val="16"/>
        <w:szCs w:val="16"/>
      </w:rPr>
      <w:instrText xml:space="preserve"> NUMPAGES </w:instrText>
    </w:r>
    <w:r w:rsidRPr="00A014E0">
      <w:rPr>
        <w:rStyle w:val="PageNumber"/>
        <w:sz w:val="16"/>
        <w:szCs w:val="16"/>
      </w:rPr>
      <w:fldChar w:fldCharType="separate"/>
    </w:r>
    <w:r w:rsidR="00AC534E">
      <w:rPr>
        <w:rStyle w:val="PageNumber"/>
        <w:noProof/>
        <w:sz w:val="16"/>
        <w:szCs w:val="16"/>
      </w:rPr>
      <w:t>4</w:t>
    </w:r>
    <w:r w:rsidRPr="00A014E0">
      <w:rPr>
        <w:rStyle w:val="PageNumber"/>
        <w:sz w:val="16"/>
        <w:szCs w:val="16"/>
      </w:rPr>
      <w:fldChar w:fldCharType="end"/>
    </w:r>
    <w:r w:rsidRPr="00A014E0">
      <w:rPr>
        <w:sz w:val="16"/>
        <w:szCs w:val="16"/>
      </w:rPr>
      <w:tab/>
    </w:r>
    <w:r w:rsidRPr="00A014E0">
      <w:rPr>
        <w:sz w:val="16"/>
        <w:szCs w:val="16"/>
      </w:rPr>
      <w:fldChar w:fldCharType="begin"/>
    </w:r>
    <w:r w:rsidRPr="00A014E0">
      <w:rPr>
        <w:sz w:val="16"/>
        <w:szCs w:val="16"/>
      </w:rPr>
      <w:instrText xml:space="preserve"> PRINTDATE  \@ "d MMMM yyyy"  \* MERGEFORMAT </w:instrText>
    </w:r>
    <w:r w:rsidRPr="00A014E0">
      <w:rPr>
        <w:sz w:val="16"/>
        <w:szCs w:val="16"/>
      </w:rPr>
      <w:fldChar w:fldCharType="separate"/>
    </w:r>
    <w:r>
      <w:rPr>
        <w:noProof/>
        <w:sz w:val="16"/>
        <w:szCs w:val="16"/>
      </w:rPr>
      <w:t>20 July 2007</w:t>
    </w:r>
    <w:r w:rsidRPr="00A014E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4261C" w14:textId="77777777" w:rsidR="00CD46A6" w:rsidRDefault="00CD46A6">
      <w:r>
        <w:separator/>
      </w:r>
    </w:p>
  </w:footnote>
  <w:footnote w:type="continuationSeparator" w:id="0">
    <w:p w14:paraId="554FB3DC" w14:textId="77777777" w:rsidR="00CD46A6" w:rsidRDefault="00CD46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FF"/>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FFFFFFFF"/>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FFFFFFF"/>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FFFFFFF"/>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FFFFFFF"/>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FFFFFF"/>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FFFFFF"/>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FFFFFF"/>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FFFFFF"/>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FFFFFFFF"/>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16F17"/>
    <w:multiLevelType w:val="multilevel"/>
    <w:tmpl w:val="FFFFFFF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sz w:val="24"/>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1" w15:restartNumberingAfterBreak="0">
    <w:nsid w:val="03FB7272"/>
    <w:multiLevelType w:val="multilevel"/>
    <w:tmpl w:val="FFFFFFFF"/>
    <w:numStyleLink w:val="111111"/>
  </w:abstractNum>
  <w:abstractNum w:abstractNumId="12" w15:restartNumberingAfterBreak="0">
    <w:nsid w:val="06261404"/>
    <w:multiLevelType w:val="multilevel"/>
    <w:tmpl w:val="FFFFFFFF"/>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sz w:val="22"/>
      </w:rPr>
    </w:lvl>
    <w:lvl w:ilvl="3">
      <w:start w:val="1"/>
      <w:numFmt w:val="decimal"/>
      <w:lvlText w:val="1.%4.%1.1"/>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294"/>
        </w:tabs>
        <w:ind w:left="1294" w:hanging="1152"/>
      </w:pPr>
      <w:rPr>
        <w:rFonts w:cs="Times New Roman" w:hint="default"/>
      </w:rPr>
    </w:lvl>
    <w:lvl w:ilvl="6">
      <w:start w:val="1"/>
      <w:numFmt w:val="decimal"/>
      <w:lvlText w:val="%1.%2.%3.%4.%5.%6.%7"/>
      <w:lvlJc w:val="left"/>
      <w:pPr>
        <w:tabs>
          <w:tab w:val="num" w:pos="1296"/>
        </w:tabs>
        <w:ind w:left="1296" w:hanging="1296"/>
      </w:pPr>
      <w:rPr>
        <w:rFonts w:cs="Times New Roman" w:hint="default"/>
        <w:b w:val="0"/>
        <w:bCs w:val="0"/>
        <w:i w:val="0"/>
        <w:iCs w:val="0"/>
        <w:caps w:val="0"/>
        <w:smallCaps w:val="0"/>
        <w:strike w:val="0"/>
        <w:dstrike w:val="0"/>
        <w:vanish w:val="0"/>
        <w:color w:val="000000"/>
        <w:spacing w:val="0"/>
        <w:kern w:val="0"/>
        <w:position w:val="0"/>
        <w:u w:val="none"/>
        <w:vertAlign w:val="baseline"/>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15:restartNumberingAfterBreak="0">
    <w:nsid w:val="0F067AE3"/>
    <w:multiLevelType w:val="multilevel"/>
    <w:tmpl w:val="FFFFFFFF"/>
    <w:lvl w:ilvl="0">
      <w:start w:val="1"/>
      <w:numFmt w:val="decimal"/>
      <w:lvlText w:val="%1"/>
      <w:lvlJc w:val="left"/>
      <w:pPr>
        <w:tabs>
          <w:tab w:val="num" w:pos="1296"/>
        </w:tabs>
        <w:ind w:firstLine="864"/>
      </w:pPr>
      <w:rPr>
        <w:rFonts w:cs="Times New Roman" w:hint="default"/>
      </w:rPr>
    </w:lvl>
    <w:lvl w:ilvl="1">
      <w:start w:val="1"/>
      <w:numFmt w:val="decimal"/>
      <w:lvlText w:val="%1.%2"/>
      <w:lvlJc w:val="left"/>
      <w:pPr>
        <w:tabs>
          <w:tab w:val="num" w:pos="1440"/>
        </w:tabs>
        <w:ind w:firstLine="864"/>
      </w:pPr>
      <w:rPr>
        <w:rFonts w:cs="Times New Roman" w:hint="default"/>
      </w:rPr>
    </w:lvl>
    <w:lvl w:ilvl="2">
      <w:start w:val="1"/>
      <w:numFmt w:val="decimal"/>
      <w:lvlText w:val="%1.%2.%3"/>
      <w:lvlJc w:val="left"/>
      <w:pPr>
        <w:tabs>
          <w:tab w:val="num" w:pos="1584"/>
        </w:tabs>
        <w:ind w:firstLine="864"/>
      </w:pPr>
      <w:rPr>
        <w:rFonts w:cs="Times New Roman" w:hint="default"/>
        <w:sz w:val="22"/>
      </w:rPr>
    </w:lvl>
    <w:lvl w:ilvl="3">
      <w:start w:val="1"/>
      <w:numFmt w:val="decimal"/>
      <w:lvlText w:val="1.%4.%1.1"/>
      <w:lvlJc w:val="left"/>
      <w:pPr>
        <w:tabs>
          <w:tab w:val="num" w:pos="1728"/>
        </w:tabs>
        <w:ind w:left="1728" w:hanging="864"/>
      </w:pPr>
      <w:rPr>
        <w:rFonts w:cs="Times New Roman" w:hint="default"/>
      </w:rPr>
    </w:lvl>
    <w:lvl w:ilvl="4">
      <w:start w:val="1"/>
      <w:numFmt w:val="decimal"/>
      <w:lvlText w:val="%1.%2.%3.%4.%5"/>
      <w:lvlJc w:val="left"/>
      <w:pPr>
        <w:tabs>
          <w:tab w:val="num" w:pos="1872"/>
        </w:tabs>
        <w:ind w:left="1872" w:hanging="1008"/>
      </w:pPr>
      <w:rPr>
        <w:rFonts w:cs="Times New Roman" w:hint="default"/>
      </w:rPr>
    </w:lvl>
    <w:lvl w:ilvl="5">
      <w:start w:val="1"/>
      <w:numFmt w:val="decimal"/>
      <w:lvlText w:val="%1.%2.%3.%4.%5.%6"/>
      <w:lvlJc w:val="left"/>
      <w:pPr>
        <w:tabs>
          <w:tab w:val="num" w:pos="2158"/>
        </w:tabs>
        <w:ind w:left="2158" w:hanging="1152"/>
      </w:pPr>
      <w:rPr>
        <w:rFonts w:cs="Times New Roman" w:hint="default"/>
      </w:rPr>
    </w:lvl>
    <w:lvl w:ilvl="6">
      <w:start w:val="1"/>
      <w:numFmt w:val="decimal"/>
      <w:lvlText w:val="%1.%2.%3.%4.%5.%6.%7"/>
      <w:lvlJc w:val="left"/>
      <w:pPr>
        <w:tabs>
          <w:tab w:val="num" w:pos="2160"/>
        </w:tabs>
        <w:ind w:left="2160" w:hanging="1296"/>
      </w:pPr>
      <w:rPr>
        <w:rFonts w:cs="Times New Roman" w:hint="default"/>
        <w:b w:val="0"/>
        <w:bCs w:val="0"/>
        <w:i w:val="0"/>
        <w:iCs w:val="0"/>
        <w:caps w:val="0"/>
        <w:smallCaps w:val="0"/>
        <w:strike w:val="0"/>
        <w:dstrike w:val="0"/>
        <w:vanish w:val="0"/>
        <w:color w:val="000000"/>
        <w:spacing w:val="0"/>
        <w:kern w:val="0"/>
        <w:position w:val="0"/>
        <w:u w:val="none"/>
        <w:vertAlign w:val="baseline"/>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14" w15:restartNumberingAfterBreak="0">
    <w:nsid w:val="11EA610B"/>
    <w:multiLevelType w:val="multilevel"/>
    <w:tmpl w:val="FFFFFFFF"/>
    <w:lvl w:ilvl="0">
      <w:start w:val="1"/>
      <w:numFmt w:val="decimal"/>
      <w:lvlText w:val="%1"/>
      <w:lvlJc w:val="left"/>
      <w:pPr>
        <w:tabs>
          <w:tab w:val="num" w:pos="1296"/>
        </w:tabs>
        <w:ind w:left="1296" w:hanging="432"/>
      </w:pPr>
      <w:rPr>
        <w:rFonts w:cs="Times New Roman" w:hint="default"/>
      </w:rPr>
    </w:lvl>
    <w:lvl w:ilvl="1">
      <w:start w:val="1"/>
      <w:numFmt w:val="decimal"/>
      <w:lvlText w:val="%1.%2"/>
      <w:lvlJc w:val="left"/>
      <w:pPr>
        <w:tabs>
          <w:tab w:val="num" w:pos="1440"/>
        </w:tabs>
        <w:ind w:left="1440" w:hanging="576"/>
      </w:pPr>
      <w:rPr>
        <w:rFonts w:cs="Times New Roman" w:hint="default"/>
      </w:rPr>
    </w:lvl>
    <w:lvl w:ilvl="2">
      <w:start w:val="1"/>
      <w:numFmt w:val="decimal"/>
      <w:lvlText w:val="%1.%2.%3"/>
      <w:lvlJc w:val="left"/>
      <w:pPr>
        <w:tabs>
          <w:tab w:val="num" w:pos="1584"/>
        </w:tabs>
        <w:ind w:left="1584" w:hanging="720"/>
      </w:pPr>
      <w:rPr>
        <w:rFonts w:cs="Times New Roman" w:hint="default"/>
        <w:sz w:val="22"/>
      </w:rPr>
    </w:lvl>
    <w:lvl w:ilvl="3">
      <w:start w:val="1"/>
      <w:numFmt w:val="decimal"/>
      <w:lvlText w:val="1.%4.%1.1"/>
      <w:lvlJc w:val="left"/>
      <w:pPr>
        <w:tabs>
          <w:tab w:val="num" w:pos="1728"/>
        </w:tabs>
        <w:ind w:left="1728" w:hanging="864"/>
      </w:pPr>
      <w:rPr>
        <w:rFonts w:cs="Times New Roman" w:hint="default"/>
      </w:rPr>
    </w:lvl>
    <w:lvl w:ilvl="4">
      <w:start w:val="1"/>
      <w:numFmt w:val="decimal"/>
      <w:lvlText w:val="%1.%2.%3.%4.%5"/>
      <w:lvlJc w:val="left"/>
      <w:pPr>
        <w:tabs>
          <w:tab w:val="num" w:pos="1872"/>
        </w:tabs>
        <w:ind w:left="1872" w:hanging="1008"/>
      </w:pPr>
      <w:rPr>
        <w:rFonts w:cs="Times New Roman" w:hint="default"/>
      </w:rPr>
    </w:lvl>
    <w:lvl w:ilvl="5">
      <w:start w:val="1"/>
      <w:numFmt w:val="decimal"/>
      <w:lvlText w:val="%1.%2.%3.%4.%5.%6"/>
      <w:lvlJc w:val="left"/>
      <w:pPr>
        <w:tabs>
          <w:tab w:val="num" w:pos="2158"/>
        </w:tabs>
        <w:ind w:left="2158" w:hanging="1152"/>
      </w:pPr>
      <w:rPr>
        <w:rFonts w:cs="Times New Roman" w:hint="default"/>
      </w:rPr>
    </w:lvl>
    <w:lvl w:ilvl="6">
      <w:start w:val="1"/>
      <w:numFmt w:val="decimal"/>
      <w:lvlText w:val="%1.%2.%3.%4.%5.%6.%7"/>
      <w:lvlJc w:val="left"/>
      <w:pPr>
        <w:tabs>
          <w:tab w:val="num" w:pos="2160"/>
        </w:tabs>
        <w:ind w:left="2160" w:hanging="1296"/>
      </w:pPr>
      <w:rPr>
        <w:rFonts w:cs="Times New Roman" w:hint="default"/>
        <w:b w:val="0"/>
        <w:bCs w:val="0"/>
        <w:i w:val="0"/>
        <w:iCs w:val="0"/>
        <w:caps w:val="0"/>
        <w:smallCaps w:val="0"/>
        <w:strike w:val="0"/>
        <w:dstrike w:val="0"/>
        <w:vanish w:val="0"/>
        <w:color w:val="000000"/>
        <w:spacing w:val="0"/>
        <w:kern w:val="0"/>
        <w:position w:val="0"/>
        <w:u w:val="none"/>
        <w:vertAlign w:val="baseline"/>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15" w15:restartNumberingAfterBreak="0">
    <w:nsid w:val="12992EC6"/>
    <w:multiLevelType w:val="multilevel"/>
    <w:tmpl w:val="FFFFFFFF"/>
    <w:numStyleLink w:val="111111"/>
  </w:abstractNum>
  <w:abstractNum w:abstractNumId="16" w15:restartNumberingAfterBreak="0">
    <w:nsid w:val="2137724B"/>
    <w:multiLevelType w:val="multilevel"/>
    <w:tmpl w:val="FFFFFFFF"/>
    <w:lvl w:ilvl="0">
      <w:start w:val="1"/>
      <w:numFmt w:val="decimal"/>
      <w:lvlText w:val="%1"/>
      <w:lvlJc w:val="left"/>
      <w:pPr>
        <w:tabs>
          <w:tab w:val="num" w:pos="1296"/>
        </w:tabs>
        <w:ind w:left="1296" w:hanging="432"/>
      </w:pPr>
      <w:rPr>
        <w:rFonts w:cs="Times New Roman" w:hint="default"/>
      </w:rPr>
    </w:lvl>
    <w:lvl w:ilvl="1">
      <w:start w:val="1"/>
      <w:numFmt w:val="decimal"/>
      <w:lvlText w:val="%1.%2"/>
      <w:lvlJc w:val="left"/>
      <w:pPr>
        <w:tabs>
          <w:tab w:val="num" w:pos="1440"/>
        </w:tabs>
        <w:ind w:left="1440" w:hanging="576"/>
      </w:pPr>
      <w:rPr>
        <w:rFonts w:cs="Times New Roman" w:hint="default"/>
      </w:rPr>
    </w:lvl>
    <w:lvl w:ilvl="2">
      <w:start w:val="1"/>
      <w:numFmt w:val="decimal"/>
      <w:lvlText w:val="%1.%2.%3"/>
      <w:lvlJc w:val="left"/>
      <w:pPr>
        <w:tabs>
          <w:tab w:val="num" w:pos="1584"/>
        </w:tabs>
        <w:ind w:left="1584" w:hanging="720"/>
      </w:pPr>
      <w:rPr>
        <w:rFonts w:cs="Times New Roman" w:hint="default"/>
        <w:sz w:val="22"/>
      </w:rPr>
    </w:lvl>
    <w:lvl w:ilvl="3">
      <w:start w:val="1"/>
      <w:numFmt w:val="decimal"/>
      <w:lvlText w:val="1.%4.%1.1"/>
      <w:lvlJc w:val="left"/>
      <w:pPr>
        <w:tabs>
          <w:tab w:val="num" w:pos="1728"/>
        </w:tabs>
        <w:ind w:left="1728" w:hanging="864"/>
      </w:pPr>
      <w:rPr>
        <w:rFonts w:cs="Times New Roman" w:hint="default"/>
      </w:rPr>
    </w:lvl>
    <w:lvl w:ilvl="4">
      <w:start w:val="1"/>
      <w:numFmt w:val="decimal"/>
      <w:lvlText w:val="%1.%2.%3.%4.%5"/>
      <w:lvlJc w:val="left"/>
      <w:pPr>
        <w:tabs>
          <w:tab w:val="num" w:pos="1872"/>
        </w:tabs>
        <w:ind w:left="1872" w:hanging="1008"/>
      </w:pPr>
      <w:rPr>
        <w:rFonts w:cs="Times New Roman" w:hint="default"/>
      </w:rPr>
    </w:lvl>
    <w:lvl w:ilvl="5">
      <w:start w:val="1"/>
      <w:numFmt w:val="decimal"/>
      <w:lvlText w:val="%1.%2.%3.%4.%5.%6"/>
      <w:lvlJc w:val="left"/>
      <w:pPr>
        <w:tabs>
          <w:tab w:val="num" w:pos="2158"/>
        </w:tabs>
        <w:ind w:left="2158" w:hanging="1152"/>
      </w:pPr>
      <w:rPr>
        <w:rFonts w:cs="Times New Roman" w:hint="default"/>
      </w:rPr>
    </w:lvl>
    <w:lvl w:ilvl="6">
      <w:start w:val="1"/>
      <w:numFmt w:val="decimal"/>
      <w:lvlText w:val="%1.%2.%3.%4.%5.%6.%7"/>
      <w:lvlJc w:val="left"/>
      <w:pPr>
        <w:tabs>
          <w:tab w:val="num" w:pos="2160"/>
        </w:tabs>
        <w:ind w:left="2160" w:hanging="1296"/>
      </w:pPr>
      <w:rPr>
        <w:rFonts w:cs="Times New Roman" w:hint="default"/>
        <w:b w:val="0"/>
        <w:bCs w:val="0"/>
        <w:i w:val="0"/>
        <w:iCs w:val="0"/>
        <w:caps w:val="0"/>
        <w:smallCaps w:val="0"/>
        <w:strike w:val="0"/>
        <w:dstrike w:val="0"/>
        <w:vanish w:val="0"/>
        <w:color w:val="000000"/>
        <w:spacing w:val="0"/>
        <w:kern w:val="0"/>
        <w:position w:val="0"/>
        <w:u w:val="none"/>
        <w:vertAlign w:val="baseline"/>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17" w15:restartNumberingAfterBreak="0">
    <w:nsid w:val="2834180E"/>
    <w:multiLevelType w:val="hybridMultilevel"/>
    <w:tmpl w:val="FFFFFFFF"/>
    <w:lvl w:ilvl="0" w:tplc="0C09000F">
      <w:start w:val="1"/>
      <w:numFmt w:val="decimal"/>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9915792"/>
    <w:multiLevelType w:val="multilevel"/>
    <w:tmpl w:val="FFFFFFFF"/>
    <w:numStyleLink w:val="111111"/>
  </w:abstractNum>
  <w:abstractNum w:abstractNumId="19" w15:restartNumberingAfterBreak="0">
    <w:nsid w:val="2ABF0F6D"/>
    <w:multiLevelType w:val="multilevel"/>
    <w:tmpl w:val="FFFFFFF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0" w15:restartNumberingAfterBreak="0">
    <w:nsid w:val="2CD47228"/>
    <w:multiLevelType w:val="multilevel"/>
    <w:tmpl w:val="FFFFFFFF"/>
    <w:numStyleLink w:val="111111"/>
  </w:abstractNum>
  <w:abstractNum w:abstractNumId="21" w15:restartNumberingAfterBreak="0">
    <w:nsid w:val="2D636FBB"/>
    <w:multiLevelType w:val="multilevel"/>
    <w:tmpl w:val="FFFFFFFF"/>
    <w:numStyleLink w:val="111111"/>
  </w:abstractNum>
  <w:abstractNum w:abstractNumId="22" w15:restartNumberingAfterBreak="0">
    <w:nsid w:val="2F797482"/>
    <w:multiLevelType w:val="multilevel"/>
    <w:tmpl w:val="FFFFFFFF"/>
    <w:numStyleLink w:val="111111"/>
  </w:abstractNum>
  <w:abstractNum w:abstractNumId="23" w15:restartNumberingAfterBreak="0">
    <w:nsid w:val="2F8F4A39"/>
    <w:multiLevelType w:val="multilevel"/>
    <w:tmpl w:val="FFFFFFFF"/>
    <w:numStyleLink w:val="111111"/>
  </w:abstractNum>
  <w:abstractNum w:abstractNumId="24" w15:restartNumberingAfterBreak="0">
    <w:nsid w:val="3009018D"/>
    <w:multiLevelType w:val="multilevel"/>
    <w:tmpl w:val="FFFFFFFF"/>
    <w:numStyleLink w:val="111111"/>
  </w:abstractNum>
  <w:abstractNum w:abstractNumId="25" w15:restartNumberingAfterBreak="0">
    <w:nsid w:val="30347A1C"/>
    <w:multiLevelType w:val="multilevel"/>
    <w:tmpl w:val="FFFFFFFF"/>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6" w15:restartNumberingAfterBreak="0">
    <w:nsid w:val="32906F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5A95782"/>
    <w:multiLevelType w:val="multilevel"/>
    <w:tmpl w:val="FFFFFFFF"/>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sz w:val="22"/>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294"/>
        </w:tabs>
        <w:ind w:left="1294" w:hanging="1152"/>
      </w:pPr>
      <w:rPr>
        <w:rFonts w:cs="Times New Roman" w:hint="default"/>
      </w:rPr>
    </w:lvl>
    <w:lvl w:ilvl="6">
      <w:start w:val="1"/>
      <w:numFmt w:val="decimal"/>
      <w:lvlText w:val="%1.%2.%3.%4.%5.%6.%7"/>
      <w:lvlJc w:val="left"/>
      <w:pPr>
        <w:tabs>
          <w:tab w:val="num" w:pos="1296"/>
        </w:tabs>
        <w:ind w:left="1296" w:hanging="1296"/>
      </w:pPr>
      <w:rPr>
        <w:rFonts w:cs="Times New Roman" w:hint="default"/>
        <w:b w:val="0"/>
        <w:bCs w:val="0"/>
        <w:i w:val="0"/>
        <w:iCs w:val="0"/>
        <w:caps w:val="0"/>
        <w:smallCaps w:val="0"/>
        <w:strike w:val="0"/>
        <w:dstrike w:val="0"/>
        <w:vanish w:val="0"/>
        <w:color w:val="000000"/>
        <w:spacing w:val="0"/>
        <w:kern w:val="0"/>
        <w:position w:val="0"/>
        <w:u w:val="none"/>
        <w:vertAlign w:val="baseline"/>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15:restartNumberingAfterBreak="0">
    <w:nsid w:val="36580426"/>
    <w:multiLevelType w:val="multilevel"/>
    <w:tmpl w:val="FFFFFFFF"/>
    <w:numStyleLink w:val="111111"/>
  </w:abstractNum>
  <w:abstractNum w:abstractNumId="29" w15:restartNumberingAfterBreak="0">
    <w:nsid w:val="3674308F"/>
    <w:multiLevelType w:val="multilevel"/>
    <w:tmpl w:val="FFFFFFFF"/>
    <w:numStyleLink w:val="111111"/>
  </w:abstractNum>
  <w:abstractNum w:abstractNumId="30" w15:restartNumberingAfterBreak="0">
    <w:nsid w:val="3B7D675D"/>
    <w:multiLevelType w:val="multilevel"/>
    <w:tmpl w:val="FFFFFFFF"/>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1" w15:restartNumberingAfterBreak="0">
    <w:nsid w:val="3DBC21B1"/>
    <w:multiLevelType w:val="multilevel"/>
    <w:tmpl w:val="FFFFFFFF"/>
    <w:numStyleLink w:val="111111"/>
  </w:abstractNum>
  <w:abstractNum w:abstractNumId="32" w15:restartNumberingAfterBreak="0">
    <w:nsid w:val="4D5F7C5A"/>
    <w:multiLevelType w:val="hybridMultilevel"/>
    <w:tmpl w:val="FFFFFFFF"/>
    <w:lvl w:ilvl="0" w:tplc="E5242AC4">
      <w:start w:val="1"/>
      <w:numFmt w:val="decimal"/>
      <w:lvlText w:val="%1."/>
      <w:lvlJc w:val="left"/>
      <w:pPr>
        <w:tabs>
          <w:tab w:val="num" w:pos="720"/>
        </w:tabs>
        <w:ind w:left="720" w:hanging="360"/>
      </w:pPr>
      <w:rPr>
        <w:rFonts w:cs="Times New Roman"/>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4DDD49EC"/>
    <w:multiLevelType w:val="multilevel"/>
    <w:tmpl w:val="FFFFFFFF"/>
    <w:numStyleLink w:val="111111"/>
  </w:abstractNum>
  <w:abstractNum w:abstractNumId="34" w15:restartNumberingAfterBreak="0">
    <w:nsid w:val="537214E7"/>
    <w:multiLevelType w:val="multilevel"/>
    <w:tmpl w:val="FFFFFFFF"/>
    <w:lvl w:ilvl="0">
      <w:start w:val="1"/>
      <w:numFmt w:val="decimal"/>
      <w:pStyle w:val="Heading4"/>
      <w:lvlText w:val="%1"/>
      <w:lvlJc w:val="left"/>
      <w:pPr>
        <w:tabs>
          <w:tab w:val="num" w:pos="432"/>
        </w:tabs>
        <w:ind w:left="432" w:hanging="432"/>
      </w:pPr>
      <w:rPr>
        <w:rFonts w:cs="Times New Roman" w:hint="default"/>
      </w:rPr>
    </w:lvl>
    <w:lvl w:ilvl="1">
      <w:start w:val="1"/>
      <w:numFmt w:val="decimal"/>
      <w:pStyle w:val="Style1"/>
      <w:lvlText w:val="%1.%2"/>
      <w:lvlJc w:val="left"/>
      <w:pPr>
        <w:tabs>
          <w:tab w:val="num" w:pos="576"/>
        </w:tabs>
        <w:ind w:left="576" w:hanging="576"/>
      </w:pPr>
      <w:rPr>
        <w:rFonts w:cs="Times New Roman" w:hint="default"/>
      </w:rPr>
    </w:lvl>
    <w:lvl w:ilvl="2">
      <w:start w:val="1"/>
      <w:numFmt w:val="decimal"/>
      <w:pStyle w:val="Style2"/>
      <w:lvlText w:val="%1.%2.%3"/>
      <w:lvlJc w:val="left"/>
      <w:pPr>
        <w:tabs>
          <w:tab w:val="num" w:pos="720"/>
        </w:tabs>
        <w:ind w:left="720" w:hanging="720"/>
      </w:pPr>
      <w:rPr>
        <w:rFonts w:cs="Times New Roman" w:hint="default"/>
        <w:sz w:val="22"/>
      </w:rPr>
    </w:lvl>
    <w:lvl w:ilvl="3">
      <w:start w:val="1"/>
      <w:numFmt w:val="decimal"/>
      <w:pStyle w:val="Style3"/>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294"/>
        </w:tabs>
        <w:ind w:left="1294" w:hanging="1152"/>
      </w:pPr>
      <w:rPr>
        <w:rFonts w:cs="Times New Roman" w:hint="default"/>
      </w:rPr>
    </w:lvl>
    <w:lvl w:ilvl="6">
      <w:start w:val="1"/>
      <w:numFmt w:val="decimal"/>
      <w:lvlText w:val="%1.%2.%3.%4.%5.%6.%7"/>
      <w:lvlJc w:val="left"/>
      <w:pPr>
        <w:tabs>
          <w:tab w:val="num" w:pos="1296"/>
        </w:tabs>
        <w:ind w:left="1296" w:hanging="1296"/>
      </w:pPr>
      <w:rPr>
        <w:rFonts w:cs="Times New Roman" w:hint="default"/>
        <w:i w:val="0"/>
        <w:iCs w:val="0"/>
        <w:caps w:val="0"/>
        <w:smallCaps w:val="0"/>
        <w:strike w:val="0"/>
        <w:dstrike w:val="0"/>
        <w:vanish w:val="0"/>
        <w:color w:val="000000"/>
        <w:spacing w:val="0"/>
        <w:position w:val="0"/>
        <w:u w:val="none"/>
        <w:vertAlign w:val="baseline"/>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5" w15:restartNumberingAfterBreak="0">
    <w:nsid w:val="5D513ABA"/>
    <w:multiLevelType w:val="multilevel"/>
    <w:tmpl w:val="FFFFFFFF"/>
    <w:numStyleLink w:val="111111"/>
  </w:abstractNum>
  <w:abstractNum w:abstractNumId="36" w15:restartNumberingAfterBreak="0">
    <w:nsid w:val="60B665C1"/>
    <w:multiLevelType w:val="multilevel"/>
    <w:tmpl w:val="FFFFFFFF"/>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7" w15:restartNumberingAfterBreak="0">
    <w:nsid w:val="639F15E2"/>
    <w:multiLevelType w:val="multilevel"/>
    <w:tmpl w:val="FFFFFFFF"/>
    <w:numStyleLink w:val="111111"/>
  </w:abstractNum>
  <w:num w:numId="1" w16cid:durableId="1463038402">
    <w:abstractNumId w:val="9"/>
  </w:num>
  <w:num w:numId="2" w16cid:durableId="1372993369">
    <w:abstractNumId w:val="9"/>
  </w:num>
  <w:num w:numId="3" w16cid:durableId="196896221">
    <w:abstractNumId w:val="7"/>
  </w:num>
  <w:num w:numId="4" w16cid:durableId="589896802">
    <w:abstractNumId w:val="6"/>
  </w:num>
  <w:num w:numId="5" w16cid:durableId="325592681">
    <w:abstractNumId w:val="5"/>
  </w:num>
  <w:num w:numId="6" w16cid:durableId="965354958">
    <w:abstractNumId w:val="4"/>
  </w:num>
  <w:num w:numId="7" w16cid:durableId="431970410">
    <w:abstractNumId w:val="8"/>
  </w:num>
  <w:num w:numId="8" w16cid:durableId="657618377">
    <w:abstractNumId w:val="3"/>
  </w:num>
  <w:num w:numId="9" w16cid:durableId="1657144644">
    <w:abstractNumId w:val="2"/>
  </w:num>
  <w:num w:numId="10" w16cid:durableId="861750441">
    <w:abstractNumId w:val="1"/>
  </w:num>
  <w:num w:numId="11" w16cid:durableId="1472558754">
    <w:abstractNumId w:val="0"/>
  </w:num>
  <w:num w:numId="12" w16cid:durableId="1889755598">
    <w:abstractNumId w:val="19"/>
  </w:num>
  <w:num w:numId="13" w16cid:durableId="1469055079">
    <w:abstractNumId w:val="23"/>
  </w:num>
  <w:num w:numId="14" w16cid:durableId="324164598">
    <w:abstractNumId w:val="15"/>
  </w:num>
  <w:num w:numId="15" w16cid:durableId="1110396625">
    <w:abstractNumId w:val="17"/>
  </w:num>
  <w:num w:numId="16" w16cid:durableId="2037386281">
    <w:abstractNumId w:val="25"/>
  </w:num>
  <w:num w:numId="17" w16cid:durableId="531655609">
    <w:abstractNumId w:val="10"/>
  </w:num>
  <w:num w:numId="18" w16cid:durableId="1697581196">
    <w:abstractNumId w:val="21"/>
  </w:num>
  <w:num w:numId="19" w16cid:durableId="250286306">
    <w:abstractNumId w:val="22"/>
  </w:num>
  <w:num w:numId="20" w16cid:durableId="1828206217">
    <w:abstractNumId w:val="35"/>
  </w:num>
  <w:num w:numId="21" w16cid:durableId="1367215772">
    <w:abstractNumId w:val="18"/>
  </w:num>
  <w:num w:numId="22" w16cid:durableId="882861269">
    <w:abstractNumId w:val="28"/>
  </w:num>
  <w:num w:numId="23" w16cid:durableId="19596702">
    <w:abstractNumId w:val="24"/>
  </w:num>
  <w:num w:numId="24" w16cid:durableId="851652825">
    <w:abstractNumId w:val="31"/>
  </w:num>
  <w:num w:numId="25" w16cid:durableId="694766112">
    <w:abstractNumId w:val="20"/>
  </w:num>
  <w:num w:numId="26" w16cid:durableId="1810786848">
    <w:abstractNumId w:val="29"/>
  </w:num>
  <w:num w:numId="27" w16cid:durableId="210921428">
    <w:abstractNumId w:val="32"/>
  </w:num>
  <w:num w:numId="28" w16cid:durableId="2053341024">
    <w:abstractNumId w:val="27"/>
  </w:num>
  <w:num w:numId="29" w16cid:durableId="1479030015">
    <w:abstractNumId w:val="30"/>
  </w:num>
  <w:num w:numId="30" w16cid:durableId="1654945612">
    <w:abstractNumId w:val="36"/>
  </w:num>
  <w:num w:numId="31" w16cid:durableId="32385046">
    <w:abstractNumId w:val="33"/>
  </w:num>
  <w:num w:numId="32" w16cid:durableId="100150432">
    <w:abstractNumId w:val="37"/>
  </w:num>
  <w:num w:numId="33" w16cid:durableId="577598764">
    <w:abstractNumId w:val="11"/>
  </w:num>
  <w:num w:numId="34" w16cid:durableId="1647976111">
    <w:abstractNumId w:val="12"/>
  </w:num>
  <w:num w:numId="35" w16cid:durableId="1256209716">
    <w:abstractNumId w:val="14"/>
  </w:num>
  <w:num w:numId="36" w16cid:durableId="728653259">
    <w:abstractNumId w:val="16"/>
  </w:num>
  <w:num w:numId="37" w16cid:durableId="4863869">
    <w:abstractNumId w:val="13"/>
  </w:num>
  <w:num w:numId="38" w16cid:durableId="1837762544">
    <w:abstractNumId w:val="34"/>
  </w:num>
  <w:num w:numId="39" w16cid:durableId="581372440">
    <w:abstractNumId w:val="34"/>
  </w:num>
  <w:num w:numId="40" w16cid:durableId="2073843144">
    <w:abstractNumId w:val="34"/>
  </w:num>
  <w:num w:numId="41" w16cid:durableId="427626345">
    <w:abstractNumId w:val="34"/>
  </w:num>
  <w:num w:numId="42" w16cid:durableId="1581676543">
    <w:abstractNumId w:val="34"/>
  </w:num>
  <w:num w:numId="43" w16cid:durableId="1280603798">
    <w:abstractNumId w:val="34"/>
  </w:num>
  <w:num w:numId="44" w16cid:durableId="982737926">
    <w:abstractNumId w:val="34"/>
  </w:num>
  <w:num w:numId="45" w16cid:durableId="124795615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ocumentProtection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31C12"/>
    <w:rsid w:val="00005723"/>
    <w:rsid w:val="00011643"/>
    <w:rsid w:val="0001532C"/>
    <w:rsid w:val="0002789F"/>
    <w:rsid w:val="00030B4E"/>
    <w:rsid w:val="00034A56"/>
    <w:rsid w:val="00034AF1"/>
    <w:rsid w:val="000557D5"/>
    <w:rsid w:val="00072C73"/>
    <w:rsid w:val="00090045"/>
    <w:rsid w:val="000926BC"/>
    <w:rsid w:val="000A4962"/>
    <w:rsid w:val="000C7D3F"/>
    <w:rsid w:val="000D4591"/>
    <w:rsid w:val="000F1413"/>
    <w:rsid w:val="000F6E62"/>
    <w:rsid w:val="0011169C"/>
    <w:rsid w:val="001172AA"/>
    <w:rsid w:val="00141F2F"/>
    <w:rsid w:val="00156823"/>
    <w:rsid w:val="00174F93"/>
    <w:rsid w:val="00192BCE"/>
    <w:rsid w:val="001969BB"/>
    <w:rsid w:val="001A5CEA"/>
    <w:rsid w:val="001B1033"/>
    <w:rsid w:val="001C089E"/>
    <w:rsid w:val="001C1C1E"/>
    <w:rsid w:val="001E59C8"/>
    <w:rsid w:val="001F0916"/>
    <w:rsid w:val="001F603D"/>
    <w:rsid w:val="001F73D0"/>
    <w:rsid w:val="0020703E"/>
    <w:rsid w:val="00212252"/>
    <w:rsid w:val="00222D1C"/>
    <w:rsid w:val="00231CBC"/>
    <w:rsid w:val="00243A73"/>
    <w:rsid w:val="002516B0"/>
    <w:rsid w:val="00255327"/>
    <w:rsid w:val="002559AE"/>
    <w:rsid w:val="00265A48"/>
    <w:rsid w:val="00267F04"/>
    <w:rsid w:val="00274A2A"/>
    <w:rsid w:val="002755A2"/>
    <w:rsid w:val="002755D6"/>
    <w:rsid w:val="002A7541"/>
    <w:rsid w:val="002C46A5"/>
    <w:rsid w:val="002C672F"/>
    <w:rsid w:val="002C7BA5"/>
    <w:rsid w:val="002E3D3B"/>
    <w:rsid w:val="002F4502"/>
    <w:rsid w:val="002F4E66"/>
    <w:rsid w:val="002F5711"/>
    <w:rsid w:val="002F6A39"/>
    <w:rsid w:val="003056DA"/>
    <w:rsid w:val="00333B5D"/>
    <w:rsid w:val="00347680"/>
    <w:rsid w:val="00353B59"/>
    <w:rsid w:val="00360109"/>
    <w:rsid w:val="0036266A"/>
    <w:rsid w:val="00371AF8"/>
    <w:rsid w:val="00371FFA"/>
    <w:rsid w:val="00382A0B"/>
    <w:rsid w:val="003962D6"/>
    <w:rsid w:val="003A0D26"/>
    <w:rsid w:val="003A4120"/>
    <w:rsid w:val="003A76C7"/>
    <w:rsid w:val="003B5C8C"/>
    <w:rsid w:val="003F7D95"/>
    <w:rsid w:val="00400912"/>
    <w:rsid w:val="00404E31"/>
    <w:rsid w:val="00441F03"/>
    <w:rsid w:val="00451A78"/>
    <w:rsid w:val="00457CC3"/>
    <w:rsid w:val="00460968"/>
    <w:rsid w:val="00466F18"/>
    <w:rsid w:val="004773A0"/>
    <w:rsid w:val="00481B6B"/>
    <w:rsid w:val="00485D9E"/>
    <w:rsid w:val="00491AC4"/>
    <w:rsid w:val="00493175"/>
    <w:rsid w:val="00496C1D"/>
    <w:rsid w:val="004A4DBA"/>
    <w:rsid w:val="004C7540"/>
    <w:rsid w:val="004D175A"/>
    <w:rsid w:val="004E496B"/>
    <w:rsid w:val="004E4AFC"/>
    <w:rsid w:val="00510CCD"/>
    <w:rsid w:val="00522785"/>
    <w:rsid w:val="0052484A"/>
    <w:rsid w:val="00525803"/>
    <w:rsid w:val="005314F2"/>
    <w:rsid w:val="00531A99"/>
    <w:rsid w:val="0053761F"/>
    <w:rsid w:val="0055140C"/>
    <w:rsid w:val="00552E2D"/>
    <w:rsid w:val="00571219"/>
    <w:rsid w:val="00575194"/>
    <w:rsid w:val="005A2524"/>
    <w:rsid w:val="005A3131"/>
    <w:rsid w:val="005A3D9B"/>
    <w:rsid w:val="005B6662"/>
    <w:rsid w:val="005E29AA"/>
    <w:rsid w:val="005E7524"/>
    <w:rsid w:val="005F1B02"/>
    <w:rsid w:val="00605C0D"/>
    <w:rsid w:val="00607A2D"/>
    <w:rsid w:val="006245D4"/>
    <w:rsid w:val="00631267"/>
    <w:rsid w:val="0066451D"/>
    <w:rsid w:val="00664BD6"/>
    <w:rsid w:val="00675426"/>
    <w:rsid w:val="00680465"/>
    <w:rsid w:val="0068302F"/>
    <w:rsid w:val="00690BB7"/>
    <w:rsid w:val="00691EF8"/>
    <w:rsid w:val="006A19BF"/>
    <w:rsid w:val="006A2397"/>
    <w:rsid w:val="006B09B5"/>
    <w:rsid w:val="006B3196"/>
    <w:rsid w:val="006D1625"/>
    <w:rsid w:val="006D3422"/>
    <w:rsid w:val="006D4CC1"/>
    <w:rsid w:val="006E32AC"/>
    <w:rsid w:val="006F082F"/>
    <w:rsid w:val="006F4A62"/>
    <w:rsid w:val="007025EC"/>
    <w:rsid w:val="00704CC8"/>
    <w:rsid w:val="007121E6"/>
    <w:rsid w:val="00717F2F"/>
    <w:rsid w:val="00731763"/>
    <w:rsid w:val="007328E8"/>
    <w:rsid w:val="00736C73"/>
    <w:rsid w:val="007476E2"/>
    <w:rsid w:val="00760D32"/>
    <w:rsid w:val="00773F3E"/>
    <w:rsid w:val="00774945"/>
    <w:rsid w:val="00781C9E"/>
    <w:rsid w:val="00783C04"/>
    <w:rsid w:val="007925EB"/>
    <w:rsid w:val="007A388C"/>
    <w:rsid w:val="007A75AD"/>
    <w:rsid w:val="007B0194"/>
    <w:rsid w:val="007B1302"/>
    <w:rsid w:val="007C7F07"/>
    <w:rsid w:val="007D2032"/>
    <w:rsid w:val="007E3D7A"/>
    <w:rsid w:val="007E75DA"/>
    <w:rsid w:val="007E788E"/>
    <w:rsid w:val="007F62E7"/>
    <w:rsid w:val="00816882"/>
    <w:rsid w:val="008209CD"/>
    <w:rsid w:val="00823AF2"/>
    <w:rsid w:val="00831C12"/>
    <w:rsid w:val="00834025"/>
    <w:rsid w:val="00834D1A"/>
    <w:rsid w:val="00840BE1"/>
    <w:rsid w:val="008434E5"/>
    <w:rsid w:val="00865CC5"/>
    <w:rsid w:val="0086693C"/>
    <w:rsid w:val="00871E81"/>
    <w:rsid w:val="0089571A"/>
    <w:rsid w:val="008977E0"/>
    <w:rsid w:val="008A6282"/>
    <w:rsid w:val="008A73E8"/>
    <w:rsid w:val="008B710F"/>
    <w:rsid w:val="008C1395"/>
    <w:rsid w:val="008C2D66"/>
    <w:rsid w:val="008C5B61"/>
    <w:rsid w:val="008D5745"/>
    <w:rsid w:val="008E17E3"/>
    <w:rsid w:val="008E490B"/>
    <w:rsid w:val="008F6667"/>
    <w:rsid w:val="00904F87"/>
    <w:rsid w:val="0091305B"/>
    <w:rsid w:val="0092326B"/>
    <w:rsid w:val="00926F20"/>
    <w:rsid w:val="0095663E"/>
    <w:rsid w:val="00990D25"/>
    <w:rsid w:val="009968C1"/>
    <w:rsid w:val="009B1702"/>
    <w:rsid w:val="009B1CAF"/>
    <w:rsid w:val="009C1842"/>
    <w:rsid w:val="009D5025"/>
    <w:rsid w:val="009F1051"/>
    <w:rsid w:val="00A014E0"/>
    <w:rsid w:val="00A40C79"/>
    <w:rsid w:val="00A47732"/>
    <w:rsid w:val="00A50B99"/>
    <w:rsid w:val="00A54434"/>
    <w:rsid w:val="00A54F06"/>
    <w:rsid w:val="00A63C0B"/>
    <w:rsid w:val="00A660B1"/>
    <w:rsid w:val="00A7210A"/>
    <w:rsid w:val="00A75AE9"/>
    <w:rsid w:val="00A8424B"/>
    <w:rsid w:val="00AC1A75"/>
    <w:rsid w:val="00AC534E"/>
    <w:rsid w:val="00AE12C4"/>
    <w:rsid w:val="00AE654E"/>
    <w:rsid w:val="00AE7AFE"/>
    <w:rsid w:val="00AF0CFD"/>
    <w:rsid w:val="00AF67FB"/>
    <w:rsid w:val="00AF6C2D"/>
    <w:rsid w:val="00B06590"/>
    <w:rsid w:val="00B23DBB"/>
    <w:rsid w:val="00B3495B"/>
    <w:rsid w:val="00B42EC2"/>
    <w:rsid w:val="00B632F4"/>
    <w:rsid w:val="00B80FC3"/>
    <w:rsid w:val="00B82B0E"/>
    <w:rsid w:val="00B84AA3"/>
    <w:rsid w:val="00BC795D"/>
    <w:rsid w:val="00BD599A"/>
    <w:rsid w:val="00BD7F55"/>
    <w:rsid w:val="00BF2272"/>
    <w:rsid w:val="00C147C8"/>
    <w:rsid w:val="00C34388"/>
    <w:rsid w:val="00C367BA"/>
    <w:rsid w:val="00C47BF2"/>
    <w:rsid w:val="00C76CA8"/>
    <w:rsid w:val="00C92DEB"/>
    <w:rsid w:val="00C93B60"/>
    <w:rsid w:val="00CA0A75"/>
    <w:rsid w:val="00CB5E3D"/>
    <w:rsid w:val="00CD46A6"/>
    <w:rsid w:val="00CE6166"/>
    <w:rsid w:val="00CF3A74"/>
    <w:rsid w:val="00D058D8"/>
    <w:rsid w:val="00D21C6D"/>
    <w:rsid w:val="00D2730F"/>
    <w:rsid w:val="00D404AA"/>
    <w:rsid w:val="00D47A9F"/>
    <w:rsid w:val="00D55CEC"/>
    <w:rsid w:val="00D713A0"/>
    <w:rsid w:val="00D85A10"/>
    <w:rsid w:val="00D86F02"/>
    <w:rsid w:val="00DA6EA4"/>
    <w:rsid w:val="00DB461A"/>
    <w:rsid w:val="00DC4F48"/>
    <w:rsid w:val="00DC72FE"/>
    <w:rsid w:val="00DD249D"/>
    <w:rsid w:val="00DD5999"/>
    <w:rsid w:val="00DD611A"/>
    <w:rsid w:val="00DD7A01"/>
    <w:rsid w:val="00DE3358"/>
    <w:rsid w:val="00DE4E29"/>
    <w:rsid w:val="00E14EDA"/>
    <w:rsid w:val="00E54BCF"/>
    <w:rsid w:val="00E56908"/>
    <w:rsid w:val="00E56F61"/>
    <w:rsid w:val="00E66DB3"/>
    <w:rsid w:val="00E70D48"/>
    <w:rsid w:val="00E823D8"/>
    <w:rsid w:val="00EA6A70"/>
    <w:rsid w:val="00EB12C3"/>
    <w:rsid w:val="00EB5371"/>
    <w:rsid w:val="00EB5CC7"/>
    <w:rsid w:val="00ED4627"/>
    <w:rsid w:val="00EF41C0"/>
    <w:rsid w:val="00EF5A04"/>
    <w:rsid w:val="00F054EC"/>
    <w:rsid w:val="00F151F4"/>
    <w:rsid w:val="00F27B3C"/>
    <w:rsid w:val="00F3119C"/>
    <w:rsid w:val="00F31991"/>
    <w:rsid w:val="00F43F7F"/>
    <w:rsid w:val="00F45CC8"/>
    <w:rsid w:val="00F46F53"/>
    <w:rsid w:val="00F500F8"/>
    <w:rsid w:val="00F522FD"/>
    <w:rsid w:val="00F65FCA"/>
    <w:rsid w:val="00F74926"/>
    <w:rsid w:val="00F915D8"/>
    <w:rsid w:val="00FA4BC4"/>
    <w:rsid w:val="00FB2CEA"/>
    <w:rsid w:val="00FB3336"/>
    <w:rsid w:val="00FB56C3"/>
    <w:rsid w:val="00FF16A3"/>
    <w:rsid w:val="00FF3C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69E11B57"/>
  <w14:defaultImageDpi w14:val="0"/>
  <w15:docId w15:val="{C940CEA4-7F97-4485-8422-1D824942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Policy"/>
    <w:qFormat/>
    <w:rsid w:val="00B84AA3"/>
    <w:rPr>
      <w:rFonts w:ascii="Arial" w:hAnsi="Arial"/>
      <w:sz w:val="24"/>
      <w:szCs w:val="24"/>
      <w:lang w:val="en-AU" w:eastAsia="en-AU"/>
    </w:rPr>
  </w:style>
  <w:style w:type="paragraph" w:styleId="Heading1">
    <w:name w:val="heading 1"/>
    <w:basedOn w:val="Normal"/>
    <w:next w:val="Normal"/>
    <w:link w:val="Heading1Char"/>
    <w:uiPriority w:val="9"/>
    <w:qFormat/>
    <w:rsid w:val="007121E6"/>
    <w:pPr>
      <w:keepNext/>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A7210A"/>
    <w:pPr>
      <w:keepNext/>
      <w:spacing w:before="240" w:after="60"/>
      <w:outlineLvl w:val="1"/>
    </w:pPr>
    <w:rPr>
      <w:rFonts w:cs="Arial"/>
      <w:b/>
      <w:bCs/>
      <w:iCs/>
      <w:sz w:val="28"/>
      <w:szCs w:val="28"/>
    </w:rPr>
  </w:style>
  <w:style w:type="paragraph" w:styleId="Heading3">
    <w:name w:val="heading 3"/>
    <w:basedOn w:val="Normal"/>
    <w:next w:val="Normal"/>
    <w:link w:val="Heading3Char"/>
    <w:uiPriority w:val="9"/>
    <w:qFormat/>
    <w:rsid w:val="00DD7A01"/>
    <w:pPr>
      <w:keepNext/>
      <w:spacing w:before="60" w:after="60"/>
      <w:outlineLvl w:val="2"/>
    </w:pPr>
    <w:rPr>
      <w:rFonts w:cs="Arial"/>
      <w:b/>
      <w:bCs/>
      <w:szCs w:val="26"/>
    </w:rPr>
  </w:style>
  <w:style w:type="paragraph" w:styleId="Heading4">
    <w:name w:val="heading 4"/>
    <w:basedOn w:val="Style1"/>
    <w:next w:val="Normal"/>
    <w:link w:val="Heading4Char"/>
    <w:autoRedefine/>
    <w:uiPriority w:val="9"/>
    <w:qFormat/>
    <w:rsid w:val="00AE654E"/>
    <w:pPr>
      <w:numPr>
        <w:ilvl w:val="0"/>
      </w:numPr>
      <w:outlineLvl w:val="3"/>
    </w:pPr>
    <w:rPr>
      <w:b/>
    </w:rPr>
  </w:style>
  <w:style w:type="paragraph" w:styleId="Heading5">
    <w:name w:val="heading 5"/>
    <w:basedOn w:val="Normal"/>
    <w:next w:val="Normal"/>
    <w:link w:val="Heading5Char"/>
    <w:uiPriority w:val="9"/>
    <w:qFormat/>
    <w:rsid w:val="00E5690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AU" w:eastAsia="en-AU"/>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AU" w:eastAsia="en-AU"/>
    </w:rPr>
  </w:style>
  <w:style w:type="character" w:customStyle="1" w:styleId="Heading3Char">
    <w:name w:val="Heading 3 Char"/>
    <w:basedOn w:val="DefaultParagraphFont"/>
    <w:link w:val="Heading3"/>
    <w:uiPriority w:val="9"/>
    <w:locked/>
    <w:rsid w:val="00DD7A01"/>
    <w:rPr>
      <w:rFonts w:ascii="Arial" w:hAnsi="Arial"/>
      <w:b/>
      <w:sz w:val="26"/>
      <w:lang w:val="en-AU" w:eastAsia="en-AU"/>
    </w:rPr>
  </w:style>
  <w:style w:type="character" w:customStyle="1" w:styleId="Heading4Char">
    <w:name w:val="Heading 4 Char"/>
    <w:basedOn w:val="DefaultParagraphFont"/>
    <w:link w:val="Heading4"/>
    <w:uiPriority w:val="9"/>
    <w:rPr>
      <w:rFonts w:ascii="Arial" w:hAnsi="Arial"/>
      <w:b/>
      <w:sz w:val="24"/>
      <w:szCs w:val="24"/>
      <w:lang w:val="en-AU" w:eastAsia="en-AU"/>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n-AU" w:eastAsia="en-AU"/>
    </w:rPr>
  </w:style>
  <w:style w:type="paragraph" w:styleId="ListBullet">
    <w:name w:val="List Bullet"/>
    <w:basedOn w:val="Normal"/>
    <w:uiPriority w:val="99"/>
    <w:rsid w:val="00011643"/>
    <w:pPr>
      <w:numPr>
        <w:numId w:val="2"/>
      </w:numPr>
      <w:tabs>
        <w:tab w:val="clear" w:pos="360"/>
        <w:tab w:val="num" w:pos="1080"/>
      </w:tabs>
      <w:spacing w:after="200"/>
      <w:ind w:left="1080"/>
    </w:pPr>
  </w:style>
  <w:style w:type="paragraph" w:customStyle="1" w:styleId="Instructions">
    <w:name w:val="Instructions"/>
    <w:basedOn w:val="BodyText"/>
    <w:next w:val="Normal"/>
    <w:link w:val="InstructionsChar"/>
    <w:rsid w:val="004A4DBA"/>
    <w:rPr>
      <w:vanish/>
      <w:color w:val="0000FF"/>
      <w:sz w:val="20"/>
    </w:rPr>
  </w:style>
  <w:style w:type="paragraph" w:customStyle="1" w:styleId="Procedure">
    <w:name w:val="Procedure"/>
    <w:basedOn w:val="Normal"/>
    <w:rsid w:val="00E56908"/>
    <w:pPr>
      <w:framePr w:wrap="around" w:vAnchor="text" w:hAnchor="text" w:y="1"/>
      <w:pBdr>
        <w:top w:val="single" w:sz="4" w:space="1" w:color="auto"/>
        <w:left w:val="single" w:sz="4" w:space="4" w:color="auto"/>
        <w:bottom w:val="single" w:sz="4" w:space="1" w:color="auto"/>
        <w:right w:val="single" w:sz="4" w:space="4" w:color="auto"/>
      </w:pBdr>
    </w:pPr>
  </w:style>
  <w:style w:type="character" w:styleId="Hyperlink">
    <w:name w:val="Hyperlink"/>
    <w:basedOn w:val="DefaultParagraphFont"/>
    <w:uiPriority w:val="99"/>
    <w:rsid w:val="00034AF1"/>
    <w:rPr>
      <w:color w:val="0000FF"/>
      <w:u w:val="single"/>
    </w:rPr>
  </w:style>
  <w:style w:type="paragraph" w:customStyle="1" w:styleId="UWAHeading">
    <w:name w:val="UWA Heading"/>
    <w:basedOn w:val="Heading1"/>
    <w:autoRedefine/>
    <w:rsid w:val="007121E6"/>
    <w:rPr>
      <w:sz w:val="28"/>
    </w:rPr>
  </w:style>
  <w:style w:type="paragraph" w:styleId="BodyText">
    <w:name w:val="Body Text"/>
    <w:basedOn w:val="Normal"/>
    <w:link w:val="BodyTextChar"/>
    <w:uiPriority w:val="99"/>
    <w:rsid w:val="007121E6"/>
    <w:pPr>
      <w:spacing w:after="120"/>
    </w:pPr>
  </w:style>
  <w:style w:type="character" w:customStyle="1" w:styleId="BodyTextChar">
    <w:name w:val="Body Text Char"/>
    <w:basedOn w:val="DefaultParagraphFont"/>
    <w:link w:val="BodyText"/>
    <w:uiPriority w:val="99"/>
    <w:locked/>
    <w:rsid w:val="00EF5A04"/>
    <w:rPr>
      <w:rFonts w:ascii="Arial" w:hAnsi="Arial"/>
      <w:sz w:val="24"/>
      <w:lang w:val="en-AU" w:eastAsia="en-AU"/>
    </w:rPr>
  </w:style>
  <w:style w:type="table" w:styleId="TableGrid">
    <w:name w:val="Table Grid"/>
    <w:basedOn w:val="TableNormal"/>
    <w:uiPriority w:val="39"/>
    <w:semiHidden/>
    <w:rsid w:val="00871E81"/>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Normal"/>
    <w:rsid w:val="00D21C6D"/>
    <w:pPr>
      <w:numPr>
        <w:ilvl w:val="1"/>
        <w:numId w:val="44"/>
      </w:numPr>
    </w:pPr>
  </w:style>
  <w:style w:type="paragraph" w:customStyle="1" w:styleId="Style2">
    <w:name w:val="Style2"/>
    <w:basedOn w:val="Normal"/>
    <w:next w:val="Normal"/>
    <w:link w:val="Style2Char"/>
    <w:rsid w:val="00D21C6D"/>
    <w:pPr>
      <w:numPr>
        <w:ilvl w:val="2"/>
        <w:numId w:val="44"/>
      </w:numPr>
    </w:pPr>
  </w:style>
  <w:style w:type="paragraph" w:customStyle="1" w:styleId="Style3">
    <w:name w:val="Style3"/>
    <w:basedOn w:val="Normal"/>
    <w:next w:val="Normal"/>
    <w:rsid w:val="00D21C6D"/>
    <w:pPr>
      <w:numPr>
        <w:ilvl w:val="3"/>
        <w:numId w:val="44"/>
      </w:numPr>
    </w:pPr>
  </w:style>
  <w:style w:type="character" w:customStyle="1" w:styleId="InstructionsChar">
    <w:name w:val="Instructions Char"/>
    <w:link w:val="Instructions"/>
    <w:locked/>
    <w:rsid w:val="004A4DBA"/>
    <w:rPr>
      <w:rFonts w:ascii="Arial" w:hAnsi="Arial"/>
      <w:vanish/>
      <w:color w:val="0000FF"/>
      <w:sz w:val="24"/>
      <w:lang w:val="en-AU" w:eastAsia="en-AU"/>
    </w:rPr>
  </w:style>
  <w:style w:type="paragraph" w:styleId="Header">
    <w:name w:val="header"/>
    <w:basedOn w:val="Normal"/>
    <w:link w:val="HeaderChar"/>
    <w:uiPriority w:val="99"/>
    <w:semiHidden/>
    <w:rsid w:val="00FB2CEA"/>
    <w:pPr>
      <w:tabs>
        <w:tab w:val="center" w:pos="4153"/>
        <w:tab w:val="right" w:pos="8306"/>
      </w:tabs>
    </w:pPr>
  </w:style>
  <w:style w:type="character" w:customStyle="1" w:styleId="HeaderChar">
    <w:name w:val="Header Char"/>
    <w:basedOn w:val="DefaultParagraphFont"/>
    <w:link w:val="Header"/>
    <w:uiPriority w:val="99"/>
    <w:semiHidden/>
    <w:rPr>
      <w:rFonts w:ascii="Arial" w:hAnsi="Arial"/>
      <w:sz w:val="24"/>
      <w:szCs w:val="24"/>
      <w:lang w:val="en-AU" w:eastAsia="en-AU"/>
    </w:rPr>
  </w:style>
  <w:style w:type="paragraph" w:styleId="Footer">
    <w:name w:val="footer"/>
    <w:basedOn w:val="Normal"/>
    <w:link w:val="FooterChar"/>
    <w:uiPriority w:val="99"/>
    <w:semiHidden/>
    <w:rsid w:val="00FB2CEA"/>
    <w:pPr>
      <w:tabs>
        <w:tab w:val="center" w:pos="4153"/>
        <w:tab w:val="right" w:pos="8306"/>
      </w:tabs>
    </w:pPr>
  </w:style>
  <w:style w:type="character" w:customStyle="1" w:styleId="FooterChar">
    <w:name w:val="Footer Char"/>
    <w:basedOn w:val="DefaultParagraphFont"/>
    <w:link w:val="Footer"/>
    <w:uiPriority w:val="99"/>
    <w:semiHidden/>
    <w:rPr>
      <w:rFonts w:ascii="Arial" w:hAnsi="Arial"/>
      <w:sz w:val="24"/>
      <w:szCs w:val="24"/>
      <w:lang w:val="en-AU" w:eastAsia="en-AU"/>
    </w:rPr>
  </w:style>
  <w:style w:type="character" w:styleId="PageNumber">
    <w:name w:val="page number"/>
    <w:basedOn w:val="DefaultParagraphFont"/>
    <w:uiPriority w:val="99"/>
    <w:semiHidden/>
    <w:rsid w:val="00A014E0"/>
    <w:rPr>
      <w:rFonts w:cs="Times New Roman"/>
    </w:rPr>
  </w:style>
  <w:style w:type="paragraph" w:customStyle="1" w:styleId="Definitions">
    <w:name w:val="Definitions"/>
    <w:basedOn w:val="Normal"/>
    <w:rsid w:val="00451A78"/>
    <w:rPr>
      <w:sz w:val="20"/>
    </w:rPr>
  </w:style>
  <w:style w:type="paragraph" w:customStyle="1" w:styleId="BodyTextStyle1">
    <w:name w:val="Body Text Style 1"/>
    <w:basedOn w:val="BodyText"/>
    <w:rsid w:val="00783C04"/>
    <w:pPr>
      <w:ind w:left="578"/>
    </w:pPr>
  </w:style>
  <w:style w:type="paragraph" w:customStyle="1" w:styleId="BodyTextStyle2">
    <w:name w:val="Body Text Style 2"/>
    <w:basedOn w:val="BodyText"/>
    <w:rsid w:val="00783C04"/>
    <w:pPr>
      <w:ind w:left="720"/>
    </w:pPr>
  </w:style>
  <w:style w:type="paragraph" w:styleId="BodyTextIndent2">
    <w:name w:val="Body Text Indent 2"/>
    <w:basedOn w:val="Normal"/>
    <w:link w:val="BodyTextIndent2Char"/>
    <w:uiPriority w:val="99"/>
    <w:semiHidden/>
    <w:rsid w:val="004D175A"/>
    <w:pPr>
      <w:spacing w:after="120" w:line="480" w:lineRule="auto"/>
      <w:ind w:left="283"/>
    </w:pPr>
  </w:style>
  <w:style w:type="character" w:customStyle="1" w:styleId="BodyTextIndent2Char">
    <w:name w:val="Body Text Indent 2 Char"/>
    <w:basedOn w:val="DefaultParagraphFont"/>
    <w:link w:val="BodyTextIndent2"/>
    <w:uiPriority w:val="99"/>
    <w:semiHidden/>
    <w:rPr>
      <w:rFonts w:ascii="Arial" w:hAnsi="Arial"/>
      <w:sz w:val="24"/>
      <w:szCs w:val="24"/>
      <w:lang w:val="en-AU" w:eastAsia="en-AU"/>
    </w:rPr>
  </w:style>
  <w:style w:type="paragraph" w:customStyle="1" w:styleId="BodyTextStyle3">
    <w:name w:val="Body Text Style 3"/>
    <w:basedOn w:val="BodyText"/>
    <w:rsid w:val="00783C04"/>
    <w:pPr>
      <w:ind w:left="862"/>
    </w:pPr>
  </w:style>
  <w:style w:type="paragraph" w:styleId="BodyTextIndent3">
    <w:name w:val="Body Text Indent 3"/>
    <w:basedOn w:val="Normal"/>
    <w:link w:val="BodyTextIndent3Char"/>
    <w:uiPriority w:val="99"/>
    <w:semiHidden/>
    <w:rsid w:val="004D175A"/>
    <w:pPr>
      <w:spacing w:after="120"/>
      <w:ind w:left="283"/>
    </w:pPr>
    <w:rPr>
      <w:sz w:val="16"/>
      <w:szCs w:val="16"/>
    </w:rPr>
  </w:style>
  <w:style w:type="character" w:customStyle="1" w:styleId="BodyTextIndent3Char">
    <w:name w:val="Body Text Indent 3 Char"/>
    <w:basedOn w:val="DefaultParagraphFont"/>
    <w:link w:val="BodyTextIndent3"/>
    <w:uiPriority w:val="99"/>
    <w:semiHidden/>
    <w:rPr>
      <w:rFonts w:ascii="Arial" w:hAnsi="Arial"/>
      <w:sz w:val="16"/>
      <w:szCs w:val="16"/>
      <w:lang w:val="en-AU" w:eastAsia="en-AU"/>
    </w:rPr>
  </w:style>
  <w:style w:type="character" w:customStyle="1" w:styleId="Style2Char">
    <w:name w:val="Style2 Char"/>
    <w:link w:val="Style2"/>
    <w:locked/>
    <w:rsid w:val="008F6667"/>
    <w:rPr>
      <w:rFonts w:ascii="Arial" w:hAnsi="Arial"/>
      <w:sz w:val="24"/>
      <w:szCs w:val="24"/>
      <w:lang w:val="en-AU" w:eastAsia="en-AU"/>
    </w:rPr>
  </w:style>
  <w:style w:type="paragraph" w:styleId="BodyTextIndent">
    <w:name w:val="Body Text Indent"/>
    <w:basedOn w:val="Normal"/>
    <w:link w:val="BodyTextIndentChar"/>
    <w:uiPriority w:val="99"/>
    <w:semiHidden/>
    <w:rsid w:val="004D175A"/>
    <w:pPr>
      <w:spacing w:after="120"/>
      <w:ind w:left="283"/>
    </w:pPr>
  </w:style>
  <w:style w:type="character" w:customStyle="1" w:styleId="BodyTextIndentChar">
    <w:name w:val="Body Text Indent Char"/>
    <w:basedOn w:val="DefaultParagraphFont"/>
    <w:link w:val="BodyTextIndent"/>
    <w:uiPriority w:val="99"/>
    <w:semiHidden/>
    <w:rPr>
      <w:rFonts w:ascii="Arial" w:hAnsi="Arial"/>
      <w:sz w:val="24"/>
      <w:szCs w:val="24"/>
      <w:lang w:val="en-AU" w:eastAsia="en-AU"/>
    </w:rPr>
  </w:style>
  <w:style w:type="paragraph" w:styleId="BodyTextFirstIndent2">
    <w:name w:val="Body Text First Indent 2"/>
    <w:basedOn w:val="BodyTextIndent"/>
    <w:link w:val="BodyTextFirstIndent2Char"/>
    <w:uiPriority w:val="99"/>
    <w:semiHidden/>
    <w:rsid w:val="004D175A"/>
    <w:pPr>
      <w:ind w:firstLine="210"/>
    </w:pPr>
  </w:style>
  <w:style w:type="character" w:customStyle="1" w:styleId="BodyTextFirstIndent2Char">
    <w:name w:val="Body Text First Indent 2 Char"/>
    <w:basedOn w:val="BodyTextIndentChar"/>
    <w:link w:val="BodyTextFirstIndent2"/>
    <w:uiPriority w:val="99"/>
    <w:semiHidden/>
    <w:rPr>
      <w:rFonts w:ascii="Arial" w:hAnsi="Arial"/>
      <w:sz w:val="24"/>
      <w:szCs w:val="24"/>
      <w:lang w:val="en-AU" w:eastAsia="en-AU"/>
    </w:rPr>
  </w:style>
  <w:style w:type="character" w:styleId="CommentReference">
    <w:name w:val="annotation reference"/>
    <w:basedOn w:val="DefaultParagraphFont"/>
    <w:uiPriority w:val="99"/>
    <w:rsid w:val="008E17E3"/>
    <w:rPr>
      <w:sz w:val="16"/>
    </w:rPr>
  </w:style>
  <w:style w:type="paragraph" w:styleId="CommentText">
    <w:name w:val="annotation text"/>
    <w:basedOn w:val="Normal"/>
    <w:link w:val="CommentTextChar"/>
    <w:uiPriority w:val="99"/>
    <w:rsid w:val="008E17E3"/>
    <w:rPr>
      <w:sz w:val="20"/>
      <w:szCs w:val="20"/>
    </w:rPr>
  </w:style>
  <w:style w:type="character" w:customStyle="1" w:styleId="CommentTextChar">
    <w:name w:val="Comment Text Char"/>
    <w:basedOn w:val="DefaultParagraphFont"/>
    <w:link w:val="CommentText"/>
    <w:uiPriority w:val="99"/>
    <w:locked/>
    <w:rsid w:val="008E17E3"/>
    <w:rPr>
      <w:rFonts w:ascii="Arial" w:hAnsi="Arial"/>
    </w:rPr>
  </w:style>
  <w:style w:type="paragraph" w:styleId="CommentSubject">
    <w:name w:val="annotation subject"/>
    <w:basedOn w:val="CommentText"/>
    <w:next w:val="CommentText"/>
    <w:link w:val="CommentSubjectChar"/>
    <w:uiPriority w:val="99"/>
    <w:rsid w:val="008E17E3"/>
    <w:rPr>
      <w:b/>
      <w:bCs/>
    </w:rPr>
  </w:style>
  <w:style w:type="character" w:customStyle="1" w:styleId="CommentSubjectChar">
    <w:name w:val="Comment Subject Char"/>
    <w:basedOn w:val="CommentTextChar"/>
    <w:link w:val="CommentSubject"/>
    <w:uiPriority w:val="99"/>
    <w:locked/>
    <w:rsid w:val="008E17E3"/>
    <w:rPr>
      <w:rFonts w:ascii="Arial" w:hAnsi="Arial"/>
      <w:b/>
    </w:rPr>
  </w:style>
  <w:style w:type="paragraph" w:styleId="BalloonText">
    <w:name w:val="Balloon Text"/>
    <w:basedOn w:val="Normal"/>
    <w:link w:val="BalloonTextChar"/>
    <w:uiPriority w:val="99"/>
    <w:rsid w:val="008E17E3"/>
    <w:rPr>
      <w:rFonts w:ascii="Tahoma" w:hAnsi="Tahoma" w:cs="Tahoma"/>
      <w:sz w:val="16"/>
      <w:szCs w:val="16"/>
    </w:rPr>
  </w:style>
  <w:style w:type="character" w:customStyle="1" w:styleId="BalloonTextChar">
    <w:name w:val="Balloon Text Char"/>
    <w:basedOn w:val="DefaultParagraphFont"/>
    <w:link w:val="BalloonText"/>
    <w:uiPriority w:val="99"/>
    <w:locked/>
    <w:rsid w:val="008E17E3"/>
    <w:rPr>
      <w:rFonts w:ascii="Tahoma" w:hAnsi="Tahoma"/>
      <w:sz w:val="16"/>
    </w:rPr>
  </w:style>
  <w:style w:type="paragraph" w:styleId="ListParagraph">
    <w:name w:val="List Paragraph"/>
    <w:basedOn w:val="Normal"/>
    <w:uiPriority w:val="34"/>
    <w:qFormat/>
    <w:rsid w:val="00DE4E29"/>
    <w:pPr>
      <w:ind w:left="720"/>
    </w:pPr>
  </w:style>
  <w:style w:type="character" w:styleId="FollowedHyperlink">
    <w:name w:val="FollowedHyperlink"/>
    <w:basedOn w:val="DefaultParagraphFont"/>
    <w:uiPriority w:val="99"/>
    <w:rsid w:val="008B710F"/>
    <w:rPr>
      <w:rFonts w:cs="Times New Roman"/>
      <w:color w:val="800080" w:themeColor="followedHyperlink"/>
      <w:u w:val="single"/>
    </w:rPr>
  </w:style>
  <w:style w:type="numbering" w:styleId="111111">
    <w:name w:val="Outline List 2"/>
    <w:basedOn w:val="NoList"/>
    <w:uiPriority w:val="99"/>
    <w:semiHidden/>
    <w:unhideWhenUse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ernance.uwa.edu.au/procedures/policies/policies-and-procedures?method=document&amp;id=UP07%2F142" TargetMode="External"/><Relationship Id="rId13" Type="http://schemas.openxmlformats.org/officeDocument/2006/relationships/hyperlink" Target="http://www.governance.uwa.edu.au/procedures/policies/policies-and-procedures?method=document&amp;id=UP11%2F27" TargetMode="External"/><Relationship Id="rId18" Type="http://schemas.openxmlformats.org/officeDocument/2006/relationships/hyperlink" Target="http://intranet.uwa.edu.au/archives/new_university_policy_number"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universitypolicies.uwa.edu.au/search?method=document&amp;id=UP11%2F27" TargetMode="External"/><Relationship Id="rId12" Type="http://schemas.openxmlformats.org/officeDocument/2006/relationships/hyperlink" Target="mailto:rorett@admin.uwa.edu.au" TargetMode="External"/><Relationship Id="rId17" Type="http://schemas.openxmlformats.org/officeDocument/2006/relationships/hyperlink" Target="http://www.governance.uwa.edu.au/procedures/policies/policies-and-procedures?method=document&amp;id=UP11%2F11" TargetMode="External"/><Relationship Id="rId2" Type="http://schemas.openxmlformats.org/officeDocument/2006/relationships/styles" Target="styles.xml"/><Relationship Id="rId16" Type="http://schemas.openxmlformats.org/officeDocument/2006/relationships/hyperlink" Target="http://www.governance.uwa.edu.au/procedures/policies/policies-and-procedures?method=document&amp;id=UP11%2F23" TargetMode="External"/><Relationship Id="rId20" Type="http://schemas.openxmlformats.org/officeDocument/2006/relationships/hyperlink" Target="mailto:rorett@admin.uwa.edu.a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niversitypolicies.uwa.edu.au/search?method=document&amp;id=UP11%2F23" TargetMode="External"/><Relationship Id="rId5" Type="http://schemas.openxmlformats.org/officeDocument/2006/relationships/footnotes" Target="footnotes.xml"/><Relationship Id="rId15" Type="http://schemas.openxmlformats.org/officeDocument/2006/relationships/hyperlink" Target="http://www.governance.uwa.edu.au/procedures/policies/policies-and-procedures?method=document&amp;id=UP11%2F9" TargetMode="External"/><Relationship Id="rId23" Type="http://schemas.openxmlformats.org/officeDocument/2006/relationships/theme" Target="theme/theme1.xml"/><Relationship Id="rId10" Type="http://schemas.openxmlformats.org/officeDocument/2006/relationships/hyperlink" Target="http://www.student.uwa.edu.au/course/fees/tuition/hecs" TargetMode="External"/><Relationship Id="rId19" Type="http://schemas.openxmlformats.org/officeDocument/2006/relationships/hyperlink" Target="http://www.admin.uwa.edu.au/policytidy" TargetMode="External"/><Relationship Id="rId4" Type="http://schemas.openxmlformats.org/officeDocument/2006/relationships/webSettings" Target="webSettings.xml"/><Relationship Id="rId9" Type="http://schemas.openxmlformats.org/officeDocument/2006/relationships/hyperlink" Target="http://www.universitypolicies.uwa.edu.au/search?method=document&amp;id=UP11%2F9" TargetMode="External"/><Relationship Id="rId14" Type="http://schemas.openxmlformats.org/officeDocument/2006/relationships/hyperlink" Target="http://www.governance.uwa.edu.au/procedures/policies/policies-and-procedures?method=document&amp;id=UP07%2F14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2394</Words>
  <Characters>13651</Characters>
  <Application>Microsoft Office Word</Application>
  <DocSecurity>0</DocSecurity>
  <Lines>113</Lines>
  <Paragraphs>32</Paragraphs>
  <ScaleCrop>false</ScaleCrop>
  <Company>The University of Western Australia</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Styles document Jane's update.dot V5</dc:title>
  <dc:subject/>
  <dc:creator>Di Regan-Roots</dc:creator>
  <cp:keywords/>
  <dc:description/>
  <cp:lastModifiedBy>ISLAM MOHAMMAD RAIHANUL</cp:lastModifiedBy>
  <cp:revision>2</cp:revision>
  <cp:lastPrinted>2007-07-20T00:40:00Z</cp:lastPrinted>
  <dcterms:created xsi:type="dcterms:W3CDTF">2022-12-06T02:17:00Z</dcterms:created>
  <dcterms:modified xsi:type="dcterms:W3CDTF">2022-12-06T02:17:00Z</dcterms:modified>
</cp:coreProperties>
</file>