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AD0736475</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24/09/2024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Niyozmetova Shoxida Shavkatboy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3-kurs;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OLUVCHI:Niyozmetova Shoxida Shavkatboy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tumani, Kushchi katta bog' MFY, Nurli yo'l ko'chasi, 38-uy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AD0736475</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91 860 51 06, 50 573 56 26</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