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AD1643776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26/07/2024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w:t>
      </w:r>
      <w:r>
        <w:rPr>
          <w:rFonts w:ascii="Times New Roman" w:hAnsi="Times New Roman" w:eastAsia="Times New Roman"/>
          <w:sz w:val="28"/>
        </w:rPr>
        <w:t>-</w:t>
      </w:r>
      <w:r>
        <w:t xml:space="preserve">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Ibadullayeva Gulshan Uchkun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O‘qish muddati: 5</w:t>
      </w:r>
      <w:r>
        <w:rPr>
          <w:rFonts w:ascii="Times New Roman" w:hAnsi="Times New Roman" w:eastAsia="Times New Roman"/>
          <w:sz w:val="28"/>
        </w:rPr>
        <w:t>-</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O‘quv kursi: 1</w:t>
      </w:r>
      <w:r>
        <w:rPr>
          <w:rFonts w:ascii="Times New Roman" w:hAnsi="Times New Roman" w:eastAsia="Times New Roman"/>
          <w:sz w:val="28"/>
        </w:rPr>
        <w:t>-</w:t>
      </w:r>
      <w:r>
        <w:t>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60230100 </w:t>
      </w:r>
      <w:r>
        <w:rPr>
          <w:rFonts w:ascii="Times New Roman" w:hAnsi="Times New Roman" w:eastAsia="Times New Roman"/>
          <w:sz w:val="28"/>
        </w:rPr>
        <w:t>-</w:t>
      </w:r>
      <w:r>
        <w:t xml:space="preserve">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Manzil: “Mustaqillik” Qoramozi. Gurlan koʻchasi 2</w:t>
      </w:r>
      <w:r>
        <w:rPr>
          <w:rFonts w:ascii="Times New Roman" w:hAnsi="Times New Roman" w:eastAsia="Times New Roman"/>
          <w:sz w:val="28"/>
        </w:rPr>
        <w:t>-</w:t>
      </w:r>
      <w:r>
        <w:t xml:space="preserve">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Ibadullayeva Gulshan Uchkun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Manzil: Xorazm viloyati, Xonqa, Qoramozi MFY, Sanoat ko'chasi, 4</w:t>
      </w:r>
      <w:r>
        <w:rPr>
          <w:rFonts w:ascii="Times New Roman" w:hAnsi="Times New Roman" w:eastAsia="Times New Roman"/>
          <w:sz w:val="28"/>
        </w:rPr>
        <w:t>-</w:t>
      </w:r>
      <w:r>
        <w:t>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AD1643776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93 467 76 83, </w:t>
      </w:r>
      <w:r>
        <w:rPr>
          <w:rFonts w:ascii="Times New Roman" w:hAnsi="Times New Roman" w:eastAsia="Times New Roman"/>
          <w:sz w:val="28"/>
        </w:rPr>
        <w:t>-</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