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ewadszcx</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w:t>
      </w:r>
      <w:r>
        <w:rPr>
          <w:rFonts w:ascii="Times New Roman" w:hAnsi="Times New Roman" w:eastAsia="Times New Roman"/>
          <w:sz w:val="28"/>
        </w:rPr>
        <w:t>2</w:t>
      </w:r>
      <w:r>
        <w:t xml:space="preserve">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ewads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8"/>
        </w:rPr>
        <w:t>2</w:t>
      </w:r>
      <w:r>
        <w:t>.1.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w:t>
      </w:r>
      <w:r>
        <w:rPr>
          <w:rFonts w:ascii="Times New Roman" w:hAnsi="Times New Roman" w:eastAsia="Times New Roman"/>
          <w:sz w:val="28"/>
        </w:rPr>
        <w:t>2</w:t>
      </w:r>
      <w:r>
        <w:t>. TA’LIM OLUVCHI:ewads</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eads, 123qrgtrsfrewafdsc MFY, qet54w4w3r21gtrhd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ewadszcx</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34aewdsz, </w:t>
      </w:r>
      <w:r>
        <w:rPr>
          <w:rFonts w:ascii="Times New Roman" w:hAnsi="Times New Roman" w:eastAsia="Times New Roman"/>
          <w:sz w:val="28"/>
        </w:rPr>
        <w:t>23qewads</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