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State shall not deny to any person equality before the law or the equal protection of the laws within the territory of India.”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Interpretation of Article 14: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fundamental right guarantees that the law must be implemented and upheld with equal fairness for all individuals in similar circumstances. It ensures that the ability to bring a case to court, and the liability to be sued, is identical for every person of legal age and sound mind. This principle prohibits discrimination based on race, religion, caste, social or economic status, wealth, or influence.</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