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Discrimination </w:t>
      </w:r>
      <w:r w:rsidDel="00000000" w:rsidR="00000000" w:rsidRPr="00000000">
        <w:rPr>
          <w:rtl w:val="0"/>
        </w:rPr>
        <w:t xml:space="preserve">occurs when you are treated differently and less favorably than someone else in a comparable situation, or when you are unfairly disadvantaged by being treated the same as others in dissimilar circumstances. Such differential treatment lacks a reasonable and objective justification.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Article 15</w:t>
      </w:r>
      <w:r w:rsidDel="00000000" w:rsidR="00000000" w:rsidRPr="00000000">
        <w:rPr>
          <w:rtl w:val="0"/>
        </w:rPr>
        <w:t xml:space="preserve"> prohibits discrimination by the State on the grounds of: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Religion </w:t>
      </w:r>
      <w:r w:rsidDel="00000000" w:rsidR="00000000" w:rsidRPr="00000000">
        <w:rPr>
          <w:rtl w:val="0"/>
        </w:rPr>
        <w:t xml:space="preserve">– An individual must not be denied access to public places, or benefits of any state policy, based on their religious beliefs.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Race </w:t>
      </w:r>
      <w:r w:rsidDel="00000000" w:rsidR="00000000" w:rsidRPr="00000000">
        <w:rPr>
          <w:rtl w:val="0"/>
        </w:rPr>
        <w:t xml:space="preserve">– A person's ethnic origin cannot be used as a basis for prejudicial treatment.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Caste </w:t>
      </w:r>
      <w:r w:rsidDel="00000000" w:rsidR="00000000" w:rsidRPr="00000000">
        <w:rPr>
          <w:rtl w:val="0"/>
        </w:rPr>
        <w:t xml:space="preserve">– Discrimination based on caste is expressly forbidden to prevent the oppression of lower castes by upper castes.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Sex </w:t>
      </w:r>
      <w:r w:rsidDel="00000000" w:rsidR="00000000" w:rsidRPr="00000000">
        <w:rPr>
          <w:rtl w:val="0"/>
        </w:rPr>
        <w:t xml:space="preserve">– The gender of a person is not a valid reason for discrimination in any context. This includes discrimination against women, transgender individuals, and others.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Place of birth</w:t>
      </w:r>
      <w:r w:rsidDel="00000000" w:rsidR="00000000" w:rsidRPr="00000000">
        <w:rPr>
          <w:rtl w:val="0"/>
        </w:rPr>
        <w:t xml:space="preserve"> – The location of a person's birth should not be a cause for discrimination among fellow citizens.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Article 15(3) </w:t>
      </w:r>
      <w:r w:rsidDel="00000000" w:rsidR="00000000" w:rsidRPr="00000000">
        <w:rPr>
          <w:rtl w:val="0"/>
        </w:rPr>
        <w:t xml:space="preserve">further states that nothing in this article shall prevent the State from making any special provisions for women and children.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