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“The State shall direct its policy towards securing for men and women equally **the right to an adequate means of livelihood (Article 39(a)); and equal pay for equal work for both men and women (Article 39(d)).”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