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Article 39A</w:t>
      </w:r>
      <w:r w:rsidDel="00000000" w:rsidR="00000000" w:rsidRPr="00000000">
        <w:rPr>
          <w:rtl w:val="0"/>
        </w:rPr>
        <w:t xml:space="preserve"> of the Constitution of India stipulates that the State shall secure that the operation of the legal system promotes justice on a basis of equal opportunity, and shall in particular, provide free legal aid, by suitable legislation or schemes or in any other way, to ensure that opportunities for securing justice are not denied to any citizen by reason of economic or other disability.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Articles 14 and 22(1)</w:t>
      </w:r>
      <w:r w:rsidDel="00000000" w:rsidR="00000000" w:rsidRPr="00000000">
        <w:rPr>
          <w:rtl w:val="0"/>
        </w:rPr>
        <w:t xml:space="preserve"> further obligate the State to guarantee equality before the law and to maintain a legal system that fosters justice based on equal opportunity for all.</w:t>
      </w:r>
    </w:p>
    <w:p w:rsidR="00000000" w:rsidDel="00000000" w:rsidP="00000000" w:rsidRDefault="00000000" w:rsidRPr="00000000" w14:paraId="0000000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