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Legal aid is generally not provided for the following categories of cases: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Matters concerning defamation, malicious prosecution, contempt of court, or perjury.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Proceedings related to elections.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Cases where the imposed fine does not exceed fifty rupees.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Economic offences and offences against social laws.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Cases where the applicant is not a direct party to the proceedings and their interests will not be affected by the outcome.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