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Legal aid provided to a person may be withdrawn under the following circumstances: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aid was secured through misrepresentation or fraudulent means.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significant material change occurs in the financial or other relevant circumstances of the person receiving aid.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cases of misconduct, misbehavior, or negligence by the aided person.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aided person fails to cooperate with the assigned legal advocate.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aided person chooses to appoint a different legal practitioner of their own.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Upon the death of the aided person, except in the context of ongoing civil cases.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legal proceedings are found to be a misuse of the judicial process or of the legal services provided.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