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 promote justice, on a basis of equal opportunity and to provide free legal aid by suitable legislation or scheme or in any other way to ensure that opportunities for securing justice are not denied to any citizen by reason of economic or other disabilities (Article 39 A).</w:t>
        <w:br w:type="textWrapping"/>
        <w:br w:type="textWrapping"/>
        <w:br w:type="textWrapping"/>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