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Meaning "By what authority," this writ is used to challenge a person's right to hold a public office. It is issued to inquire into the legality of the claim of a person to a public position. If the court finds that the person is not entitled to hold the office (for example, due to a lack of required qualifications), it can declare the office vacant and restrain the person from continuing in that role. This writ serves as a check on unlawful occupation of public offices.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