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 a public interest lawyer or organization to file the case.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necessary documents such as title deeds, proof of residence, identity proof, notice, resettlement policy if any, and photographs of the eviction.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names and addresses of all aggrieved parties approaching the court.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names and addresses of government agencies from which relief is sought.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facts giving rise to violations of Fundamental / Legal Rights.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Clearly mention the 'prayers' or the relief being sought from the court.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