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Definitions and Registration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Act defines the following types of facilities: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Genetic Counselling Centres:</w:t>
      </w:r>
      <w:r w:rsidDel="00000000" w:rsidR="00000000" w:rsidRPr="00000000">
        <w:rPr>
          <w:rtl w:val="0"/>
        </w:rPr>
        <w:t xml:space="preserve"> These are institutes, hospitals, nursing homes, or similar establishments where genetic counselling is provided. (Section 2(c))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Genetic Clinics:</w:t>
      </w:r>
      <w:r w:rsidDel="00000000" w:rsidR="00000000" w:rsidRPr="00000000">
        <w:rPr>
          <w:rtl w:val="0"/>
        </w:rPr>
        <w:t xml:space="preserve"> These are locations where pre-natal diagnostic procedures are actually conducted. (Section 2(d))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Genetic Laboratories:</w:t>
      </w:r>
      <w:r w:rsidDel="00000000" w:rsidR="00000000" w:rsidRPr="00000000">
        <w:rPr>
          <w:rtl w:val="0"/>
        </w:rPr>
        <w:t xml:space="preserve"> These are facilities that provide the analysis or testing of samples received from Genetic Clinics. (Section 2(e))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Certification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According to Sections 2(o), 3A, and 4, it is mandatory for any Genetic Counselling Centre, Genetic Clinic, or Genetic Laboratory to be formally registered. They must possess a valid certificate of registration, which must be prominently displayed at their place of business to legally conduct pre-natal diagnostic techniques.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