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Central Supervisory Board (CSB)</w:t>
      </w:r>
      <w:r w:rsidDel="00000000" w:rsidR="00000000" w:rsidRPr="00000000">
        <w:rPr>
          <w:rtl w:val="0"/>
        </w:rPr>
        <w:t xml:space="preserve"> is established under the Act. Its primary functions are to advise the Central Government on policy issues concerning the application and prevention of misuse of pre-natal diagnostic and sex selection techniques. The Board is also responsible for overseeing the effective implementation of the Act across the country.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Furthermore, a key duty of the Board is to undertake initiatives for **building public awareness** and educating people against the practices that result in female foeticide.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