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a pregnancy is terminated in accordance with the provisions of the Act, then no medical practitioner shall be held guilty of any offence under any law.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